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B58" w:rsidRDefault="00DF0B58">
      <w:bookmarkStart w:id="0" w:name="_GoBack"/>
      <w:bookmarkEnd w:id="0"/>
    </w:p>
    <w:p w:rsidR="00DF0B58" w:rsidRDefault="00DF0B58">
      <w:pPr>
        <w:rPr>
          <w:szCs w:val="24"/>
        </w:rPr>
      </w:pPr>
    </w:p>
    <w:p w:rsidR="00DF0B58" w:rsidRDefault="003B74E7">
      <w:pPr>
        <w:keepLines/>
        <w:jc w:val="center"/>
        <w:rPr>
          <w:b/>
          <w:szCs w:val="24"/>
        </w:rPr>
      </w:pPr>
      <w:r>
        <w:rPr>
          <w:b/>
        </w:rPr>
        <w:t>Project Data</w:t>
      </w:r>
    </w:p>
    <w:p w:rsidR="00DF0B58" w:rsidRDefault="00DF0B58">
      <w:pPr>
        <w:rPr>
          <w:b/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Project Title:</w:t>
      </w:r>
      <w:r>
        <w:tab/>
        <w:t>Engaging Youth through Performing Arts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Group Name:</w:t>
      </w:r>
      <w:r>
        <w:tab/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Project Number:</w:t>
      </w:r>
      <w:r>
        <w:tab/>
        <w:t>E/VRN-2023-0004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Project Type:</w:t>
      </w:r>
      <w:r>
        <w:tab/>
        <w:t>Regional Project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Program Type:</w:t>
      </w:r>
      <w:r>
        <w:tab/>
        <w:t>RP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Fiscal Year:</w:t>
      </w:r>
      <w:r>
        <w:tab/>
        <w:t>2023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Estimated Participants:</w:t>
      </w:r>
      <w:r>
        <w:tab/>
        <w:t>20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Approved Participants:</w:t>
      </w:r>
      <w:r>
        <w:tab/>
        <w:t>0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Organization Participants:</w:t>
      </w:r>
      <w:r>
        <w:tab/>
        <w:t>0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Start Date:</w:t>
      </w:r>
      <w:r>
        <w:tab/>
        <w:t>06/05/2023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End Date:</w:t>
      </w:r>
      <w:r>
        <w:tab/>
        <w:t>06/23/2023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Estimated Arrival:</w:t>
      </w:r>
      <w:r>
        <w:tab/>
        <w:t>06/03/2023</w:t>
      </w: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Estimated Departure:</w:t>
      </w:r>
      <w:r>
        <w:tab/>
        <w:t>06/24/2023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Sponsoring Agency:</w:t>
      </w:r>
      <w:r>
        <w:tab/>
        <w:t>ECA/PE/V/R/N – Near East and North Africa Branch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State Department Officers:</w:t>
      </w:r>
      <w:r>
        <w:tab/>
        <w:t>Page, Claudia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State Program Coordinator:</w:t>
      </w:r>
      <w:r>
        <w:tab/>
        <w:t>Brooks, Ferolyn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Natl. Program Agency:</w:t>
      </w:r>
      <w:r>
        <w:tab/>
        <w:t>Institute of International Education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Natl. Program Officer:</w:t>
      </w:r>
      <w:r>
        <w:tab/>
        <w:t>Jalalzay, Naqeebullah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Natl. Program Associate:</w:t>
      </w:r>
      <w:r>
        <w:tab/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ind w:left="2880" w:hanging="2880"/>
        <w:rPr>
          <w:b/>
          <w:szCs w:val="24"/>
        </w:rPr>
      </w:pPr>
      <w:r>
        <w:rPr>
          <w:b/>
        </w:rPr>
        <w:t>Subject(s):</w:t>
      </w:r>
      <w:r>
        <w:tab/>
      </w:r>
      <w:r>
        <w:rPr>
          <w:b/>
        </w:rPr>
        <w:t>Conflict Prevention, Mit</w:t>
      </w:r>
      <w:r>
        <w:rPr>
          <w:b/>
        </w:rPr>
        <w:t>igation, and Response</w:t>
      </w:r>
      <w:r>
        <w:br/>
        <w:t>ARTS AND CULTURE</w:t>
      </w:r>
      <w:r>
        <w:br/>
        <w:t>Performing Arts</w:t>
      </w:r>
      <w:r>
        <w:br/>
        <w:t>Youth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rPr>
          <w:b/>
          <w:szCs w:val="24"/>
        </w:rPr>
      </w:pPr>
      <w:r>
        <w:rPr>
          <w:b/>
        </w:rPr>
        <w:t>Project Description:</w:t>
      </w:r>
    </w:p>
    <w:p w:rsidR="00DF0B58" w:rsidRDefault="00DF0B58">
      <w:pPr>
        <w:rPr>
          <w:b/>
          <w:szCs w:val="24"/>
        </w:rPr>
      </w:pPr>
    </w:p>
    <w:p w:rsidR="00DF0B58" w:rsidRDefault="003B74E7">
      <w:pPr>
        <w:keepLines/>
        <w:rPr>
          <w:szCs w:val="24"/>
        </w:rPr>
      </w:pPr>
      <w:r>
        <w:lastRenderedPageBreak/>
        <w:t>This project illustrates American performing art genres that have become the common language of youth throughout the world.  Through professional meetings, site visits, and</w:t>
      </w:r>
      <w:r>
        <w:t xml:space="preserve"> hands-on activities, participants will explore extracurricular programs and activities; survey event program planning, design, and implementation; examine the use of traditional and social media to promote performing artists and their craft; and explore u</w:t>
      </w:r>
      <w:r>
        <w:t xml:space="preserve">se of the performing arts as a means of positive engagement with disenfranchised youth.  Participants will attend a variety of performances and have opportunities to showcase their own talents.  </w:t>
      </w:r>
      <w:r>
        <w:br/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rPr>
          <w:b/>
          <w:szCs w:val="24"/>
        </w:rPr>
      </w:pPr>
      <w:r>
        <w:rPr>
          <w:b/>
        </w:rPr>
        <w:t>Project Content:</w:t>
      </w:r>
    </w:p>
    <w:p w:rsidR="00DF0B58" w:rsidRDefault="00DF0B58">
      <w:pPr>
        <w:rPr>
          <w:b/>
          <w:szCs w:val="24"/>
        </w:rPr>
      </w:pPr>
    </w:p>
    <w:p w:rsidR="00DF0B58" w:rsidRDefault="003B74E7">
      <w:pPr>
        <w:keepLines/>
        <w:rPr>
          <w:szCs w:val="24"/>
        </w:rPr>
      </w:pPr>
      <w:r>
        <w:t>Meetings with coordinators of performing</w:t>
      </w:r>
      <w:r>
        <w:t xml:space="preserve"> arts and cultural events and attendance at festivals/concerts that celebrate and highlight multi-culturalism and the performing arts;  </w:t>
      </w:r>
      <w:r>
        <w:br/>
      </w:r>
      <w:r>
        <w:br/>
        <w:t>Appointments with professors, artists and producers to discuss the role of the performing arts in supporting political</w:t>
      </w:r>
      <w:r>
        <w:t xml:space="preserve"> and social agendas;  </w:t>
      </w:r>
      <w:r>
        <w:br/>
      </w:r>
      <w:r>
        <w:br/>
        <w:t xml:space="preserve">Academic appointments to discuss the history of American performing arts and its role in social engagement and advancement; </w:t>
      </w:r>
      <w:r>
        <w:br/>
      </w:r>
      <w:r>
        <w:br/>
        <w:t xml:space="preserve">Visits to outreach programs that use the performing arts to address social issues; </w:t>
      </w:r>
      <w:r>
        <w:br/>
      </w:r>
      <w:r>
        <w:br/>
        <w:t>Meetings with legal e</w:t>
      </w:r>
      <w:r>
        <w:t xml:space="preserve">xperts to discuss freedom of speech as it relates to the performing arts;  </w:t>
      </w:r>
      <w:r>
        <w:br/>
      </w:r>
      <w:r>
        <w:br/>
        <w:t xml:space="preserve">Provide time for performing artists in the group to showcase their talent; and  </w:t>
      </w:r>
      <w:r>
        <w:br/>
      </w:r>
      <w:r>
        <w:br/>
        <w:t>Activities and or performances at restaurants such as Busboys and Poets in Washington, DC, and ad</w:t>
      </w:r>
      <w:r>
        <w:t>ditional venues throughout the United States that support community activism and the performing arts.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rPr>
          <w:b/>
          <w:szCs w:val="24"/>
        </w:rPr>
      </w:pPr>
      <w:r>
        <w:rPr>
          <w:b/>
        </w:rPr>
        <w:t>Project Objectives:</w:t>
      </w:r>
    </w:p>
    <w:p w:rsidR="00DF0B58" w:rsidRDefault="00DF0B58">
      <w:pPr>
        <w:rPr>
          <w:b/>
          <w:szCs w:val="24"/>
        </w:rPr>
      </w:pPr>
    </w:p>
    <w:p w:rsidR="00DF0B58" w:rsidRDefault="003B74E7">
      <w:pPr>
        <w:keepLines/>
        <w:rPr>
          <w:szCs w:val="24"/>
        </w:rPr>
      </w:pPr>
      <w:r>
        <w:t xml:space="preserve">Illustrate the role of the performing arts as it relates to constitutionally guaranteed free speech and its power and potential to shape contemporary values and build civil society;  </w:t>
      </w:r>
      <w:r>
        <w:br/>
      </w:r>
      <w:r>
        <w:br/>
        <w:t>Examine outreach programs that use the performing arts to engage at-ris</w:t>
      </w:r>
      <w:r>
        <w:t xml:space="preserve">k youth in society, teach youth leadership and develop conflict resolution skills;  </w:t>
      </w:r>
      <w:r>
        <w:br/>
      </w:r>
      <w:r>
        <w:br/>
        <w:t xml:space="preserve">Demonstrate how local performing artists raise social awareness, question political agendas;  </w:t>
      </w:r>
      <w:r>
        <w:br/>
      </w:r>
      <w:r>
        <w:br/>
        <w:t>Explore the diversity and roots of distinctively American genres of perfor</w:t>
      </w:r>
      <w:r>
        <w:t xml:space="preserve">ming arts; and  </w:t>
      </w:r>
      <w:r>
        <w:br/>
      </w:r>
      <w:r>
        <w:br/>
        <w:t>Highlight the use various traditional and social media as an outreach and collaboration tool for performing artists.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rPr>
          <w:b/>
          <w:szCs w:val="24"/>
        </w:rPr>
      </w:pPr>
      <w:r>
        <w:rPr>
          <w:b/>
        </w:rPr>
        <w:t>Participant Profile:</w:t>
      </w:r>
    </w:p>
    <w:p w:rsidR="00DF0B58" w:rsidRDefault="00DF0B58">
      <w:pPr>
        <w:rPr>
          <w:b/>
          <w:szCs w:val="24"/>
        </w:rPr>
      </w:pPr>
    </w:p>
    <w:p w:rsidR="00DF0B58" w:rsidRDefault="003B74E7">
      <w:pPr>
        <w:keepLines/>
        <w:rPr>
          <w:szCs w:val="24"/>
        </w:rPr>
      </w:pPr>
      <w:r>
        <w:t>Ideal candidates include community youth organizers, social workers, NGO directors, after-school program coordinators, and performing artists who work with youth.  Participants must be fluent in Arabic.</w:t>
      </w:r>
    </w:p>
    <w:p w:rsidR="00DF0B58" w:rsidRDefault="00DF0B58">
      <w:pPr>
        <w:rPr>
          <w:szCs w:val="24"/>
        </w:rPr>
      </w:pPr>
    </w:p>
    <w:p w:rsidR="00DF0B58" w:rsidRDefault="003B74E7">
      <w:pPr>
        <w:keepLines/>
        <w:rPr>
          <w:b/>
          <w:szCs w:val="24"/>
        </w:rPr>
      </w:pPr>
      <w:r>
        <w:rPr>
          <w:b/>
        </w:rPr>
        <w:t>Post Recommendations:</w:t>
      </w:r>
    </w:p>
    <w:p w:rsidR="00DF0B58" w:rsidRDefault="00DF0B58">
      <w:pPr>
        <w:rPr>
          <w:b/>
          <w:szCs w:val="24"/>
        </w:rPr>
      </w:pPr>
    </w:p>
    <w:p w:rsidR="00DF0B58" w:rsidRDefault="00DF0B58"/>
    <w:p w:rsidR="00DF0B58" w:rsidRDefault="00DF0B58">
      <w:pPr>
        <w:rPr>
          <w:szCs w:val="24"/>
        </w:rPr>
      </w:pPr>
    </w:p>
    <w:p w:rsidR="00DF0B58" w:rsidRDefault="003B74E7">
      <w:pPr>
        <w:keepLines/>
        <w:rPr>
          <w:b/>
          <w:szCs w:val="24"/>
        </w:rPr>
      </w:pPr>
      <w:r>
        <w:rPr>
          <w:b/>
        </w:rPr>
        <w:t>Post Objectives:</w:t>
      </w:r>
    </w:p>
    <w:p w:rsidR="00DF0B58" w:rsidRDefault="00DF0B58">
      <w:pPr>
        <w:rPr>
          <w:b/>
          <w:szCs w:val="24"/>
        </w:rPr>
      </w:pPr>
    </w:p>
    <w:p w:rsidR="00DF0B58" w:rsidRDefault="00DF0B58"/>
    <w:sectPr w:rsidR="00DF0B58">
      <w:pgSz w:w="12240" w:h="15840"/>
      <w:pgMar w:top="1440" w:right="1440" w:bottom="1440" w:left="144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5D3" w:rsidRDefault="003B74E7" w:rsidP="00C44B42">
      <w:r>
        <w:separator/>
      </w:r>
    </w:p>
  </w:endnote>
  <w:endnote w:type="continuationSeparator" w:id="0">
    <w:p w:rsidR="00BF55D3" w:rsidRDefault="003B74E7" w:rsidP="00C4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5D3" w:rsidRDefault="003B74E7" w:rsidP="00C44B42">
      <w:r>
        <w:separator/>
      </w:r>
    </w:p>
  </w:footnote>
  <w:footnote w:type="continuationSeparator" w:id="0">
    <w:p w:rsidR="00BF55D3" w:rsidRDefault="003B74E7" w:rsidP="00C44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144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58"/>
    <w:rsid w:val="003B74E7"/>
    <w:rsid w:val="00DF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1A72AFF-B6AE-431F-A662-F0D5CEFD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5" w:qFormat="1"/>
    <w:lsdException w:name="heading 2" w:semiHidden="1" w:uiPriority="35" w:unhideWhenUsed="1" w:qFormat="1"/>
    <w:lsdException w:name="heading 3" w:semiHidden="1" w:uiPriority="35" w:unhideWhenUsed="1" w:qFormat="1"/>
    <w:lsdException w:name="heading 4" w:semiHidden="1" w:uiPriority="35" w:unhideWhenUsed="1" w:qFormat="1"/>
    <w:lsdException w:name="heading 5" w:semiHidden="1" w:uiPriority="35" w:unhideWhenUsed="1" w:qFormat="1"/>
    <w:lsdException w:name="heading 6" w:semiHidden="1" w:uiPriority="35" w:unhideWhenUsed="1" w:qFormat="1"/>
    <w:lsdException w:name="heading 7" w:semiHidden="1" w:uiPriority="35" w:unhideWhenUsed="1" w:qFormat="1"/>
    <w:lsdException w:name="heading 8" w:semiHidden="1" w:uiPriority="35" w:unhideWhenUsed="1" w:qFormat="1"/>
    <w:lsdException w:name="heading 9" w:semiHidden="1" w:uiPriority="3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6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34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49"/>
    <w:lsdException w:name="Table Theme" w:semiHidden="1" w:unhideWhenUsed="1"/>
    <w:lsdException w:name="Placeholder Text" w:semiHidden="1"/>
    <w:lsdException w:name="No Spacing" w:uiPriority="5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4" w:qFormat="1"/>
    <w:lsdException w:name="Quote" w:uiPriority="44" w:qFormat="1"/>
    <w:lsdException w:name="Intense Quote" w:uiPriority="4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41" w:qFormat="1"/>
    <w:lsdException w:name="Subtle Reference" w:uiPriority="41" w:qFormat="1"/>
    <w:lsdException w:name="Intense Reference" w:uiPriority="42" w:qFormat="1"/>
    <w:lsdException w:name="Book Title" w:uiPriority="43" w:qFormat="1"/>
    <w:lsdException w:name="Bibliography" w:semiHidden="1" w:uiPriority="47" w:unhideWhenUsed="1"/>
    <w:lsdException w:name="TOC Heading" w:semiHidden="1" w:uiPriority="4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29"/>
    <w:semiHidden/>
    <w:unhideWhenUsed/>
    <w:qFormat/>
    <w:pPr>
      <w:outlineLvl w:val="1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uleLine">
    <w:name w:val="Rule Line"/>
    <w:basedOn w:val="Normal"/>
    <w:next w:val="Normal"/>
    <w:uiPriority w:val="27"/>
    <w:qFormat/>
    <w:pPr>
      <w:pBdr>
        <w:bottom w:val="single" w:sz="6" w:space="1" w:color="auto"/>
      </w:pBdr>
      <w:jc w:val="both"/>
    </w:pPr>
  </w:style>
  <w:style w:type="character" w:customStyle="1" w:styleId="Heading1Char">
    <w:name w:val="Heading 1 Char"/>
    <w:basedOn w:val="DefaultParagraphFont"/>
    <w:uiPriority w:val="79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79"/>
    <w:semiHidden/>
    <w:rPr>
      <w:rFonts w:ascii="Times New Roman" w:eastAsiaTheme="majorEastAsia" w:hAnsi="Times New Roman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20"/>
    <w:qFormat/>
    <w:pPr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29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61"/>
    <w:qFormat/>
    <w:pPr>
      <w:numPr>
        <w:ilvl w:val="1"/>
      </w:numPr>
      <w:jc w:val="center"/>
    </w:pPr>
    <w:rPr>
      <w:rFonts w:eastAsiaTheme="minorEastAsia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61"/>
    <w:rPr>
      <w:rFonts w:ascii="Times New Roman" w:eastAsiaTheme="minorEastAsia" w:hAnsi="Times New Roman"/>
      <w:b/>
      <w:spacing w:val="15"/>
      <w:sz w:val="32"/>
    </w:rPr>
  </w:style>
  <w:style w:type="character" w:styleId="SubtleEmphasis">
    <w:name w:val="Subtle Emphasis"/>
    <w:basedOn w:val="DefaultParagraphFont"/>
    <w:uiPriority w:val="79"/>
    <w:qFormat/>
    <w:rPr>
      <w:rFonts w:ascii="Times New Roman" w:hAnsi="Times New Roman"/>
      <w:i/>
      <w:iCs/>
      <w:color w:val="404040" w:themeColor="text1" w:themeTint="BF"/>
      <w:sz w:val="24"/>
    </w:rPr>
  </w:style>
  <w:style w:type="character" w:styleId="Emphasis">
    <w:name w:val="Emphasis"/>
    <w:basedOn w:val="DefaultParagraphFont"/>
    <w:uiPriority w:val="80"/>
    <w:qFormat/>
    <w:rPr>
      <w:rFonts w:ascii="Times New Roman" w:hAnsi="Times New Roman"/>
      <w:i/>
      <w:iCs/>
      <w:sz w:val="24"/>
    </w:rPr>
  </w:style>
  <w:style w:type="character" w:styleId="IntenseEmphasis">
    <w:name w:val="Intense Emphasis"/>
    <w:basedOn w:val="DefaultParagraphFont"/>
    <w:uiPriority w:val="71"/>
    <w:qFormat/>
    <w:rPr>
      <w:rFonts w:ascii="Times New Roman" w:hAnsi="Times New Roman"/>
      <w:i/>
      <w:iCs/>
      <w:color w:val="5B9BD5" w:themeColor="accent1"/>
      <w:sz w:val="24"/>
    </w:rPr>
  </w:style>
  <w:style w:type="character" w:styleId="Strong">
    <w:name w:val="Strong"/>
    <w:basedOn w:val="DefaultParagraphFont"/>
    <w:uiPriority w:val="82"/>
    <w:qFormat/>
    <w:rPr>
      <w:rFonts w:ascii="Times New Roman" w:hAnsi="Times New Roman"/>
      <w:b/>
      <w:bCs/>
      <w:sz w:val="24"/>
    </w:rPr>
  </w:style>
  <w:style w:type="character" w:styleId="BookTitle">
    <w:name w:val="Book Title"/>
    <w:basedOn w:val="DefaultParagraphFont"/>
    <w:uiPriority w:val="43"/>
    <w:qFormat/>
    <w:rPr>
      <w:rFonts w:ascii="Times New Roman" w:hAnsi="Times New Roman"/>
      <w:b/>
      <w:bCs/>
      <w:i/>
      <w:iCs/>
      <w:spacing w:val="5"/>
      <w:sz w:val="24"/>
    </w:rPr>
  </w:style>
  <w:style w:type="character" w:styleId="IntenseReference">
    <w:name w:val="Intense Reference"/>
    <w:basedOn w:val="DefaultParagraphFont"/>
    <w:uiPriority w:val="42"/>
    <w:qFormat/>
    <w:rPr>
      <w:rFonts w:ascii="Times New Roman" w:hAnsi="Times New Roman"/>
      <w:b/>
      <w:bCs/>
      <w:smallCaps/>
      <w:color w:val="5B9BD5" w:themeColor="accent1"/>
      <w:spacing w:val="5"/>
      <w:sz w:val="24"/>
    </w:rPr>
  </w:style>
  <w:style w:type="character" w:styleId="SubtleReference">
    <w:name w:val="Subtle Reference"/>
    <w:basedOn w:val="DefaultParagraphFont"/>
    <w:uiPriority w:val="41"/>
    <w:qFormat/>
    <w:rPr>
      <w:rFonts w:ascii="Times New Roman" w:hAnsi="Times New Roman"/>
      <w:smallCaps/>
      <w:color w:val="5A5A5A" w:themeColor="text1" w:themeTint="A5"/>
      <w:sz w:val="24"/>
    </w:rPr>
  </w:style>
  <w:style w:type="paragraph" w:styleId="IntenseQuote">
    <w:name w:val="Intense Quote"/>
    <w:basedOn w:val="Normal"/>
    <w:next w:val="Normal"/>
    <w:link w:val="IntenseQuoteChar"/>
    <w:uiPriority w:val="40"/>
    <w:qFormat/>
    <w:pPr>
      <w:pBdr>
        <w:top w:val="single" w:sz="4" w:space="10" w:color="5B9BD5" w:themeColor="accent1"/>
        <w:bottom w:val="single" w:sz="4" w:space="10" w:color="5B9BD5" w:themeColor="accent1"/>
      </w:pBdr>
      <w:spacing w:after="24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40"/>
    <w:rPr>
      <w:rFonts w:ascii="Times New Roman" w:hAnsi="Times New Roman"/>
      <w:i/>
      <w:iCs/>
      <w:color w:val="5B9BD5" w:themeColor="accent1"/>
      <w:sz w:val="24"/>
    </w:rPr>
  </w:style>
  <w:style w:type="paragraph" w:styleId="NoSpacing">
    <w:name w:val="No Spacing"/>
    <w:uiPriority w:val="51"/>
    <w:qFormat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D710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P_Applications\EVDB-E_IMS\Templates\IVL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IVLP</Template>
  <TotalTime>1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Data - EVRN-2023-0004</vt:lpstr>
    </vt:vector>
  </TitlesOfParts>
  <Company>ECA/EX/IT</Company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Data - EVRN-2023-0004</dc:title>
  <dc:subject/>
  <dc:creator>Jessica Frank</dc:creator>
  <cp:keywords/>
  <dc:description/>
  <cp:lastModifiedBy>SDDOperations</cp:lastModifiedBy>
  <cp:revision>2</cp:revision>
  <dcterms:created xsi:type="dcterms:W3CDTF">2023-03-02T22:33:00Z</dcterms:created>
  <dcterms:modified xsi:type="dcterms:W3CDTF">2023-03-02T22:33:00Z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iteId">
    <vt:lpwstr>66cf5074-5afe-48d1-a691-a12b2121f44b</vt:lpwstr>
  </property>
  <property fmtid="{D5CDD505-2E9C-101B-9397-08002B2CF9AE}" pid="4" name="MSIP_Label_1665d9ee-429a-4d5f-97cc-cfb56e044a6e_Owner">
    <vt:lpwstr>Jessica Frank</vt:lpwstr>
  </property>
  <property fmtid="{D5CDD505-2E9C-101B-9397-08002B2CF9AE}" pid="5" name="MSIP_Label_1665d9ee-429a-4d5f-97cc-cfb56e044a6e_SetDate">
    <vt:lpwstr>2023-03-02T17:32:08</vt:lpwstr>
  </property>
  <property fmtid="{D5CDD505-2E9C-101B-9397-08002B2CF9AE}" pid="6" name="MSIP_Label_1665d9ee-429a-4d5f-97cc-cfb56e044a6e_Name">
    <vt:lpwstr>?</vt:lpwstr>
  </property>
  <property fmtid="{D5CDD505-2E9C-101B-9397-08002B2CF9AE}" pid="7" name="MSIP_Label_1665d9ee-429a-4d5f-97cc-cfb56e044a6e_Application">
    <vt:lpwstr>IVLP Resource Center</vt:lpwstr>
  </property>
  <property fmtid="{D5CDD505-2E9C-101B-9397-08002B2CF9AE}" pid="8" name="MSIP_Label_1665d9ee-429a-4d5f-97cc-cfb56e044a6e_ActionId">
    <vt:lpwstr>1f7e6edd-ebfb-4d36-bb40-0b03e0d013ca</vt:lpwstr>
  </property>
  <property fmtid="{D5CDD505-2E9C-101B-9397-08002B2CF9AE}" pid="9" name="MSIP_Label_1665d9ee-429a-4d5f-97cc-cfb56e044a6e_Extended_MSFT_Method">
    <vt:lpwstr>reports</vt:lpwstr>
  </property>
  <property fmtid="{D5CDD505-2E9C-101B-9397-08002B2CF9AE}" pid="10" name="Sensitivity">
    <vt:lpwstr>Unclassified</vt:lpwstr>
  </property>
</Properties>
</file>