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smdcp"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endnotes.xml" ContentType="application/vnd.openxmlformats-officedocument.wordprocessingml.endnot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officeDocument/2006/relationships/officeDocument" Target="/word/document.xml" Id="R6a0d1f1857d64ab1" /><Relationship Type="http://schemas.openxmlformats.org/officeDocument/2006/relationships/custom-properties" Target="/docProps/custom.xml" Id="rId4" /><Relationship Type="http://schemas.openxmlformats.org/package/2006/relationships/metadata/core-properties" Target="/package/services/metadata/core-properties/ac72b459ea184885ae75dc9a52be5a5f.psmdcp" Id="R1bd0d38ecfd34b92"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Pr>
        <w:pStyle w:val="Normal"/>
        <w:jc w:val="left"/>
        <w:rPr>
          <w:sz w:val="24"/>
          <w:szCs w:val="24"/>
        </w:rPr>
      </w:pPr>
      <w:r>
        <w:rPr>
          <w:sz w:val="24"/>
        </w:rPr>
        <w:t xml:space="preserve"/>
      </w:r>
    </w:p>
    <w:p>
      <w:pPr>
        <w:pStyle w:val="Normal"/>
        <w:jc w:val="center"/>
        <w:keepLines/>
        <w:rPr>
          <w:b/>
          <w:sz w:val="24"/>
          <w:szCs w:val="24"/>
        </w:rPr>
      </w:pPr>
      <w:r>
        <w:rPr>
          <w:b/>
          <w:sz w:val="24"/>
        </w:rPr>
        <w:t xml:space="preserve">Project Data</w:t>
      </w:r>
    </w:p>
    <w:p>
      <w:pPr>
        <w:pStyle w:val="Normal"/>
        <w:jc w:val="left"/>
        <w:rPr>
          <w:b/>
          <w:sz w:val="24"/>
          <w:szCs w:val="24"/>
        </w:rPr>
      </w:pPr>
      <w:r>
        <w:rPr>
          <w:b/>
          <w:sz w:val="24"/>
        </w:rPr>
        <w:t xml:space="preserve"/>
      </w:r>
    </w:p>
    <w:p>
      <w:pPr>
        <w:pStyle w:val="Normal"/>
        <w:jc w:val="left"/>
        <w:ind w:start="2880" w:hanging="2880"/>
        <w:keepLines/>
        <w:rPr>
          <w:b/>
          <w:sz w:val="24"/>
          <w:szCs w:val="24"/>
        </w:rPr>
      </w:pPr>
      <w:r>
        <w:rPr>
          <w:b/>
          <w:sz w:val="24"/>
        </w:rPr>
        <w:t xml:space="preserve">Project Title:</w:t>
      </w:r>
      <w:r>
        <w:rPr>
          <w:sz w:val="24"/>
        </w:rPr>
        <w:t xml:space="preserve">	Renewable Energy as an Economic Driver</w:t>
      </w:r>
    </w:p>
    <w:p>
      <w:pPr>
        <w:pStyle w:val="Normal"/>
        <w:jc w:val="left"/>
        <w:ind w:start="2880" w:hanging="2880"/>
        <w:keepLines/>
        <w:rPr>
          <w:b/>
          <w:sz w:val="24"/>
          <w:szCs w:val="24"/>
        </w:rPr>
      </w:pPr>
      <w:r>
        <w:rPr>
          <w:b/>
          <w:sz w:val="24"/>
        </w:rPr>
        <w:t xml:space="preserve">Group Name:</w:t>
      </w:r>
      <w:r>
        <w:rPr>
          <w:sz w:val="24"/>
        </w:rPr>
        <w:t xml:space="preserve">	</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Project Number:</w:t>
      </w:r>
      <w:r>
        <w:rPr>
          <w:sz w:val="24"/>
        </w:rPr>
        <w:t xml:space="preserve">	E/VM-2023-0001</w:t>
      </w:r>
    </w:p>
    <w:p>
      <w:pPr>
        <w:pStyle w:val="Normal"/>
        <w:jc w:val="left"/>
        <w:ind w:start="2880" w:hanging="2880"/>
        <w:keepLines/>
        <w:rPr>
          <w:b/>
          <w:sz w:val="24"/>
          <w:szCs w:val="24"/>
        </w:rPr>
      </w:pPr>
      <w:r>
        <w:rPr>
          <w:b/>
          <w:sz w:val="24"/>
        </w:rPr>
        <w:t xml:space="preserve">Project Type:</w:t>
      </w:r>
      <w:r>
        <w:rPr>
          <w:sz w:val="24"/>
        </w:rPr>
        <w:t xml:space="preserve">	Multi-Regional Project</w:t>
      </w:r>
    </w:p>
    <w:p>
      <w:pPr>
        <w:pStyle w:val="Normal"/>
        <w:jc w:val="left"/>
        <w:ind w:start="2880" w:hanging="2880"/>
        <w:keepLines/>
        <w:rPr>
          <w:b/>
          <w:sz w:val="24"/>
          <w:szCs w:val="24"/>
        </w:rPr>
      </w:pPr>
      <w:r>
        <w:rPr>
          <w:b/>
          <w:sz w:val="24"/>
        </w:rPr>
        <w:t xml:space="preserve">Program Type:</w:t>
      </w:r>
      <w:r>
        <w:rPr>
          <w:sz w:val="24"/>
        </w:rPr>
        <w:t xml:space="preserve">	MRP</w:t>
      </w:r>
    </w:p>
    <w:p>
      <w:pPr>
        <w:pStyle w:val="Normal"/>
        <w:jc w:val="left"/>
        <w:ind w:start="2880" w:hanging="2880"/>
        <w:keepLines/>
        <w:rPr>
          <w:b/>
          <w:sz w:val="24"/>
          <w:szCs w:val="24"/>
        </w:rPr>
      </w:pPr>
      <w:r>
        <w:rPr>
          <w:b/>
          <w:sz w:val="24"/>
        </w:rPr>
        <w:t xml:space="preserve">Fiscal Year:</w:t>
      </w:r>
      <w:r>
        <w:rPr>
          <w:sz w:val="24"/>
        </w:rPr>
        <w:t xml:space="preserve">	2023</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Estimated Participants:</w:t>
      </w:r>
      <w:r>
        <w:rPr>
          <w:sz w:val="24"/>
        </w:rPr>
        <w:t xml:space="preserve">	24</w:t>
      </w:r>
    </w:p>
    <w:p>
      <w:pPr>
        <w:pStyle w:val="Normal"/>
        <w:jc w:val="left"/>
        <w:ind w:start="2880" w:hanging="2880"/>
        <w:keepLines/>
        <w:rPr>
          <w:b/>
          <w:sz w:val="24"/>
          <w:szCs w:val="24"/>
        </w:rPr>
      </w:pPr>
      <w:r>
        <w:rPr>
          <w:b/>
          <w:sz w:val="24"/>
        </w:rPr>
        <w:t xml:space="preserve">Approved Participants:</w:t>
      </w:r>
      <w:r>
        <w:rPr>
          <w:sz w:val="24"/>
        </w:rPr>
        <w:t xml:space="preserve">	0</w:t>
      </w:r>
    </w:p>
    <w:p>
      <w:pPr>
        <w:pStyle w:val="Normal"/>
        <w:jc w:val="left"/>
        <w:ind w:start="2880" w:hanging="2880"/>
        <w:keepLines/>
        <w:rPr>
          <w:b/>
          <w:sz w:val="24"/>
          <w:szCs w:val="24"/>
        </w:rPr>
      </w:pPr>
      <w:r>
        <w:rPr>
          <w:b/>
          <w:sz w:val="24"/>
        </w:rPr>
        <w:t xml:space="preserve">Organization Participants:</w:t>
      </w:r>
      <w:r>
        <w:rPr>
          <w:sz w:val="24"/>
        </w:rPr>
        <w:t xml:space="preserve">	0</w:t>
      </w:r>
    </w:p>
    <w:p>
      <w:pPr>
        <w:pStyle w:val="Normal"/>
        <w:jc w:val="left"/>
        <w:ind w:start="2880" w:hanging="2880"/>
        <w:keepLines/>
        <w:rPr>
          <w:b/>
          <w:sz w:val="24"/>
          <w:szCs w:val="24"/>
        </w:rPr>
      </w:pPr>
      <w:r>
        <w:rPr>
          <w:b/>
          <w:sz w:val="24"/>
        </w:rPr>
        <w:t xml:space="preserve">Start Date:</w:t>
      </w:r>
      <w:r>
        <w:rPr>
          <w:sz w:val="24"/>
        </w:rPr>
        <w:t xml:space="preserve">	07/10/2023</w:t>
      </w:r>
    </w:p>
    <w:p>
      <w:pPr>
        <w:pStyle w:val="Normal"/>
        <w:jc w:val="left"/>
        <w:ind w:start="2880" w:hanging="2880"/>
        <w:keepLines/>
        <w:rPr>
          <w:b/>
          <w:sz w:val="24"/>
          <w:szCs w:val="24"/>
        </w:rPr>
      </w:pPr>
      <w:r>
        <w:rPr>
          <w:b/>
          <w:sz w:val="24"/>
        </w:rPr>
        <w:t xml:space="preserve">End Date:</w:t>
      </w:r>
      <w:r>
        <w:rPr>
          <w:sz w:val="24"/>
        </w:rPr>
        <w:t xml:space="preserve">	07/28/2023</w:t>
      </w:r>
    </w:p>
    <w:p>
      <w:pPr>
        <w:pStyle w:val="Normal"/>
        <w:jc w:val="left"/>
        <w:ind w:start="2880" w:hanging="2880"/>
        <w:keepLines/>
        <w:rPr>
          <w:b/>
          <w:sz w:val="24"/>
          <w:szCs w:val="24"/>
        </w:rPr>
      </w:pPr>
      <w:r>
        <w:rPr>
          <w:b/>
          <w:sz w:val="24"/>
        </w:rPr>
        <w:t xml:space="preserve">Estimated Arrival:</w:t>
      </w:r>
      <w:r>
        <w:rPr>
          <w:sz w:val="24"/>
        </w:rPr>
        <w:t xml:space="preserve">	07/08/2023</w:t>
      </w:r>
    </w:p>
    <w:p>
      <w:pPr>
        <w:pStyle w:val="Normal"/>
        <w:jc w:val="left"/>
        <w:ind w:start="2880" w:hanging="2880"/>
        <w:keepLines/>
        <w:rPr>
          <w:b/>
          <w:sz w:val="24"/>
          <w:szCs w:val="24"/>
        </w:rPr>
      </w:pPr>
      <w:r>
        <w:rPr>
          <w:b/>
          <w:sz w:val="24"/>
        </w:rPr>
        <w:t xml:space="preserve">Estimated Departure:</w:t>
      </w:r>
      <w:r>
        <w:rPr>
          <w:sz w:val="24"/>
        </w:rPr>
        <w:t xml:space="preserve">	07/29/2023</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Sponsoring Agency:</w:t>
      </w:r>
      <w:r>
        <w:rPr>
          <w:sz w:val="24"/>
        </w:rPr>
        <w:t xml:space="preserve">	IVLP Division</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State Department Officers:</w:t>
      </w:r>
      <w:r>
        <w:rPr>
          <w:sz w:val="24"/>
        </w:rPr>
        <w:t xml:space="preserve">	Eisenberg, Jenny</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State Program Coordinator:</w:t>
      </w:r>
      <w:r>
        <w:rPr>
          <w:sz w:val="24"/>
        </w:rPr>
        <w:t xml:space="preserve">	Quintero Ramirez, Juan</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Agency:</w:t>
      </w:r>
      <w:r>
        <w:rPr>
          <w:sz w:val="24"/>
        </w:rPr>
        <w:t xml:space="preserve">	American Councils for International Education</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Officer:</w:t>
      </w:r>
      <w:r>
        <w:rPr>
          <w:sz w:val="24"/>
        </w:rPr>
        <w:t xml:space="preserve">	Bobbitt, William</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Associate:</w:t>
      </w:r>
      <w:r>
        <w:rPr>
          <w:sz w:val="24"/>
        </w:rPr>
        <w:t xml:space="preserve">	Peterson, Joshua</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Subject(s):</w:t>
      </w:r>
      <w:r>
        <w:rPr>
          <w:sz w:val="24"/>
        </w:rPr>
        <w:t xml:space="preserve">	</w:t>
      </w:r>
      <w:r>
        <w:rPr>
          <w:b/>
          <w:sz w:val="24"/>
        </w:rPr>
        <w:t xml:space="preserve">Energy</w:t>
      </w:r>
      <w:r>
        <w:rPr>
          <w:sz w:val="24"/>
        </w:rPr>
        <w:br/>
        <w:t xml:space="preserve">Environment &amp; Sustainable Development</w:t>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Description:</w:t>
      </w:r>
    </w:p>
    <w:p>
      <w:pPr>
        <w:pStyle w:val="Normal"/>
        <w:jc w:val="left"/>
        <w:rPr>
          <w:b/>
          <w:sz w:val="24"/>
          <w:szCs w:val="24"/>
        </w:rPr>
      </w:pPr>
      <w:r>
        <w:rPr>
          <w:b/>
          <w:sz w:val="24"/>
        </w:rPr>
        <w:t xml:space="preserve"/>
      </w:r>
    </w:p>
    <w:p>
      <w:pPr>
        <w:pStyle w:val="Normal"/>
        <w:jc w:val="left"/>
        <w:keepLines/>
        <w:rPr>
          <w:sz w:val="24"/>
          <w:szCs w:val="24"/>
        </w:rPr>
      </w:pPr>
      <w:r>
        <w:rPr>
          <w:sz w:val="24"/>
        </w:rPr>
        <w:t xml:space="preserve">This project examines how sustainable energy development fosters global political stability and prosperity.  Meetings, site visits, and activities will highlight how developing and innovating clean energy technologies leads to economic prosperity, energy matrix modernization, and environmental sustainability.  Discussions will focus on how renewable energy resources diversify sources of energy supply and allow for greater energy independence, thus increasing geopolitical stability and reducing the potential for malign influence.  Participants will explore U.S. policies; public-private partnership programs at the federal, state, and city levels; incubators and innovation hubs that support renewable energy and grid infrastructure sectors; and how energy innovation can strengthen local and regional economies.   </w:t>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Content:</w:t>
      </w:r>
    </w:p>
    <w:p>
      <w:pPr>
        <w:pStyle w:val="Normal"/>
        <w:jc w:val="left"/>
        <w:rPr>
          <w:b/>
          <w:sz w:val="24"/>
          <w:szCs w:val="24"/>
        </w:rPr>
      </w:pPr>
      <w:r>
        <w:rPr>
          <w:b/>
          <w:sz w:val="24"/>
        </w:rPr>
        <w:t xml:space="preserve"/>
      </w:r>
    </w:p>
    <w:p>
      <w:pPr>
        <w:pStyle w:val="Normal"/>
        <w:jc w:val="left"/>
        <w:keepLines/>
        <w:rPr>
          <w:sz w:val="24"/>
          <w:szCs w:val="24"/>
        </w:rPr>
      </w:pPr>
      <w:r>
        <w:rPr>
          <w:sz w:val="24"/>
        </w:rPr>
        <w:t xml:space="preserve">Meetings with clean energy incubators and accelerators, as well as with think tanks, community based organizations, government leaders at all levels (state.local federal), as well as with utilities and power system operators, and U.S. national laboratories;</w:t>
      </w:r>
      <w:r>
        <w:rPr>
          <w:sz w:val="24"/>
        </w:rPr>
        <w:br/>
        <w:t xml:space="preserve"/>
      </w:r>
      <w:r>
        <w:rPr>
          <w:sz w:val="24"/>
        </w:rPr>
        <w:br/>
        <w:t xml:space="preserve">Site visits to alternative energy sources such as hydro electric, solar, wind, geothermal, and tidal power; </w:t>
      </w:r>
      <w:r>
        <w:rPr>
          <w:sz w:val="24"/>
        </w:rPr>
        <w:br/>
        <w:t xml:space="preserve"/>
      </w:r>
      <w:r>
        <w:rPr>
          <w:sz w:val="24"/>
        </w:rPr>
        <w:br/>
        <w:t xml:space="preserve">Case studies of communities that have successfully utilized green technologies; and</w:t>
      </w:r>
      <w:r>
        <w:rPr>
          <w:sz w:val="24"/>
        </w:rPr>
        <w:br/>
        <w:t xml:space="preserve"/>
      </w:r>
      <w:r>
        <w:rPr>
          <w:sz w:val="24"/>
        </w:rPr>
        <w:br/>
        <w:t xml:space="preserve">Hands-on activities at laboratories, research centers, and academic institutions that study and develop alternative energy services and technologies.</w:t>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Objectives:</w:t>
      </w:r>
    </w:p>
    <w:p>
      <w:pPr>
        <w:pStyle w:val="Normal"/>
        <w:jc w:val="left"/>
        <w:rPr>
          <w:b/>
          <w:sz w:val="24"/>
          <w:szCs w:val="24"/>
        </w:rPr>
      </w:pPr>
      <w:r>
        <w:rPr>
          <w:b/>
          <w:sz w:val="24"/>
        </w:rPr>
        <w:t xml:space="preserve"/>
      </w:r>
    </w:p>
    <w:p>
      <w:pPr>
        <w:pStyle w:val="Normal"/>
        <w:jc w:val="left"/>
        <w:keepLines/>
        <w:rPr>
          <w:sz w:val="24"/>
          <w:szCs w:val="24"/>
        </w:rPr>
      </w:pPr>
      <w:r>
        <w:rPr>
          <w:sz w:val="24"/>
        </w:rPr>
        <w:t xml:space="preserve">Provide an overview of U.S. policies at the federal, state and local levels that drive innovation in clean energy;</w:t>
      </w:r>
      <w:r>
        <w:rPr>
          <w:sz w:val="24"/>
        </w:rPr>
        <w:br/>
        <w:t xml:space="preserve"/>
      </w:r>
      <w:r>
        <w:rPr>
          <w:sz w:val="24"/>
        </w:rPr>
        <w:br/>
        <w:t xml:space="preserve">Explore how supply diversification can increase geopolitical stability, reduce potential for malign influence, and contribute to resilience;</w:t>
      </w:r>
      <w:r>
        <w:rPr>
          <w:sz w:val="24"/>
        </w:rPr>
        <w:br/>
        <w:t xml:space="preserve"/>
      </w:r>
      <w:r>
        <w:rPr>
          <w:sz w:val="24"/>
        </w:rPr>
        <w:br/>
        <w:t xml:space="preserve">Explore innovations in renewable energy and in the energy grid from economic, environmental, and security perspectives;   </w:t>
      </w:r>
      <w:r>
        <w:rPr>
          <w:sz w:val="24"/>
        </w:rPr>
        <w:br/>
        <w:t xml:space="preserve"/>
      </w:r>
      <w:r>
        <w:rPr>
          <w:sz w:val="24"/>
        </w:rPr>
        <w:br/>
        <w:t xml:space="preserve">Study how the development and installation of alternative energy technologies can provide employment and economic opportunity for marginalized communities; </w:t>
      </w:r>
      <w:r>
        <w:rPr>
          <w:sz w:val="24"/>
        </w:rPr>
        <w:br/>
        <w:t xml:space="preserve"/>
      </w:r>
      <w:r>
        <w:rPr>
          <w:sz w:val="24"/>
        </w:rPr>
        <w:br/>
        <w:t xml:space="preserve">Examine how renewable energy innovation hubs and clean energy accelerators serve as economic drivers; and</w:t>
      </w:r>
      <w:r>
        <w:rPr>
          <w:sz w:val="24"/>
        </w:rPr>
        <w:br/>
        <w:t xml:space="preserve"/>
      </w:r>
      <w:r>
        <w:rPr>
          <w:sz w:val="24"/>
        </w:rPr>
        <w:br/>
        <w:t xml:space="preserve">Examine the role of universities and think tanks in incubating new technologies, including technology transfer from academic development to business applications. </w:t>
      </w:r>
    </w:p>
    <w:p>
      <w:pPr>
        <w:pStyle w:val="Normal"/>
        <w:jc w:val="left"/>
        <w:rPr>
          <w:sz w:val="24"/>
          <w:szCs w:val="24"/>
        </w:rPr>
      </w:pPr>
      <w:r>
        <w:rPr>
          <w:sz w:val="24"/>
        </w:rPr>
        <w:t xml:space="preserve"/>
      </w:r>
    </w:p>
    <w:p>
      <w:pPr>
        <w:pStyle w:val="Normal"/>
        <w:jc w:val="left"/>
        <w:keepLines/>
        <w:rPr>
          <w:b/>
          <w:sz w:val="24"/>
          <w:szCs w:val="24"/>
        </w:rPr>
      </w:pPr>
      <w:r>
        <w:rPr>
          <w:b/>
          <w:sz w:val="24"/>
        </w:rPr>
        <w:t xml:space="preserve">Participant Profile:</w:t>
      </w:r>
    </w:p>
    <w:p>
      <w:pPr>
        <w:pStyle w:val="Normal"/>
        <w:jc w:val="left"/>
        <w:rPr>
          <w:b/>
          <w:sz w:val="24"/>
          <w:szCs w:val="24"/>
        </w:rPr>
      </w:pPr>
      <w:r>
        <w:rPr>
          <w:b/>
          <w:sz w:val="24"/>
        </w:rPr>
        <w:t xml:space="preserve"/>
      </w:r>
    </w:p>
    <w:p>
      <w:pPr>
        <w:pStyle w:val="Normal"/>
        <w:jc w:val="left"/>
        <w:keepLines/>
        <w:rPr>
          <w:sz w:val="24"/>
          <w:szCs w:val="24"/>
        </w:rPr>
      </w:pPr>
      <w:r>
        <w:rPr>
          <w:sz w:val="24"/>
        </w:rPr>
        <w:t xml:space="preserve">Ideal candidates include policy makers, entrepreneurs, energy regulators, representatives of power companies, grid operators, researchers, NGO leaders, environmental advocates, and journalists.  Participants must be fluent in English.</w:t>
      </w:r>
    </w:p>
    <w:p>
      <w:pPr>
        <w:pStyle w:val="Normal"/>
        <w:jc w:val="left"/>
        <w:rPr>
          <w:sz w:val="24"/>
          <w:szCs w:val="24"/>
        </w:rPr>
      </w:pPr>
      <w:r>
        <w:rPr>
          <w:sz w:val="24"/>
        </w:rPr>
        <w:t xml:space="preserve"/>
      </w:r>
    </w:p>
    <w:p>
      <w:pPr>
        <w:pStyle w:val="Normal"/>
        <w:jc w:val="left"/>
        <w:keepLines/>
        <w:rPr>
          <w:b/>
          <w:sz w:val="24"/>
          <w:szCs w:val="24"/>
        </w:rPr>
      </w:pPr>
      <w:r>
        <w:rPr>
          <w:b/>
          <w:sz w:val="24"/>
        </w:rPr>
        <w:t xml:space="preserve">Post Recommendations:</w:t>
      </w:r>
    </w:p>
    <w:p>
      <w:pPr>
        <w:pStyle w:val="Normal"/>
        <w:jc w:val="left"/>
        <w:rPr>
          <w:b/>
          <w:sz w:val="24"/>
          <w:szCs w:val="24"/>
        </w:rPr>
      </w:pPr>
      <w:r>
        <w:rPr>
          <w:b/>
          <w:sz w:val="24"/>
        </w:rPr>
        <w:t xml:space="preserve"/>
      </w:r>
    </w:p>
    <w:p/>
    <w:p>
      <w:pPr>
        <w:pStyle w:val="Normal"/>
        <w:jc w:val="left"/>
        <w:rPr>
          <w:sz w:val="24"/>
          <w:szCs w:val="24"/>
        </w:rPr>
      </w:pPr>
      <w:r>
        <w:rPr>
          <w:sz w:val="24"/>
        </w:rPr>
        <w:t xml:space="preserve"/>
      </w:r>
    </w:p>
    <w:p>
      <w:pPr>
        <w:pStyle w:val="Normal"/>
        <w:jc w:val="left"/>
        <w:keepLines/>
        <w:rPr>
          <w:b/>
          <w:sz w:val="24"/>
          <w:szCs w:val="24"/>
        </w:rPr>
      </w:pPr>
      <w:r>
        <w:rPr>
          <w:b/>
          <w:sz w:val="24"/>
        </w:rPr>
        <w:t xml:space="preserve">Post Objectives:</w:t>
      </w:r>
    </w:p>
    <w:p>
      <w:pPr>
        <w:pStyle w:val="Normal"/>
        <w:jc w:val="left"/>
        <w:rPr>
          <w:b/>
          <w:sz w:val="24"/>
          <w:szCs w:val="24"/>
        </w:rPr>
      </w:pPr>
      <w:r>
        <w:rPr>
          <w:b/>
          <w:sz w:val="24"/>
        </w:rPr>
        <w:t xml:space="preserve"/>
      </w:r>
    </w:p>
    <w:p/>
    <w:sectPr>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P="00C44B42" w:rsidRDefault="00BF55D3">
      <w:pPr>
        <w:spacing w:line="240" w:lineRule="auto"/>
      </w:pPr>
      <w:r>
        <w:separator/>
      </w:r>
    </w:p>
  </w:endnote>
  <w:endnote w:type="continuationSeparator" w:id="0">
    <w:p w:rsidR="00BF55D3" w:rsidP="00C44B42" w:rsidRDefault="00BF5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P="00C44B42" w:rsidRDefault="00BF55D3">
      <w:pPr>
        <w:spacing w:line="240" w:lineRule="auto"/>
      </w:pPr>
      <w:r>
        <w:separator/>
      </w:r>
    </w:p>
  </w:footnote>
  <w:footnote w:type="continuationSeparator" w:id="0">
    <w:p w:rsidR="00BF55D3" w:rsidP="00C44B42" w:rsidRDefault="00BF55D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0" w:line="240" w:lineRule="auto"/>
      </w:pPr>
    </w:pPrDefault>
  </w:docDefaults>
  <w:latentStyles w:defLockedState="false" w:defUIPriority="99" w:defSemiHidden="false" w:defUnhideWhenUsed="false" w:defQFormat="false" w:count="371">
    <w:lsdException w:name="Normal" w:uiPriority="0" w:qFormat="true"/>
    <w:lsdException w:name="heading 1" w:uiPriority="35" w:qFormat="true"/>
    <w:lsdException w:name="heading 2" w:uiPriority="35" w:semiHidden="true" w:unhideWhenUsed="true" w:qFormat="true"/>
    <w:lsdException w:name="heading 3" w:uiPriority="35" w:semiHidden="true" w:unhideWhenUsed="true" w:qFormat="true"/>
    <w:lsdException w:name="heading 4" w:uiPriority="35" w:semiHidden="true" w:unhideWhenUsed="true" w:qFormat="true"/>
    <w:lsdException w:name="heading 5" w:uiPriority="35" w:semiHidden="true" w:unhideWhenUsed="true" w:qFormat="true"/>
    <w:lsdException w:name="heading 6" w:uiPriority="35" w:semiHidden="true" w:unhideWhenUsed="true" w:qFormat="true"/>
    <w:lsdException w:name="heading 7" w:uiPriority="35" w:semiHidden="true" w:unhideWhenUsed="true" w:qFormat="true"/>
    <w:lsdException w:name="heading 8" w:uiPriority="35" w:semiHidden="true" w:unhideWhenUsed="true" w:qFormat="true"/>
    <w:lsdException w:name="heading 9" w:uiPriority="35"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6"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34"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4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52" w:qFormat="true"/>
    <w:lsdException w:name="Emphasis" w:uiPriority="5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49"/>
    <w:lsdException w:name="Table Theme" w:semiHidden="true" w:unhideWhenUsed="true"/>
    <w:lsdException w:name="Placeholder Text" w:semiHidden="true"/>
    <w:lsdException w:name="No Spacing" w:uiPriority="5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54" w:qFormat="true"/>
    <w:lsdException w:name="Quote" w:uiPriority="44" w:qFormat="true"/>
    <w:lsdException w:name="Intense Quote" w:uiPriority="45"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41" w:qFormat="true"/>
    <w:lsdException w:name="Subtle Reference" w:uiPriority="41" w:qFormat="true"/>
    <w:lsdException w:name="Intense Reference" w:uiPriority="42" w:qFormat="true"/>
    <w:lsdException w:name="Book Title" w:uiPriority="43" w:qFormat="true"/>
    <w:lsdException w:name="Bibliography" w:uiPriority="47" w:semiHidden="true" w:unhideWhenUsed="true"/>
    <w:lsdException w:name="TOC Heading" w:uiPriority="48"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true">
    <w:name w:val="Normal"/>
    <w:qFormat/>
    <w:pPr>
      <w:spacing w:line="240" w:lineRule="auto"/>
    </w:pPr>
    <w:rPr>
      <w:rFonts w:ascii="Times New Roman" w:hAnsi="Times New Roman"/>
      <w:sz w:val="24"/>
    </w:rPr>
  </w:style>
  <w:style w:type="paragraph" w:styleId="Rule Line">
    <w:name w:val="Rule Line"/>
    <w:basedOn w:val="Normal"/>
    <w:next w:val="Normal"/>
    <w:uiPriority w:val="27"/>
    <w:qFormat/>
    <w:pPr>
      <w:pBdr>
        <w:bottom w:val="single" w:color="auto" w:sz="6" w:space="1"/>
      </w:pBdr>
      <w:jc w:val="both"/>
    </w:pPr>
  </w:style>
  <w:style w:type="paragraph" w:styleId="Heading2">
    <w:name w:val="heading 2"/>
    <w:basedOn w:val="Normal"/>
    <w:next w:val="Normal"/>
    <w:link w:val="Heading2Char"/>
    <w:uiPriority w:val="29"/>
    <w:semiHidden/>
    <w:unhideWhenUsed/>
    <w:qFormat/>
    <w:pPr>
      <w:spacing w:after="0" w:line="240" w:lineRule="auto"/>
      <w:outlineLvl w:val="1"/>
    </w:pPr>
    <w:rPr>
      <w:rFonts w:eastAsiaTheme="majorEastAsia" w:cstheme="majorBidi"/>
      <w:b/>
      <w:szCs w:val="24"/>
    </w:rPr>
  </w:style>
  <w:style w:type="character" w:styleId="DefaultParagraphFont" w:default="true">
    <w:name w:val="Default Paragraph Font"/>
    <w:uiPriority w:val="3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Heading1Char" w:customStyle="true">
    <w:name w:val="Heading 1 Char"/>
    <w:basedOn w:val="DefaultParagraphFont"/>
    <w:link w:val="Heading1"/>
    <w:uiPriority w:val="79"/>
    <w:rPr>
      <w:rFonts w:ascii="Times New Roman" w:hAnsi="Times New Roman" w:eastAsiaTheme="majorEastAsia" w:cstheme="majorBidi"/>
      <w:b/>
      <w:sz w:val="24"/>
      <w:szCs w:val="32"/>
    </w:rPr>
  </w:style>
  <w:style w:type="character" w:styleId="Heading2Char" w:customStyle="true">
    <w:name w:val="Heading 2 Char"/>
    <w:basedOn w:val="DefaultParagraphFont"/>
    <w:link w:val="Heading2"/>
    <w:uiPriority w:val="79"/>
    <w:semiHidden/>
    <w:rPr>
      <w:rFonts w:ascii="Times New Roman" w:hAnsi="Times New Roman" w:eastAsiaTheme="majorEastAsia" w:cstheme="majorBidi"/>
      <w:b/>
      <w:sz w:val="24"/>
      <w:szCs w:val="26"/>
    </w:rPr>
  </w:style>
  <w:style w:type="paragraph" w:styleId="Title">
    <w:name w:val="Title"/>
    <w:basedOn w:val="Normal"/>
    <w:next w:val="Normal"/>
    <w:link w:val="TitleChar"/>
    <w:uiPriority w:val="20"/>
    <w:qFormat/>
    <w:pPr>
      <w:spacing w:after="0"/>
      <w:contextualSpacing/>
      <w:jc w:val="center"/>
    </w:pPr>
    <w:rPr>
      <w:rFonts w:eastAsiaTheme="majorEastAsia" w:cstheme="majorBidi"/>
      <w:b/>
      <w:spacing w:val="-10"/>
      <w:kern w:val="28"/>
      <w:sz w:val="40"/>
      <w:szCs w:val="56"/>
    </w:rPr>
  </w:style>
  <w:style w:type="character" w:styleId="TitleChar" w:customStyle="true">
    <w:name w:val="Title Char"/>
    <w:basedOn w:val="DefaultParagraphFont"/>
    <w:link w:val="Title"/>
    <w:uiPriority w:val="29"/>
    <w:rPr>
      <w:rFonts w:ascii="Times New Roman" w:hAnsi="Times New Roman" w:eastAsiaTheme="majorEastAsia"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styleId="SubtitleChar" w:customStyle="true">
    <w:name w:val="Subtitle Char"/>
    <w:basedOn w:val="DefaultParagraphFont"/>
    <w:link w:val="Subtitle"/>
    <w:uiPriority w:val="61"/>
    <w:rPr>
      <w:rFonts w:ascii="Times New Roman" w:hAnsi="Times New Roman" w:eastAsiaTheme="minorEastAsia"/>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color="5B9BD5" w:themeColor="accent1" w:sz="4" w:space="10"/>
        <w:bottom w:val="single" w:color="5B9BD5" w:themeColor="accent1" w:sz="4" w:space="10"/>
      </w:pBdr>
      <w:spacing w:before="0" w:after="240"/>
      <w:ind w:start="864" w:end="864"/>
      <w:jc w:val="center"/>
    </w:pPr>
    <w:rPr>
      <w:i/>
      <w:iCs/>
      <w:color w:val="5B9BD5" w:themeColor="accent1"/>
    </w:rPr>
  </w:style>
  <w:style w:type="character" w:styleId="IntenseQuoteChar" w:customStyle="true">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pPr>
      <w:spacing w:after="0" w:line="240" w:lineRule="auto"/>
    </w:pPr>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theme" Target="/word/theme/theme1.xml" Id="rId6"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fontTable" Target="/word/fontTable.xml" Id="rId7" /><Relationship Type="http://schemas.openxmlformats.org/officeDocument/2006/relationships/endnotes" Target="/word/endnotes.xml" Id="rId5" /><Relationship Type="http://schemas.openxmlformats.org/officeDocument/2006/relationships/footnotes" Target="/word/footnotes.xml" Id="rId4" /></Relationships>
</file>

<file path=word/_rels/settings.xml.rels>&#65279;<?xml version="1.0" encoding="utf-8"?><Relationships xmlns="http://schemas.openxmlformats.org/package/2006/relationships"><Relationship Type="http://schemas.openxmlformats.org/officeDocument/2006/relationships/attachedTemplate" Target="file:///C:\AP_Applications\EVDB-E_IMS\Templates\IVLP.dotx" TargetMode="Externa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IVLP</ap:Template>
  <ap:TotalTime>0</ap:TotalTime>
  <ap:Pages>1</ap:Pages>
  <ap:Words>416</ap:Words>
  <ap:Characters>2840</ap:Characters>
  <ap:Application>Microsoft Office Word</ap:Application>
  <ap:DocSecurity>8</ap:DocSecurity>
  <ap:Lines>59</ap:Lines>
  <ap:Paragraphs>54</ap:Paragraphs>
  <ap:ScaleCrop>false</ap:ScaleCrop>
  <ap:HeadingPairs>
    <vt:vector baseType="variant" size="2">
      <vt:variant>
        <vt:lpstr>Title</vt:lpstr>
      </vt:variant>
      <vt:variant>
        <vt:i4>1</vt:i4>
      </vt:variant>
    </vt:vector>
  </ap:HeadingPairs>
  <ap:TitlesOfParts>
    <vt:vector baseType="lpstr" size="1">
      <vt:lpstr/>
    </vt:vector>
  </ap:TitlesOfParts>
  <ap:Company>ECA/EX/IT</ap:Company>
  <ap:LinksUpToDate>false</ap:LinksUpToDate>
  <ap:CharactersWithSpaces>3246</ap:CharactersWithSpaces>
  <ap:SharedDoc>false</ap:SharedDoc>
  <ap:HyperlinksChanged>false</ap:HyperlinksChanged>
  <ap:AppVersion>16.0000</ap:AppVersion>
</ap:Properties>
</file>

<file path=docProps/custom.xml><?xml version="1.0" encoding="utf-8"?>
<op:Properties xmlns:vt="http://schemas.openxmlformats.org/officeDocument/2006/docPropsVTypes" xmlns:op="http://schemas.openxmlformats.org/officeDocument/2006/custom-properties">
  <op:property fmtid="{D5CDD505-2E9C-101B-9397-08002B2CF9AE}" pid="2" name="MSIP_Label_1665d9ee-429a-4d5f-97cc-cfb56e044a6e_Enabled">
    <vt:lpwstr>True</vt:lpwstr>
  </op:property>
  <op:property fmtid="{D5CDD505-2E9C-101B-9397-08002B2CF9AE}" pid="3" name="MSIP_Label_1665d9ee-429a-4d5f-97cc-cfb56e044a6e_SiteId">
    <vt:lpwstr>66cf5074-5afe-48d1-a691-a12b2121f44b</vt:lpwstr>
  </op:property>
  <op:property fmtid="{D5CDD505-2E9C-101B-9397-08002B2CF9AE}" pid="4" name="MSIP_Label_1665d9ee-429a-4d5f-97cc-cfb56e044a6e_Owner">
    <vt:lpwstr>Lulu Bonning</vt:lpwstr>
  </op:property>
  <op:property fmtid="{D5CDD505-2E9C-101B-9397-08002B2CF9AE}" pid="5" name="MSIP_Label_1665d9ee-429a-4d5f-97cc-cfb56e044a6e_SetDate">
    <vt:lpwstr>2023-03-21T21:13:32</vt:lpwstr>
  </op:property>
  <op:property fmtid="{D5CDD505-2E9C-101B-9397-08002B2CF9AE}" pid="6" name="MSIP_Label_1665d9ee-429a-4d5f-97cc-cfb56e044a6e_Name">
    <vt:lpwstr>?</vt:lpwstr>
  </op:property>
  <op:property fmtid="{D5CDD505-2E9C-101B-9397-08002B2CF9AE}" pid="7" name="MSIP_Label_1665d9ee-429a-4d5f-97cc-cfb56e044a6e_Application">
    <vt:lpwstr>IVLP Resource Center</vt:lpwstr>
  </op:property>
  <op:property fmtid="{D5CDD505-2E9C-101B-9397-08002B2CF9AE}" pid="8" name="MSIP_Label_1665d9ee-429a-4d5f-97cc-cfb56e044a6e_ActionId">
    <vt:lpwstr>1f7e6edd-ebfb-4d36-bb40-0b03e0d013ca</vt:lpwstr>
  </op:property>
  <op:property fmtid="{D5CDD505-2E9C-101B-9397-08002B2CF9AE}" pid="9" name="MSIP_Label_1665d9ee-429a-4d5f-97cc-cfb56e044a6e_Extended_MSFT_Method">
    <vt:lpwstr>reports</vt:lpwstr>
  </op:property>
  <op:property fmtid="{D5CDD505-2E9C-101B-9397-08002B2CF9AE}" pid="10" name="Sensitivity">
    <vt:lpwstr>Unclassified</vt:lpwstr>
  </op:property>
</op:Properties>
</file>