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8" w:type="dxa"/>
        <w:jc w:val="center"/>
        <w:tblInd w:w="0" w:type="dxa"/>
        <w:tblBorders/>
        <w:tblCellMar>
          <w:top w:w="55" w:type="dxa"/>
          <w:start w:w="55" w:type="dxa"/>
          <w:bottom w:w="55" w:type="dxa"/>
          <w:end w:w="55" w:type="dxa"/>
        </w:tblCellMar>
      </w:tblPr>
      <w:tblGrid>
        <w:gridCol w:w="2377"/>
        <w:gridCol w:w="6701"/>
      </w:tblGrid>
      <w:tr>
        <w:trPr/>
        <w:tc>
          <w:tcPr>
            <w:tcW w:w="2377" w:type="dxa"/>
            <w:tcBorders/>
            <w:shd w:fill="auto" w:val="clear"/>
          </w:tcPr>
          <w:p>
            <w:pPr>
              <w:pStyle w:val="Contenudetableau"/>
              <w:jc w:val="center"/>
              <w:rPr>
                <w:rStyle w:val="Policepardfaut"/>
                <w:lang w:eastAsia="fr-FR" w:bidi="ar-SA"/>
              </w:rPr>
            </w:pPr>
            <w:r>
              <w:rPr/>
              <mc:AlternateContent>
                <mc:Choice Requires="wps">
                  <w:drawing>
                    <wp:anchor behindDoc="1" distT="0" distB="127000" distL="0" distR="0" simplePos="0" locked="0" layoutInCell="1" allowOverlap="1" relativeHeight="2">
                      <wp:simplePos x="0" y="0"/>
                      <wp:positionH relativeFrom="column">
                        <wp:posOffset>0</wp:posOffset>
                      </wp:positionH>
                      <wp:positionV relativeFrom="page">
                        <wp:posOffset>0</wp:posOffset>
                      </wp:positionV>
                      <wp:extent cx="372110" cy="114935"/>
                      <wp:effectExtent l="0" t="0" r="0" b="0"/>
                      <wp:wrapSquare wrapText="bothSides"/>
                      <wp:docPr id="1" name="Rectangle 5"/>
                      <a:graphic xmlns:a="http://schemas.openxmlformats.org/drawingml/2006/main">
                        <a:graphicData uri="http://schemas.microsoft.com/office/word/2010/wordprocessingShape">
                          <wps:wsp>
                            <wps:cNvSpPr/>
                            <wps:spPr>
                              <a:xfrm>
                                <a:off x="0" y="0"/>
                                <a:ext cx="371520" cy="114480"/>
                              </a:xfrm>
                              <a:custGeom>
                                <a:avLst/>
                                <a:gdLst/>
                                <a:ahLst/>
                                <a:rect l="l" t="t" r="r" b="b"/>
                                <a:pathLst>
                                  <a:path w="21600" h="21600">
                                    <a:moveTo>
                                      <a:pt x="0" y="0"/>
                                    </a:moveTo>
                                    <a:lnTo>
                                      <a:pt x="21600" y="0"/>
                                    </a:lnTo>
                                    <a:lnTo>
                                      <a:pt x="21600" y="21600"/>
                                    </a:lnTo>
                                    <a:lnTo>
                                      <a:pt x="0" y="21600"/>
                                    </a:lnTo>
                                    <a:close/>
                                  </a:path>
                                </a:pathLst>
                              </a:custGeom>
                              <a:noFill/>
                              <a:ln w="12600">
                                <a:noFill/>
                              </a:ln>
                            </wps:spPr>
                            <wps:style>
                              <a:lnRef idx="0"/>
                              <a:fillRef idx="0"/>
                              <a:effectRef idx="0"/>
                              <a:fontRef idx="minor"/>
                            </wps:style>
                            <wps:bodyPr/>
                          </wps:wsp>
                        </a:graphicData>
                      </a:graphic>
                    </wp:anchor>
                  </w:drawing>
                </mc:Choice>
                <mc:Fallback>
                  <w:pict>
                    <v:shape id="shape_0" ID="Rectangle 5" stroked="f" style="position:absolute;margin-left:0pt;margin-top:0pt;width:29.2pt;height:8.95pt;mso-position-vertical-relative:page">
                      <w10:wrap type="none"/>
                      <v:fill o:detectmouseclick="t" on="false"/>
                      <v:stroke color="#41719c" weight="12600" joinstyle="miter" endcap="flat"/>
                    </v:shape>
                  </w:pict>
                </mc:Fallback>
              </mc:AlternateContent>
              <w:drawing>
                <wp:anchor behindDoc="0" distT="0" distB="127000" distL="0" distR="0" simplePos="0" locked="0" layoutInCell="1" allowOverlap="1" relativeHeight="3">
                  <wp:simplePos x="0" y="0"/>
                  <wp:positionH relativeFrom="column">
                    <wp:posOffset>-41275</wp:posOffset>
                  </wp:positionH>
                  <wp:positionV relativeFrom="paragraph">
                    <wp:posOffset>-34925</wp:posOffset>
                  </wp:positionV>
                  <wp:extent cx="834390" cy="1071880"/>
                  <wp:effectExtent l="0" t="0" r="0" b="0"/>
                  <wp:wrapSquare wrapText="bothSides"/>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2"/>
                          <a:stretch>
                            <a:fillRect/>
                          </a:stretch>
                        </pic:blipFill>
                        <pic:spPr bwMode="auto">
                          <a:xfrm>
                            <a:off x="0" y="0"/>
                            <a:ext cx="834390" cy="1071880"/>
                          </a:xfrm>
                          <a:prstGeom prst="rect">
                            <a:avLst/>
                          </a:prstGeom>
                        </pic:spPr>
                      </pic:pic>
                    </a:graphicData>
                  </a:graphic>
                </wp:anchor>
              </w:drawing>
              <w:drawing>
                <wp:anchor behindDoc="0" distT="0" distB="127000" distL="0" distR="0" simplePos="0" locked="0" layoutInCell="1" allowOverlap="1" relativeHeight="4">
                  <wp:simplePos x="0" y="0"/>
                  <wp:positionH relativeFrom="page">
                    <wp:posOffset>4575810</wp:posOffset>
                  </wp:positionH>
                  <wp:positionV relativeFrom="page">
                    <wp:posOffset>492125</wp:posOffset>
                  </wp:positionV>
                  <wp:extent cx="2092960" cy="856615"/>
                  <wp:effectExtent l="0" t="0" r="0" b="0"/>
                  <wp:wrapSquare wrapText="bothSides"/>
                  <wp:docPr id="3" name="Image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descr="" title=""/>
                          <pic:cNvPicPr>
                            <a:picLocks noChangeAspect="1" noChangeArrowheads="1"/>
                          </pic:cNvPicPr>
                        </pic:nvPicPr>
                        <pic:blipFill>
                          <a:blip r:embed="rId3"/>
                          <a:stretch>
                            <a:fillRect/>
                          </a:stretch>
                        </pic:blipFill>
                        <pic:spPr bwMode="auto">
                          <a:xfrm>
                            <a:off x="0" y="0"/>
                            <a:ext cx="2092960" cy="856615"/>
                          </a:xfrm>
                          <a:prstGeom prst="rect">
                            <a:avLst/>
                          </a:prstGeom>
                        </pic:spPr>
                      </pic:pic>
                    </a:graphicData>
                  </a:graphic>
                </wp:anchor>
              </w:drawing>
            </w:r>
          </w:p>
        </w:tc>
        <w:tc>
          <w:tcPr>
            <w:tcW w:w="6701" w:type="dxa"/>
            <w:tcBorders/>
            <w:shd w:fill="auto" w:val="clear"/>
          </w:tcPr>
          <w:p>
            <w:pPr>
              <w:pStyle w:val="Contenudetableau"/>
              <w:rPr>
                <w:rStyle w:val="Policepardfaut"/>
                <w:lang w:eastAsia="fr-FR" w:bidi="ar-SA"/>
              </w:rPr>
            </w:pPr>
            <w:r>
              <w:rPr/>
            </w:r>
          </w:p>
        </w:tc>
      </w:tr>
    </w:tbl>
    <w:p>
      <w:pPr>
        <w:pStyle w:val="Circulairetitre1"/>
        <w:spacing w:before="0" w:after="119"/>
        <w:jc w:val="center"/>
        <w:rPr/>
      </w:pPr>
      <w:r>
        <w:rPr/>
      </w:r>
    </w:p>
    <w:p>
      <w:pPr>
        <w:pStyle w:val="Circulairetitre1"/>
        <w:spacing w:before="0" w:after="119"/>
        <w:jc w:val="center"/>
        <w:rPr>
          <w:rFonts w:ascii="Garamond" w:hAnsi="Garamond"/>
          <w:sz w:val="40"/>
          <w:szCs w:val="40"/>
        </w:rPr>
      </w:pPr>
      <w:r>
        <w:rPr>
          <w:rFonts w:ascii="Garamond" w:hAnsi="Garamond"/>
          <w:sz w:val="40"/>
          <w:szCs w:val="40"/>
        </w:rPr>
      </w:r>
    </w:p>
    <w:p>
      <w:pPr>
        <w:pStyle w:val="Circulairetitre1"/>
        <w:spacing w:before="0" w:after="119"/>
        <w:jc w:val="center"/>
        <w:rPr>
          <w:rFonts w:ascii="Garamond" w:hAnsi="Garamond"/>
          <w:sz w:val="40"/>
          <w:szCs w:val="40"/>
        </w:rPr>
      </w:pPr>
      <w:r>
        <w:rPr>
          <w:rFonts w:ascii="Garamond" w:hAnsi="Garamond"/>
          <w:sz w:val="40"/>
          <w:szCs w:val="40"/>
        </w:rPr>
      </w:r>
    </w:p>
    <w:p>
      <w:pPr>
        <w:pStyle w:val="Circulairetitre1"/>
        <w:spacing w:before="0" w:after="119"/>
        <w:jc w:val="center"/>
        <w:rPr>
          <w:rFonts w:ascii="Garamond" w:hAnsi="Garamond"/>
          <w:sz w:val="40"/>
          <w:szCs w:val="40"/>
        </w:rPr>
      </w:pPr>
      <w:r>
        <w:rPr>
          <w:rFonts w:ascii="Garamond" w:hAnsi="Garamond"/>
          <w:sz w:val="40"/>
          <w:szCs w:val="40"/>
        </w:rPr>
      </w:r>
    </w:p>
    <w:p>
      <w:pPr>
        <w:pStyle w:val="Circulairetitre1"/>
        <w:spacing w:before="0" w:after="119"/>
        <w:jc w:val="center"/>
        <w:rPr>
          <w:rFonts w:ascii="Garamond" w:hAnsi="Garamond"/>
          <w:sz w:val="40"/>
          <w:szCs w:val="40"/>
        </w:rPr>
      </w:pPr>
      <w:r>
        <w:rPr>
          <w:rFonts w:ascii="Garamond" w:hAnsi="Garamond"/>
          <w:sz w:val="40"/>
          <w:szCs w:val="40"/>
        </w:rPr>
      </w:r>
    </w:p>
    <w:p>
      <w:pPr>
        <w:pStyle w:val="Circulairetitre1"/>
        <w:spacing w:before="0" w:after="119"/>
        <w:jc w:val="center"/>
        <w:rPr>
          <w:rFonts w:ascii="Garamond" w:hAnsi="Garamond"/>
          <w:sz w:val="40"/>
          <w:szCs w:val="40"/>
        </w:rPr>
      </w:pPr>
      <w:r>
        <w:rPr>
          <w:rFonts w:ascii="Garamond" w:hAnsi="Garamond"/>
          <w:sz w:val="40"/>
          <w:szCs w:val="40"/>
        </w:rPr>
      </w:r>
    </w:p>
    <w:p>
      <w:pPr>
        <w:pStyle w:val="NormalWeb"/>
        <w:spacing w:before="0" w:after="200"/>
        <w:ind w:start="0" w:end="0" w:firstLine="11"/>
        <w:jc w:val="center"/>
        <w:rPr/>
      </w:pPr>
      <w:r>
        <w:rPr>
          <w:rStyle w:val="Lev"/>
          <w:rFonts w:ascii="Trebuchet MS" w:hAnsi="Trebuchet MS"/>
          <w:b w:val="false"/>
          <w:bCs w:val="false"/>
          <w:smallCaps/>
          <w:color w:val="000099"/>
        </w:rPr>
        <w:t>Service interministériel des Archives de France</w:t>
      </w:r>
    </w:p>
    <w:p>
      <w:pPr>
        <w:pStyle w:val="NormalWeb"/>
        <w:spacing w:before="0" w:after="200"/>
        <w:ind w:start="0" w:end="0" w:firstLine="11"/>
        <w:jc w:val="center"/>
        <w:rPr>
          <w:rFonts w:ascii="Trebuchet MS" w:hAnsi="Trebuchet MS"/>
          <w:b/>
          <w:b/>
          <w:color w:val="000099"/>
          <w:sz w:val="40"/>
          <w:szCs w:val="40"/>
        </w:rPr>
      </w:pPr>
      <w:r>
        <w:rPr>
          <w:rFonts w:ascii="Trebuchet MS" w:hAnsi="Trebuchet MS"/>
          <w:b/>
          <w:color w:val="000099"/>
          <w:sz w:val="40"/>
          <w:szCs w:val="40"/>
        </w:rPr>
      </w:r>
    </w:p>
    <w:p>
      <w:pPr>
        <w:pStyle w:val="Circulairetitre1"/>
        <w:spacing w:before="0" w:after="119"/>
        <w:jc w:val="center"/>
        <w:rPr/>
      </w:pPr>
      <w:r>
        <w:rPr>
          <w:rStyle w:val="Accentuationforte"/>
          <w:rFonts w:ascii="Trebuchet MS" w:hAnsi="Trebuchet MS"/>
          <w:bCs w:val="false"/>
          <w:color w:val="000099"/>
          <w:sz w:val="40"/>
          <w:szCs w:val="40"/>
        </w:rPr>
        <w:t>Bibliothèque de documents de référence</w:t>
      </w:r>
    </w:p>
    <w:p>
      <w:pPr>
        <w:pStyle w:val="Circulairetitre1"/>
        <w:spacing w:before="0" w:after="119"/>
        <w:jc w:val="center"/>
        <w:rPr/>
      </w:pPr>
      <w:r>
        <w:rPr>
          <w:rStyle w:val="Accentuationforte"/>
          <w:rFonts w:ascii="Trebuchet MS" w:hAnsi="Trebuchet MS"/>
          <w:bCs w:val="false"/>
          <w:color w:val="000099"/>
          <w:sz w:val="40"/>
          <w:szCs w:val="40"/>
        </w:rPr>
        <w:t>pour l’archivage numérique</w:t>
      </w:r>
    </w:p>
    <w:p>
      <w:pPr>
        <w:pStyle w:val="Circulairetitre1"/>
        <w:spacing w:before="0" w:after="119"/>
        <w:jc w:val="center"/>
        <w:rPr>
          <w:rFonts w:ascii="Garamond" w:hAnsi="Garamond"/>
          <w:sz w:val="40"/>
          <w:szCs w:val="40"/>
        </w:rPr>
      </w:pPr>
      <w:r>
        <w:rPr>
          <w:rFonts w:ascii="Garamond" w:hAnsi="Garamond"/>
          <w:sz w:val="40"/>
          <w:szCs w:val="40"/>
        </w:rPr>
      </w:r>
    </w:p>
    <w:p>
      <w:pPr>
        <w:pStyle w:val="Circulairetitre1"/>
        <w:spacing w:before="0" w:after="119"/>
        <w:jc w:val="center"/>
        <w:rPr>
          <w:rFonts w:ascii="Garamond" w:hAnsi="Garamond"/>
          <w:sz w:val="40"/>
          <w:szCs w:val="40"/>
        </w:rPr>
      </w:pPr>
      <w:r>
        <w:rPr>
          <w:rFonts w:ascii="Garamond" w:hAnsi="Garamond"/>
          <w:sz w:val="40"/>
          <w:szCs w:val="40"/>
        </w:rPr>
      </w:r>
    </w:p>
    <w:tbl>
      <w:tblPr>
        <w:tblW w:w="7938" w:type="dxa"/>
        <w:jc w:val="start"/>
        <w:tblInd w:w="562" w:type="dxa"/>
        <w:tblBorders>
          <w:top w:val="single" w:sz="4" w:space="0" w:color="000099"/>
          <w:start w:val="single" w:sz="4" w:space="0" w:color="000099"/>
          <w:bottom w:val="single" w:sz="4" w:space="0" w:color="000099"/>
          <w:end w:val="single" w:sz="4" w:space="0" w:color="000099"/>
          <w:insideH w:val="single" w:sz="4" w:space="0" w:color="000099"/>
          <w:insideV w:val="single" w:sz="4" w:space="0" w:color="000099"/>
        </w:tblBorders>
        <w:tblCellMar>
          <w:top w:w="0" w:type="dxa"/>
          <w:start w:w="103" w:type="dxa"/>
          <w:bottom w:w="0" w:type="dxa"/>
          <w:end w:w="108" w:type="dxa"/>
        </w:tblCellMar>
      </w:tblPr>
      <w:tblGrid>
        <w:gridCol w:w="7938"/>
      </w:tblGrid>
      <w:tr>
        <w:trPr/>
        <w:tc>
          <w:tcPr>
            <w:tcW w:w="7938" w:type="dxa"/>
            <w:tcBorders>
              <w:top w:val="single" w:sz="4" w:space="0" w:color="000099"/>
              <w:start w:val="single" w:sz="4" w:space="0" w:color="000099"/>
              <w:bottom w:val="single" w:sz="4" w:space="0" w:color="000099"/>
              <w:end w:val="single" w:sz="4" w:space="0" w:color="000099"/>
              <w:insideH w:val="single" w:sz="4" w:space="0" w:color="000099"/>
              <w:insideV w:val="single" w:sz="4" w:space="0" w:color="000099"/>
            </w:tcBorders>
            <w:shd w:fill="000099" w:val="clear"/>
          </w:tcPr>
          <w:p>
            <w:pPr>
              <w:pStyle w:val="Titre2"/>
              <w:numPr>
                <w:ilvl w:val="1"/>
                <w:numId w:val="1"/>
              </w:numPr>
              <w:tabs>
                <w:tab w:val="left" w:pos="0" w:leader="none"/>
              </w:tabs>
              <w:spacing w:before="120" w:after="60"/>
              <w:ind w:start="0" w:end="0" w:hanging="0"/>
              <w:jc w:val="center"/>
              <w:rPr/>
            </w:pPr>
            <w:r>
              <w:rPr/>
            </w:r>
          </w:p>
          <w:p>
            <w:pPr>
              <w:pStyle w:val="Titre2"/>
              <w:numPr>
                <w:ilvl w:val="1"/>
                <w:numId w:val="1"/>
              </w:numPr>
              <w:tabs>
                <w:tab w:val="left" w:pos="0" w:leader="none"/>
              </w:tabs>
              <w:ind w:start="0" w:end="0" w:hanging="0"/>
              <w:jc w:val="center"/>
              <w:rPr/>
            </w:pPr>
            <w:bookmarkStart w:id="0" w:name="__RefHeading___Toc10693_1000569294"/>
            <w:bookmarkEnd w:id="0"/>
            <w:r>
              <w:rPr>
                <w:rStyle w:val="Accentuationforte"/>
                <w:rFonts w:ascii="Trebuchet MS" w:hAnsi="Trebuchet MS"/>
                <w:smallCaps/>
                <w:color w:val="FFFFFF"/>
                <w:sz w:val="40"/>
                <w:szCs w:val="40"/>
                <w:u w:val="none"/>
              </w:rPr>
              <w:t>Politique d’archivag</w:t>
            </w:r>
            <w:r>
              <w:rPr>
                <w:rStyle w:val="Accentuationforte"/>
                <w:rFonts w:ascii="Trebuchet MS" w:hAnsi="Trebuchet MS"/>
                <w:smallCaps/>
                <w:color w:val="FFFFFF"/>
                <w:sz w:val="40"/>
                <w:szCs w:val="40"/>
                <w:u w:val="none"/>
              </w:rPr>
              <w:t>e</w:t>
            </w:r>
            <w:r>
              <w:rPr>
                <w:rStyle w:val="Accentuationforte"/>
                <w:rStyle w:val="Appelnotedebasdep"/>
                <w:rFonts w:ascii="Trebuchet MS" w:hAnsi="Trebuchet MS"/>
                <w:smallCaps/>
                <w:color w:val="FFFFFF"/>
                <w:u w:val="none"/>
              </w:rPr>
              <w:footnoteReference w:id="2"/>
            </w:r>
          </w:p>
          <w:p>
            <w:pPr>
              <w:pStyle w:val="Normal"/>
              <w:tabs>
                <w:tab w:val="clear" w:pos="708"/>
              </w:tabs>
              <w:ind w:start="0" w:end="0" w:hanging="0"/>
              <w:jc w:val="center"/>
              <w:rPr>
                <w:rStyle w:val="Accentuationforte"/>
                <w:rFonts w:ascii="Trebuchet MS" w:hAnsi="Trebuchet MS"/>
                <w:smallCaps/>
                <w:color w:val="FFFFFF"/>
                <w:u w:val="none"/>
              </w:rPr>
            </w:pPr>
            <w:r>
              <w:rPr/>
            </w:r>
          </w:p>
          <w:p>
            <w:pPr>
              <w:pStyle w:val="Normal"/>
              <w:tabs>
                <w:tab w:val="clear" w:pos="708"/>
              </w:tabs>
              <w:ind w:start="0" w:end="0" w:hanging="0"/>
              <w:jc w:val="center"/>
              <w:rPr/>
            </w:pPr>
            <w:r>
              <w:rPr>
                <w:rStyle w:val="Accentuationforte"/>
                <w:rFonts w:ascii="Trebuchet MS" w:hAnsi="Trebuchet MS"/>
                <w:smallCaps/>
                <w:color w:val="FFFFFF"/>
                <w:u w:val="none"/>
              </w:rPr>
              <w:t>Modèle de document</w:t>
            </w:r>
          </w:p>
          <w:p>
            <w:pPr>
              <w:pStyle w:val="Normal"/>
              <w:tabs>
                <w:tab w:val="clear" w:pos="708"/>
              </w:tabs>
              <w:ind w:start="0" w:end="0" w:hanging="0"/>
              <w:jc w:val="center"/>
              <w:rPr/>
            </w:pPr>
            <w:r>
              <w:rPr>
                <w:rStyle w:val="Accentuationforte"/>
                <w:rFonts w:ascii="Trebuchet MS" w:hAnsi="Trebuchet MS"/>
                <w:b w:val="false"/>
                <w:bCs w:val="false"/>
                <w:caps w:val="false"/>
                <w:smallCaps w:val="false"/>
                <w:color w:val="FFFFFF"/>
                <w:u w:val="none"/>
              </w:rPr>
              <w:t>NB : la notice explicative de ce modèle est disponible dans le document Politique d’archivage au format PDF.</w:t>
            </w:r>
          </w:p>
          <w:p>
            <w:pPr>
              <w:pStyle w:val="Normal"/>
              <w:rPr/>
            </w:pPr>
            <w:r>
              <w:rPr/>
            </w:r>
          </w:p>
          <w:p>
            <w:pPr>
              <w:pStyle w:val="Normal"/>
              <w:rPr/>
            </w:pPr>
            <w:r>
              <w:rPr/>
            </w:r>
          </w:p>
        </w:tc>
      </w:tr>
    </w:tbl>
    <w:p>
      <w:pPr>
        <w:pStyle w:val="Titre2"/>
        <w:numPr>
          <w:ilvl w:val="1"/>
          <w:numId w:val="1"/>
        </w:numPr>
        <w:tabs>
          <w:tab w:val="left" w:pos="0" w:leader="none"/>
        </w:tabs>
        <w:ind w:start="709" w:end="0" w:hanging="0"/>
        <w:rPr/>
      </w:pPr>
      <w:bookmarkStart w:id="1" w:name="__RefHeading___Toc10695_1000569294"/>
      <w:bookmarkEnd w:id="1"/>
      <w:r>
        <w:rPr>
          <w:rStyle w:val="Accentuationforte"/>
          <w:rFonts w:ascii="Verdana" w:hAnsi="Verdana"/>
          <w:smallCaps/>
          <w:color w:val="FFFFFF"/>
          <w:sz w:val="32"/>
          <w:szCs w:val="32"/>
        </w:rPr>
        <w:t>Politique d’archivage</w:t>
      </w:r>
    </w:p>
    <w:p>
      <w:pPr>
        <w:pStyle w:val="Normal1"/>
        <w:rPr/>
      </w:pPr>
      <w:r>
        <w:rPr/>
      </w:r>
    </w:p>
    <w:p>
      <w:pPr>
        <w:pStyle w:val="Normal1"/>
        <w:jc w:val="center"/>
        <w:rPr/>
      </w:pPr>
      <w:r>
        <w:rPr>
          <w:color w:val="000099"/>
          <w:sz w:val="24"/>
          <w:szCs w:val="24"/>
        </w:rPr>
        <w:t xml:space="preserve">Version 1.0 – </w:t>
      </w:r>
      <w:r>
        <w:rPr>
          <w:color w:val="000099"/>
          <w:sz w:val="24"/>
          <w:szCs w:val="24"/>
        </w:rPr>
        <w:t>février 2018</w:t>
      </w:r>
    </w:p>
    <w:p>
      <w:pPr>
        <w:pStyle w:val="Normal1"/>
        <w:rPr/>
      </w:pPr>
      <w:r>
        <w:rPr/>
      </w:r>
    </w:p>
    <w:p>
      <w:pPr>
        <w:pStyle w:val="Normal1"/>
        <w:rPr/>
      </w:pPr>
      <w:r>
        <w:rPr/>
      </w:r>
    </w:p>
    <w:p>
      <w:pPr>
        <w:pStyle w:val="Normal1"/>
        <w:rPr/>
      </w:pPr>
      <w:r>
        <w:rPr/>
      </w:r>
    </w:p>
    <w:p>
      <w:pPr>
        <w:pStyle w:val="Normal1"/>
        <w:spacing w:before="0" w:after="200"/>
        <w:ind w:start="0" w:end="0" w:firstLine="11"/>
        <w:jc w:val="center"/>
        <w:rPr>
          <w:rStyle w:val="Lev"/>
          <w:rFonts w:ascii="Trebuchet MS" w:hAnsi="Trebuchet MS"/>
          <w:b w:val="false"/>
          <w:b w:val="false"/>
          <w:bCs w:val="false"/>
          <w:smallCaps/>
          <w:color w:val="000099"/>
        </w:rPr>
      </w:pPr>
      <w:r>
        <w:rPr/>
      </w:r>
    </w:p>
    <w:p>
      <w:pPr>
        <w:pStyle w:val="NormalWeb"/>
        <w:spacing w:before="0" w:after="200"/>
        <w:ind w:start="0" w:end="0" w:firstLine="11"/>
        <w:jc w:val="center"/>
        <w:rPr/>
      </w:pPr>
      <w:r>
        <w:rPr/>
      </w:r>
    </w:p>
    <w:p>
      <w:pPr>
        <w:pStyle w:val="NormalWeb"/>
        <w:spacing w:before="0" w:after="200"/>
        <w:ind w:start="0" w:end="0" w:firstLine="11"/>
        <w:jc w:val="center"/>
        <w:rPr/>
      </w:pPr>
      <w:r>
        <w:rPr/>
      </w:r>
    </w:p>
    <w:p>
      <w:pPr>
        <w:pStyle w:val="NormalWeb"/>
        <w:spacing w:before="0" w:after="200"/>
        <w:ind w:start="0" w:end="0" w:firstLine="11"/>
        <w:jc w:val="center"/>
        <w:rPr/>
      </w:pPr>
      <w:r>
        <w:rPr>
          <w:rStyle w:val="Lev"/>
          <w:rFonts w:ascii="Trebuchet MS" w:hAnsi="Trebuchet MS"/>
          <w:b w:val="false"/>
          <w:bCs w:val="false"/>
          <w:smallCaps/>
          <w:color w:val="000099"/>
        </w:rPr>
        <w:t>[Nom de la structure]</w:t>
      </w:r>
    </w:p>
    <w:p>
      <w:pPr>
        <w:pStyle w:val="NormalWeb"/>
        <w:spacing w:before="0" w:after="200"/>
        <w:ind w:start="0" w:end="0" w:firstLine="11"/>
        <w:jc w:val="center"/>
        <w:rPr>
          <w:rStyle w:val="Lev"/>
          <w:rFonts w:ascii="Trebuchet MS" w:hAnsi="Trebuchet MS"/>
          <w:b w:val="false"/>
          <w:b w:val="false"/>
          <w:bCs w:val="false"/>
          <w:smallCaps/>
          <w:color w:val="000099"/>
        </w:rPr>
      </w:pPr>
      <w:r>
        <w:rPr/>
      </w:r>
    </w:p>
    <w:p>
      <w:pPr>
        <w:pStyle w:val="NormalWeb"/>
        <w:spacing w:before="0" w:after="200"/>
        <w:ind w:start="0" w:end="0" w:firstLine="11"/>
        <w:jc w:val="center"/>
        <w:rPr/>
      </w:pPr>
      <w:r>
        <w:rPr>
          <w:rStyle w:val="Lev"/>
          <w:rFonts w:ascii="Trebuchet MS" w:hAnsi="Trebuchet MS"/>
          <w:b w:val="false"/>
          <w:bCs w:val="false"/>
          <w:smallCaps/>
          <w:color w:val="000099"/>
        </w:rPr>
        <w:t>[Nom du projet ou du S</w:t>
      </w:r>
      <w:r>
        <w:rPr>
          <w:rStyle w:val="Lev"/>
          <w:rFonts w:ascii="Trebuchet MS" w:hAnsi="Trebuchet MS"/>
          <w:b w:val="false"/>
          <w:bCs w:val="false"/>
          <w:smallCaps/>
          <w:color w:val="000099"/>
        </w:rPr>
        <w:t>ystème</w:t>
      </w:r>
      <w:r>
        <w:rPr>
          <w:rStyle w:val="Lev"/>
          <w:rFonts w:ascii="Trebuchet MS" w:hAnsi="Trebuchet MS"/>
          <w:b w:val="false"/>
          <w:bCs w:val="false"/>
          <w:smallCaps/>
          <w:color w:val="000099"/>
        </w:rPr>
        <w:t xml:space="preserve"> d’archivage numérique]</w:t>
      </w:r>
    </w:p>
    <w:p>
      <w:pPr>
        <w:pStyle w:val="NormalWeb"/>
        <w:spacing w:before="0" w:after="200"/>
        <w:ind w:start="0" w:end="0" w:firstLine="11"/>
        <w:jc w:val="center"/>
        <w:rPr>
          <w:rFonts w:ascii="Garamond" w:hAnsi="Garamond"/>
          <w:b/>
          <w:b/>
          <w:color w:val="000099"/>
          <w:sz w:val="40"/>
          <w:szCs w:val="40"/>
        </w:rPr>
      </w:pPr>
      <w:r>
        <w:rPr>
          <w:rFonts w:ascii="Garamond" w:hAnsi="Garamond"/>
          <w:b/>
          <w:color w:val="000099"/>
          <w:sz w:val="40"/>
          <w:szCs w:val="40"/>
        </w:rPr>
      </w:r>
    </w:p>
    <w:p>
      <w:pPr>
        <w:pStyle w:val="NormalWeb"/>
        <w:ind w:start="0" w:end="0" w:firstLine="11"/>
        <w:jc w:val="center"/>
        <w:rPr/>
      </w:pPr>
      <w:r>
        <w:rPr>
          <w:rStyle w:val="Lev"/>
          <w:rFonts w:ascii="Trebuchet MS" w:hAnsi="Trebuchet MS"/>
          <w:smallCaps/>
          <w:color w:val="000099"/>
          <w:sz w:val="40"/>
          <w:szCs w:val="40"/>
        </w:rPr>
        <w:t>Politique d’archivage</w:t>
      </w:r>
    </w:p>
    <w:p>
      <w:pPr>
        <w:pStyle w:val="NormalWeb"/>
        <w:spacing w:before="0" w:after="240"/>
        <w:ind w:start="0" w:end="0" w:firstLine="11"/>
        <w:jc w:val="center"/>
        <w:rPr>
          <w:smallCaps/>
        </w:rPr>
      </w:pPr>
      <w:r>
        <w:rPr>
          <w:smallCaps/>
        </w:rPr>
      </w:r>
    </w:p>
    <w:p>
      <w:pPr>
        <w:pStyle w:val="NormalWeb"/>
        <w:spacing w:before="0" w:after="240"/>
        <w:ind w:start="0" w:end="0" w:firstLine="11"/>
        <w:jc w:val="center"/>
        <w:rPr>
          <w:smallCaps/>
        </w:rPr>
      </w:pPr>
      <w:r>
        <w:rPr>
          <w:smallCaps/>
        </w:rPr>
      </w:r>
    </w:p>
    <w:p>
      <w:pPr>
        <w:pStyle w:val="NormalWeb"/>
        <w:spacing w:before="0" w:after="240"/>
        <w:ind w:start="0" w:end="0" w:firstLine="11"/>
        <w:jc w:val="center"/>
        <w:rPr>
          <w:smallCaps/>
        </w:rPr>
      </w:pPr>
      <w:r>
        <w:rPr>
          <w:smallCaps/>
        </w:rPr>
      </w:r>
    </w:p>
    <w:p>
      <w:pPr>
        <w:pStyle w:val="NormalWeb"/>
        <w:spacing w:before="0" w:after="240"/>
        <w:ind w:start="0" w:end="0" w:firstLine="11"/>
        <w:jc w:val="center"/>
        <w:rPr>
          <w:smallCaps/>
        </w:rPr>
      </w:pPr>
      <w:r>
        <w:rPr>
          <w:smallCaps/>
        </w:rPr>
      </w:r>
    </w:p>
    <w:tbl>
      <w:tblPr>
        <w:tblW w:w="8900" w:type="dxa"/>
        <w:jc w:val="start"/>
        <w:tblInd w:w="0"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103" w:type="dxa"/>
          <w:bottom w:w="0" w:type="dxa"/>
          <w:end w:w="108" w:type="dxa"/>
        </w:tblCellMar>
      </w:tblPr>
      <w:tblGrid>
        <w:gridCol w:w="3280"/>
        <w:gridCol w:w="5620"/>
      </w:tblGrid>
      <w:tr>
        <w:trPr/>
        <w:tc>
          <w:tcPr>
            <w:tcW w:w="328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1"/>
              <w:spacing w:lineRule="auto" w:line="240" w:before="0" w:after="0"/>
              <w:rPr>
                <w:rFonts w:ascii="Trebuchet MS" w:hAnsi="Trebuchet MS"/>
                <w:sz w:val="24"/>
                <w:szCs w:val="24"/>
              </w:rPr>
            </w:pPr>
            <w:r>
              <w:rPr>
                <w:rFonts w:ascii="Trebuchet MS" w:hAnsi="Trebuchet MS"/>
                <w:sz w:val="24"/>
                <w:szCs w:val="24"/>
              </w:rPr>
              <w:t xml:space="preserve">Référence </w:t>
            </w:r>
            <w:r>
              <w:rPr>
                <w:rFonts w:ascii="Trebuchet MS" w:hAnsi="Trebuchet MS"/>
                <w:sz w:val="24"/>
                <w:szCs w:val="24"/>
              </w:rPr>
              <w:t xml:space="preserve">et version </w:t>
            </w:r>
            <w:r>
              <w:rPr>
                <w:rFonts w:ascii="Trebuchet MS" w:hAnsi="Trebuchet MS"/>
                <w:sz w:val="24"/>
                <w:szCs w:val="24"/>
              </w:rPr>
              <w:t>du document</w:t>
            </w:r>
          </w:p>
        </w:tc>
        <w:tc>
          <w:tcPr>
            <w:tcW w:w="5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1"/>
              <w:spacing w:lineRule="auto" w:line="240" w:before="0" w:after="0"/>
              <w:rPr>
                <w:rFonts w:ascii="Trebuchet MS" w:hAnsi="Trebuchet MS"/>
                <w:i/>
                <w:i/>
                <w:sz w:val="24"/>
                <w:szCs w:val="24"/>
              </w:rPr>
            </w:pPr>
            <w:r>
              <w:rPr>
                <w:rFonts w:ascii="Trebuchet MS" w:hAnsi="Trebuchet MS"/>
                <w:i/>
                <w:sz w:val="24"/>
                <w:szCs w:val="24"/>
              </w:rPr>
              <w:t>[</w:t>
            </w:r>
            <w:r>
              <w:rPr>
                <w:rFonts w:ascii="Trebuchet MS" w:hAnsi="Trebuchet MS"/>
                <w:i/>
                <w:sz w:val="24"/>
                <w:szCs w:val="24"/>
              </w:rPr>
              <w:t xml:space="preserve">Préciser la référence </w:t>
            </w:r>
            <w:r>
              <w:rPr>
                <w:rFonts w:ascii="Trebuchet MS" w:hAnsi="Trebuchet MS"/>
                <w:i/>
                <w:sz w:val="24"/>
                <w:szCs w:val="24"/>
              </w:rPr>
              <w:t xml:space="preserve">et la version </w:t>
            </w:r>
            <w:r>
              <w:rPr>
                <w:rFonts w:ascii="Trebuchet MS" w:hAnsi="Trebuchet MS"/>
                <w:i/>
                <w:sz w:val="24"/>
                <w:szCs w:val="24"/>
              </w:rPr>
              <w:t>du document</w:t>
            </w:r>
            <w:r>
              <w:rPr>
                <w:rFonts w:ascii="Trebuchet MS" w:hAnsi="Trebuchet MS"/>
                <w:i/>
                <w:sz w:val="24"/>
                <w:szCs w:val="24"/>
              </w:rPr>
              <w:t>]</w:t>
            </w:r>
          </w:p>
        </w:tc>
      </w:tr>
      <w:tr>
        <w:trPr/>
        <w:tc>
          <w:tcPr>
            <w:tcW w:w="328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1"/>
              <w:spacing w:lineRule="auto" w:line="240" w:before="0" w:after="0"/>
              <w:rPr>
                <w:rFonts w:ascii="Trebuchet MS" w:hAnsi="Trebuchet MS"/>
                <w:sz w:val="24"/>
                <w:szCs w:val="24"/>
              </w:rPr>
            </w:pPr>
            <w:r>
              <w:rPr>
                <w:rFonts w:ascii="Trebuchet MS" w:hAnsi="Trebuchet MS"/>
                <w:sz w:val="24"/>
                <w:szCs w:val="24"/>
              </w:rPr>
              <w:t>Rédacteu</w:t>
            </w:r>
            <w:r>
              <w:rPr>
                <w:rFonts w:ascii="Trebuchet MS" w:hAnsi="Trebuchet MS"/>
                <w:sz w:val="24"/>
                <w:szCs w:val="24"/>
              </w:rPr>
              <w:t>r</w:t>
            </w:r>
          </w:p>
        </w:tc>
        <w:tc>
          <w:tcPr>
            <w:tcW w:w="5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1"/>
              <w:spacing w:lineRule="auto" w:line="240" w:before="0" w:after="0"/>
              <w:rPr>
                <w:rFonts w:ascii="Trebuchet MS" w:hAnsi="Trebuchet MS"/>
                <w:i/>
                <w:i/>
                <w:sz w:val="24"/>
                <w:szCs w:val="24"/>
              </w:rPr>
            </w:pPr>
            <w:r>
              <w:rPr>
                <w:rFonts w:ascii="Trebuchet MS" w:hAnsi="Trebuchet MS"/>
                <w:i/>
                <w:sz w:val="24"/>
                <w:szCs w:val="24"/>
              </w:rPr>
              <w:t>[</w:t>
            </w:r>
            <w:r>
              <w:rPr>
                <w:rFonts w:ascii="Trebuchet MS" w:hAnsi="Trebuchet MS"/>
                <w:i/>
                <w:sz w:val="24"/>
                <w:szCs w:val="24"/>
              </w:rPr>
              <w:t xml:space="preserve">Préciser le nom </w:t>
            </w:r>
            <w:r>
              <w:rPr>
                <w:rFonts w:ascii="Trebuchet MS" w:hAnsi="Trebuchet MS"/>
                <w:i/>
                <w:sz w:val="24"/>
                <w:szCs w:val="24"/>
              </w:rPr>
              <w:t xml:space="preserve">et la qualité </w:t>
            </w:r>
            <w:r>
              <w:rPr>
                <w:rFonts w:ascii="Trebuchet MS" w:hAnsi="Trebuchet MS"/>
                <w:i/>
                <w:sz w:val="24"/>
                <w:szCs w:val="24"/>
              </w:rPr>
              <w:t>du rédacteur</w:t>
            </w:r>
            <w:r>
              <w:rPr>
                <w:rFonts w:ascii="Trebuchet MS" w:hAnsi="Trebuchet MS"/>
                <w:i/>
                <w:sz w:val="24"/>
                <w:szCs w:val="24"/>
              </w:rPr>
              <w:t>]</w:t>
            </w:r>
          </w:p>
        </w:tc>
      </w:tr>
      <w:tr>
        <w:trPr/>
        <w:tc>
          <w:tcPr>
            <w:tcW w:w="328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1"/>
              <w:spacing w:lineRule="auto" w:line="240" w:before="0" w:after="0"/>
              <w:rPr>
                <w:rFonts w:ascii="Trebuchet MS" w:hAnsi="Trebuchet MS"/>
                <w:sz w:val="24"/>
                <w:szCs w:val="24"/>
              </w:rPr>
            </w:pPr>
            <w:r>
              <w:rPr>
                <w:rFonts w:ascii="Trebuchet MS" w:hAnsi="Trebuchet MS"/>
                <w:sz w:val="24"/>
                <w:szCs w:val="24"/>
              </w:rPr>
              <w:t>Validation</w:t>
            </w:r>
          </w:p>
        </w:tc>
        <w:tc>
          <w:tcPr>
            <w:tcW w:w="562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1"/>
              <w:spacing w:lineRule="auto" w:line="240" w:before="0" w:after="0"/>
              <w:rPr>
                <w:rFonts w:ascii="Trebuchet MS" w:hAnsi="Trebuchet MS"/>
                <w:i/>
                <w:i/>
                <w:sz w:val="24"/>
                <w:szCs w:val="24"/>
              </w:rPr>
            </w:pPr>
            <w:r>
              <w:rPr>
                <w:rFonts w:ascii="Trebuchet MS" w:hAnsi="Trebuchet MS"/>
                <w:i/>
                <w:sz w:val="24"/>
                <w:szCs w:val="24"/>
              </w:rPr>
              <w:t>[</w:t>
            </w:r>
            <w:r>
              <w:rPr>
                <w:rFonts w:ascii="Trebuchet MS" w:hAnsi="Trebuchet MS"/>
                <w:i/>
                <w:sz w:val="24"/>
                <w:szCs w:val="24"/>
              </w:rPr>
              <w:t xml:space="preserve">Préciser le nom </w:t>
            </w:r>
            <w:r>
              <w:rPr>
                <w:rFonts w:ascii="Trebuchet MS" w:hAnsi="Trebuchet MS"/>
                <w:i/>
                <w:sz w:val="24"/>
                <w:szCs w:val="24"/>
              </w:rPr>
              <w:t>et la qualité de l’autorité</w:t>
            </w:r>
            <w:r>
              <w:rPr>
                <w:rFonts w:ascii="Trebuchet MS" w:hAnsi="Trebuchet MS"/>
                <w:i/>
                <w:sz w:val="24"/>
                <w:szCs w:val="24"/>
              </w:rPr>
              <w:t xml:space="preserve"> qui a validé le document et la date de validation</w:t>
            </w:r>
            <w:r>
              <w:rPr>
                <w:rFonts w:ascii="Trebuchet MS" w:hAnsi="Trebuchet MS"/>
                <w:i/>
                <w:sz w:val="24"/>
                <w:szCs w:val="24"/>
              </w:rPr>
              <w:t>]</w:t>
            </w:r>
          </w:p>
        </w:tc>
      </w:tr>
      <w:tr>
        <w:trPr/>
        <w:tc>
          <w:tcPr>
            <w:tcW w:w="328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1"/>
              <w:spacing w:lineRule="auto" w:line="240" w:before="0" w:after="0"/>
              <w:rPr>
                <w:rFonts w:ascii="Trebuchet MS" w:hAnsi="Trebuchet MS"/>
                <w:sz w:val="24"/>
                <w:szCs w:val="24"/>
              </w:rPr>
            </w:pPr>
            <w:r>
              <w:rPr>
                <w:rFonts w:ascii="Trebuchet MS" w:hAnsi="Trebuchet MS"/>
                <w:sz w:val="24"/>
                <w:szCs w:val="24"/>
              </w:rPr>
              <w:t>Visa</w:t>
            </w:r>
          </w:p>
        </w:tc>
        <w:tc>
          <w:tcPr>
            <w:tcW w:w="5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1"/>
              <w:spacing w:lineRule="auto" w:line="240" w:before="0" w:after="0"/>
              <w:rPr>
                <w:rFonts w:ascii="Trebuchet MS" w:hAnsi="Trebuchet MS"/>
                <w:i/>
                <w:i/>
                <w:sz w:val="24"/>
                <w:szCs w:val="24"/>
              </w:rPr>
            </w:pPr>
            <w:r>
              <w:rPr>
                <w:rFonts w:ascii="Trebuchet MS" w:hAnsi="Trebuchet MS"/>
                <w:i/>
                <w:sz w:val="24"/>
                <w:szCs w:val="24"/>
              </w:rPr>
              <w:t>[</w:t>
            </w:r>
            <w:r>
              <w:rPr>
                <w:rFonts w:ascii="Trebuchet MS" w:hAnsi="Trebuchet MS"/>
                <w:i/>
                <w:sz w:val="24"/>
                <w:szCs w:val="24"/>
              </w:rPr>
              <w:t>Préciser le nom de l’Autorité de contrôle et la date du visa</w:t>
            </w:r>
            <w:r>
              <w:rPr>
                <w:rFonts w:ascii="Trebuchet MS" w:hAnsi="Trebuchet MS"/>
                <w:i/>
                <w:sz w:val="24"/>
                <w:szCs w:val="24"/>
              </w:rPr>
              <w:t>]</w:t>
            </w:r>
          </w:p>
        </w:tc>
      </w:tr>
      <w:tr>
        <w:trPr/>
        <w:tc>
          <w:tcPr>
            <w:tcW w:w="328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1"/>
              <w:spacing w:lineRule="auto" w:line="240" w:before="0" w:after="0"/>
              <w:rPr>
                <w:rFonts w:ascii="Trebuchet MS" w:hAnsi="Trebuchet MS"/>
                <w:sz w:val="24"/>
                <w:szCs w:val="24"/>
              </w:rPr>
            </w:pPr>
            <w:r>
              <w:rPr>
                <w:rFonts w:ascii="Trebuchet MS" w:hAnsi="Trebuchet MS"/>
                <w:sz w:val="24"/>
                <w:szCs w:val="24"/>
              </w:rPr>
              <w:t>Diffusion</w:t>
            </w:r>
          </w:p>
        </w:tc>
        <w:tc>
          <w:tcPr>
            <w:tcW w:w="562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1"/>
              <w:spacing w:lineRule="auto" w:line="240" w:before="0" w:after="0"/>
              <w:rPr>
                <w:rFonts w:ascii="Trebuchet MS" w:hAnsi="Trebuchet MS"/>
                <w:i/>
                <w:i/>
                <w:sz w:val="24"/>
                <w:szCs w:val="24"/>
              </w:rPr>
            </w:pPr>
            <w:r>
              <w:rPr>
                <w:rFonts w:ascii="Trebuchet MS" w:hAnsi="Trebuchet MS"/>
                <w:i/>
                <w:sz w:val="24"/>
                <w:szCs w:val="24"/>
              </w:rPr>
              <w:t>[Préciser le moyen (intranet, note…) et la date de diffusion]</w:t>
            </w:r>
          </w:p>
        </w:tc>
      </w:tr>
      <w:tr>
        <w:trPr/>
        <w:tc>
          <w:tcPr>
            <w:tcW w:w="328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1"/>
              <w:spacing w:lineRule="auto" w:line="240" w:before="0" w:after="0"/>
              <w:rPr>
                <w:rFonts w:ascii="Trebuchet MS" w:hAnsi="Trebuchet MS"/>
                <w:sz w:val="24"/>
                <w:szCs w:val="24"/>
              </w:rPr>
            </w:pPr>
            <w:r>
              <w:rPr>
                <w:rFonts w:ascii="Trebuchet MS" w:hAnsi="Trebuchet MS"/>
                <w:sz w:val="24"/>
                <w:szCs w:val="24"/>
              </w:rPr>
              <w:t>Révision</w:t>
            </w:r>
          </w:p>
        </w:tc>
        <w:tc>
          <w:tcPr>
            <w:tcW w:w="562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1"/>
              <w:spacing w:lineRule="auto" w:line="240" w:before="0" w:after="0"/>
              <w:rPr>
                <w:rFonts w:ascii="Trebuchet MS" w:hAnsi="Trebuchet MS"/>
                <w:i/>
                <w:i/>
                <w:sz w:val="24"/>
                <w:szCs w:val="24"/>
              </w:rPr>
            </w:pPr>
            <w:r>
              <w:rPr>
                <w:rFonts w:ascii="Trebuchet MS" w:hAnsi="Trebuchet MS"/>
                <w:i/>
                <w:sz w:val="24"/>
                <w:szCs w:val="24"/>
              </w:rPr>
              <w:t>[Préciser l’auteur, la date et la nature des révisions apportées sur le document]</w:t>
            </w:r>
          </w:p>
        </w:tc>
      </w:tr>
    </w:tbl>
    <w:p>
      <w:pPr>
        <w:pStyle w:val="Normal"/>
        <w:spacing w:before="0" w:after="200"/>
        <w:ind w:start="0" w:end="0" w:firstLine="11"/>
        <w:jc w:val="center"/>
        <w:rPr/>
      </w:pPr>
      <w:r>
        <w:rPr/>
      </w:r>
    </w:p>
    <w:p>
      <w:pPr>
        <w:pStyle w:val="NormalWeb"/>
        <w:spacing w:before="0" w:after="200"/>
        <w:ind w:start="0" w:end="0" w:firstLine="11"/>
        <w:jc w:val="center"/>
        <w:rPr/>
      </w:pPr>
      <w:r>
        <w:rPr/>
      </w:r>
    </w:p>
    <w:p>
      <w:pPr>
        <w:pStyle w:val="NormalWeb"/>
        <w:spacing w:before="0" w:after="200"/>
        <w:ind w:start="0" w:end="0" w:firstLine="11"/>
        <w:jc w:val="center"/>
        <w:rPr/>
      </w:pPr>
      <w:r>
        <w:rPr/>
      </w:r>
    </w:p>
    <w:p>
      <w:pPr>
        <w:pStyle w:val="NormalWeb"/>
        <w:spacing w:before="0" w:after="200"/>
        <w:ind w:start="0" w:end="0" w:firstLine="11"/>
        <w:jc w:val="center"/>
        <w:rPr/>
      </w:pPr>
      <w:r>
        <w:rPr/>
      </w:r>
    </w:p>
    <w:p>
      <w:pPr>
        <w:pStyle w:val="Titre2"/>
        <w:numPr>
          <w:ilvl w:val="1"/>
          <w:numId w:val="1"/>
        </w:numPr>
        <w:tabs>
          <w:tab w:val="left" w:pos="0" w:leader="none"/>
        </w:tabs>
        <w:spacing w:before="0" w:after="240"/>
        <w:ind w:start="709" w:end="0" w:hanging="0"/>
        <w:rPr>
          <w:rStyle w:val="Titredulivre"/>
          <w:color w:val="000099"/>
          <w:spacing w:val="0"/>
        </w:rPr>
      </w:pPr>
      <w:r>
        <w:rPr>
          <w:i w:val="false"/>
          <w:iCs w:val="false"/>
        </w:rPr>
      </w:r>
      <w:bookmarkStart w:id="2" w:name="_Toc479592123"/>
      <w:bookmarkStart w:id="3" w:name="_Toc479583884"/>
      <w:bookmarkStart w:id="4" w:name="_Toc478062635"/>
      <w:bookmarkStart w:id="5" w:name="_Toc479592123"/>
      <w:bookmarkStart w:id="6" w:name="_Toc479583884"/>
      <w:bookmarkStart w:id="7" w:name="_Toc478062635"/>
    </w:p>
    <w:p>
      <w:pPr>
        <w:pStyle w:val="Style31"/>
        <w:rPr>
          <w:i w:val="false"/>
          <w:i w:val="false"/>
          <w:iCs w:val="false"/>
        </w:rPr>
      </w:pPr>
      <w:r>
        <w:rPr>
          <w:i w:val="false"/>
          <w:iCs w:val="false"/>
        </w:rPr>
      </w:r>
    </w:p>
    <w:p>
      <w:pPr>
        <w:pStyle w:val="Titre2"/>
        <w:numPr>
          <w:ilvl w:val="1"/>
          <w:numId w:val="1"/>
        </w:numPr>
        <w:tabs>
          <w:tab w:val="left" w:pos="0" w:leader="none"/>
        </w:tabs>
        <w:spacing w:before="0" w:after="240"/>
        <w:ind w:start="709" w:end="0" w:hanging="0"/>
        <w:rPr>
          <w:rStyle w:val="Titredulivre"/>
          <w:color w:val="000099"/>
          <w:spacing w:val="0"/>
        </w:rPr>
      </w:pPr>
      <w:r>
        <w:rPr/>
      </w:r>
      <w:r>
        <w:br w:type="page"/>
      </w:r>
    </w:p>
    <w:p>
      <w:pPr>
        <w:pStyle w:val="Titre2"/>
        <w:numPr>
          <w:ilvl w:val="1"/>
          <w:numId w:val="1"/>
        </w:numPr>
        <w:tabs>
          <w:tab w:val="left" w:pos="0" w:leader="none"/>
        </w:tabs>
        <w:ind w:start="709" w:end="0" w:hanging="0"/>
        <w:rPr/>
      </w:pPr>
      <w:bookmarkStart w:id="8" w:name="__RefHeading___Toc10697_1000569294"/>
      <w:bookmarkEnd w:id="8"/>
      <w:r>
        <w:rPr>
          <w:rStyle w:val="Policepardfaut"/>
        </w:rPr>
        <w:t>Sommaire</w:t>
      </w:r>
    </w:p>
    <w:p>
      <w:pPr>
        <w:pStyle w:val="Tabledesmatiresniveau1"/>
        <w:tabs>
          <w:tab w:val="right" w:pos="9072" w:leader="dot"/>
        </w:tabs>
        <w:rPr>
          <w:rFonts w:ascii="Trebuchet MS" w:hAnsi="Trebuchet MS"/>
        </w:rPr>
      </w:pPr>
      <w:r>
        <w:fldChar w:fldCharType="begin"/>
      </w:r>
      <w:r>
        <w:rPr>
          <w:rFonts w:ascii="Trebuchet MS" w:hAnsi="Trebuchet MS"/>
        </w:rPr>
        <w:instrText> TOC \t "Titre 2,1,Titre 3,2,Titre 4,3" \h</w:instrText>
      </w:r>
      <w:r>
        <w:rPr>
          <w:rFonts w:ascii="Trebuchet MS" w:hAnsi="Trebuchet MS"/>
        </w:rPr>
        <w:fldChar w:fldCharType="separate"/>
      </w:r>
      <w:r>
        <w:rPr>
          <w:rFonts w:ascii="Trebuchet MS" w:hAnsi="Trebuchet MS"/>
        </w:rPr>
      </w:r>
    </w:p>
    <w:p>
      <w:pPr>
        <w:pStyle w:val="Tabledesmatiresniveau1"/>
        <w:tabs>
          <w:tab w:val="right" w:pos="9072" w:leader="dot"/>
        </w:tabs>
        <w:rPr/>
      </w:pPr>
      <w:hyperlink w:anchor="__RefHeading___Toc10699_1000569294">
        <w:r>
          <w:rPr>
            <w:rStyle w:val="Sautdindex"/>
            <w:rFonts w:ascii="Trebuchet MS" w:hAnsi="Trebuchet MS"/>
            <w:color w:val="000099"/>
          </w:rPr>
          <w:t>Article 1 - Contexte</w:t>
          <w:tab/>
          <w:t>5</w:t>
        </w:r>
      </w:hyperlink>
    </w:p>
    <w:p>
      <w:pPr>
        <w:pStyle w:val="Tabledesmatiresniveau1"/>
        <w:tabs>
          <w:tab w:val="right" w:pos="9072" w:leader="dot"/>
        </w:tabs>
        <w:rPr>
          <w:rStyle w:val="Sautdindex"/>
          <w:rFonts w:ascii="Trebuchet MS" w:hAnsi="Trebuchet MS"/>
          <w:color w:val="000099"/>
        </w:rPr>
      </w:pPr>
      <w:hyperlink w:anchor="__RefHeading___Toc10701_1000569294">
        <w:r>
          <w:rPr/>
        </w:r>
      </w:hyperlink>
    </w:p>
    <w:p>
      <w:pPr>
        <w:pStyle w:val="Tabledesmatiresniveau1"/>
        <w:tabs>
          <w:tab w:val="right" w:pos="9072" w:leader="dot"/>
        </w:tabs>
        <w:rPr/>
      </w:pPr>
      <w:hyperlink w:anchor="__RefHeading___Toc10701_1000569294">
        <w:r>
          <w:rPr>
            <w:rStyle w:val="Sautdindex"/>
            <w:rFonts w:ascii="Trebuchet MS" w:hAnsi="Trebuchet MS"/>
            <w:color w:val="000099"/>
          </w:rPr>
          <w:t>Article 2 - Objet</w:t>
          <w:tab/>
          <w:t>5</w:t>
        </w:r>
      </w:hyperlink>
    </w:p>
    <w:p>
      <w:pPr>
        <w:pStyle w:val="Tabledesmatiresniveau1"/>
        <w:tabs>
          <w:tab w:val="right" w:pos="9072" w:leader="dot"/>
        </w:tabs>
        <w:rPr>
          <w:rStyle w:val="Sautdindex"/>
          <w:rFonts w:ascii="Trebuchet MS" w:hAnsi="Trebuchet MS"/>
          <w:color w:val="000099"/>
        </w:rPr>
      </w:pPr>
      <w:hyperlink w:anchor="__RefHeading___Toc10703_1000569294">
        <w:r>
          <w:rPr/>
        </w:r>
      </w:hyperlink>
    </w:p>
    <w:p>
      <w:pPr>
        <w:pStyle w:val="Tabledesmatiresniveau1"/>
        <w:tabs>
          <w:tab w:val="right" w:pos="9072" w:leader="dot"/>
        </w:tabs>
        <w:rPr/>
      </w:pPr>
      <w:hyperlink w:anchor="__RefHeading___Toc10703_1000569294">
        <w:r>
          <w:rPr>
            <w:rStyle w:val="Sautdindex"/>
            <w:rFonts w:ascii="Trebuchet MS" w:hAnsi="Trebuchet MS"/>
            <w:color w:val="000099"/>
          </w:rPr>
          <w:t>Article 3 - Cadre réglementaire et normatif</w:t>
          <w:tab/>
          <w:t>6</w:t>
        </w:r>
      </w:hyperlink>
    </w:p>
    <w:p>
      <w:pPr>
        <w:pStyle w:val="Tabledesmatiresniveau2"/>
        <w:tabs>
          <w:tab w:val="right" w:pos="8789" w:leader="dot"/>
        </w:tabs>
        <w:rPr/>
      </w:pPr>
      <w:hyperlink w:anchor="__RefHeading___Toc10705_1000569294">
        <w:r>
          <w:rPr>
            <w:rStyle w:val="Sautdindex"/>
            <w:rFonts w:ascii="Trebuchet MS" w:hAnsi="Trebuchet MS"/>
          </w:rPr>
          <w:t>3.1 Cadre réglementaire relatif aux archives publiques</w:t>
          <w:tab/>
          <w:t>6</w:t>
        </w:r>
      </w:hyperlink>
    </w:p>
    <w:p>
      <w:pPr>
        <w:pStyle w:val="Tabledesmatiresniveau2"/>
        <w:tabs>
          <w:tab w:val="right" w:pos="8789" w:leader="dot"/>
        </w:tabs>
        <w:rPr/>
      </w:pPr>
      <w:hyperlink w:anchor="__RefHeading___Toc10707_1000569294">
        <w:r>
          <w:rPr>
            <w:rStyle w:val="Sautdindex"/>
            <w:rFonts w:ascii="Trebuchet MS" w:hAnsi="Trebuchet MS"/>
          </w:rPr>
          <w:t>3.2 Cadre de confiance de l’administration électronique</w:t>
          <w:tab/>
          <w:t>6</w:t>
        </w:r>
      </w:hyperlink>
    </w:p>
    <w:p>
      <w:pPr>
        <w:pStyle w:val="Tabledesmatiresniveau2"/>
        <w:tabs>
          <w:tab w:val="right" w:pos="8789" w:leader="dot"/>
        </w:tabs>
        <w:rPr/>
      </w:pPr>
      <w:hyperlink w:anchor="__RefHeading___Toc10709_1000569294">
        <w:r>
          <w:rPr>
            <w:rStyle w:val="Sautdindex"/>
            <w:rFonts w:ascii="Trebuchet MS" w:hAnsi="Trebuchet MS"/>
          </w:rPr>
          <w:t>3.3 Protection des données à caractère personnel et archivage</w:t>
          <w:tab/>
          <w:t>6</w:t>
        </w:r>
      </w:hyperlink>
    </w:p>
    <w:p>
      <w:pPr>
        <w:pStyle w:val="Tabledesmatiresniveau2"/>
        <w:tabs>
          <w:tab w:val="right" w:pos="8789" w:leader="dot"/>
        </w:tabs>
        <w:rPr/>
      </w:pPr>
      <w:hyperlink w:anchor="__RefHeading___Toc10711_1000569294">
        <w:r>
          <w:rPr>
            <w:rStyle w:val="Sautdindex"/>
            <w:rFonts w:ascii="Trebuchet MS" w:hAnsi="Trebuchet MS"/>
          </w:rPr>
          <w:t>3.4 Cadre normatif</w:t>
          <w:tab/>
          <w:t>7</w:t>
        </w:r>
      </w:hyperlink>
    </w:p>
    <w:p>
      <w:pPr>
        <w:pStyle w:val="Tabledesmatiresniveau1"/>
        <w:tabs>
          <w:tab w:val="right" w:pos="9072" w:leader="dot"/>
        </w:tabs>
        <w:rPr>
          <w:rStyle w:val="Sautdindex"/>
          <w:rFonts w:ascii="Trebuchet MS" w:hAnsi="Trebuchet MS"/>
        </w:rPr>
      </w:pPr>
      <w:hyperlink w:anchor="__RefHeading___Toc10713_1000569294">
        <w:r>
          <w:rPr/>
        </w:r>
      </w:hyperlink>
    </w:p>
    <w:p>
      <w:pPr>
        <w:pStyle w:val="Tabledesmatiresniveau1"/>
        <w:tabs>
          <w:tab w:val="right" w:pos="9072" w:leader="dot"/>
        </w:tabs>
        <w:rPr/>
      </w:pPr>
      <w:hyperlink w:anchor="__RefHeading___Toc10713_1000569294">
        <w:r>
          <w:rPr>
            <w:rStyle w:val="Sautdindex"/>
            <w:rFonts w:ascii="Trebuchet MS" w:hAnsi="Trebuchet MS"/>
            <w:color w:val="000099"/>
          </w:rPr>
          <w:t>Article 4 - Rôles, acteurs et intervenants</w:t>
          <w:tab/>
          <w:t>7</w:t>
        </w:r>
      </w:hyperlink>
    </w:p>
    <w:p>
      <w:pPr>
        <w:pStyle w:val="Tabledesmatiresniveau2"/>
        <w:tabs>
          <w:tab w:val="right" w:pos="8789" w:leader="dot"/>
        </w:tabs>
        <w:rPr/>
      </w:pPr>
      <w:hyperlink w:anchor="__RefHeading___Toc10715_1000569294">
        <w:r>
          <w:rPr>
            <w:rStyle w:val="Sautdindex"/>
            <w:rFonts w:ascii="Trebuchet MS" w:hAnsi="Trebuchet MS"/>
          </w:rPr>
          <w:t>4.1 Rôles et responsabilités associées</w:t>
          <w:tab/>
          <w:t>7</w:t>
        </w:r>
      </w:hyperlink>
    </w:p>
    <w:p>
      <w:pPr>
        <w:pStyle w:val="Tabledesmatiresniveau3"/>
        <w:tabs>
          <w:tab w:val="right" w:pos="8506" w:leader="dot"/>
        </w:tabs>
        <w:rPr/>
      </w:pPr>
      <w:hyperlink w:anchor="__RefHeading___Toc10717_1000569294">
        <w:r>
          <w:rPr>
            <w:rStyle w:val="Sautdindex"/>
            <w:rFonts w:ascii="Trebuchet MS" w:hAnsi="Trebuchet MS"/>
          </w:rPr>
          <w:t>4.1.1 L’Autorité juridique</w:t>
          <w:tab/>
          <w:t>7</w:t>
        </w:r>
      </w:hyperlink>
    </w:p>
    <w:p>
      <w:pPr>
        <w:pStyle w:val="Tabledesmatiresniveau3"/>
        <w:tabs>
          <w:tab w:val="right" w:pos="8506" w:leader="dot"/>
        </w:tabs>
        <w:rPr/>
      </w:pPr>
      <w:hyperlink w:anchor="__RefHeading___Toc10719_1000569294">
        <w:r>
          <w:rPr>
            <w:rStyle w:val="Sautdindex"/>
            <w:rFonts w:ascii="Trebuchet MS" w:hAnsi="Trebuchet MS"/>
            <w:iCs/>
          </w:rPr>
          <w:t>4.1.2 L’Autorité d’archivage</w:t>
        </w:r>
      </w:hyperlink>
      <w:hyperlink w:anchor="__RefHeading___Toc10719_1000569294">
        <w:r>
          <w:rPr>
            <w:rStyle w:val="Sautdindex"/>
            <w:rFonts w:ascii="Trebuchet MS" w:hAnsi="Trebuchet MS"/>
          </w:rPr>
          <w:tab/>
          <w:t>7</w:t>
        </w:r>
      </w:hyperlink>
    </w:p>
    <w:p>
      <w:pPr>
        <w:pStyle w:val="Tabledesmatiresniveau3"/>
        <w:tabs>
          <w:tab w:val="right" w:pos="8506" w:leader="dot"/>
        </w:tabs>
        <w:rPr/>
      </w:pPr>
      <w:hyperlink w:anchor="__RefHeading___Toc10721_1000569294">
        <w:r>
          <w:rPr>
            <w:rStyle w:val="Sautdindex"/>
            <w:rFonts w:ascii="Trebuchet MS" w:hAnsi="Trebuchet MS"/>
            <w:iCs/>
          </w:rPr>
          <w:t>4.1.3 L’Opérateur d’archivage</w:t>
        </w:r>
      </w:hyperlink>
      <w:hyperlink w:anchor="__RefHeading___Toc10721_1000569294">
        <w:r>
          <w:rPr>
            <w:rStyle w:val="Sautdindex"/>
            <w:rFonts w:ascii="Trebuchet MS" w:hAnsi="Trebuchet MS"/>
          </w:rPr>
          <w:tab/>
          <w:t>8</w:t>
        </w:r>
      </w:hyperlink>
    </w:p>
    <w:p>
      <w:pPr>
        <w:pStyle w:val="Tabledesmatiresniveau3"/>
        <w:tabs>
          <w:tab w:val="right" w:pos="8506" w:leader="dot"/>
        </w:tabs>
        <w:rPr/>
      </w:pPr>
      <w:hyperlink w:anchor="__RefHeading___Toc10723_1000569294">
        <w:r>
          <w:rPr>
            <w:rStyle w:val="Sautdindex"/>
            <w:rFonts w:ascii="Trebuchet MS" w:hAnsi="Trebuchet MS"/>
          </w:rPr>
          <w:t>4.1.4 L’Autorité de contrôle</w:t>
          <w:tab/>
          <w:t>8</w:t>
        </w:r>
      </w:hyperlink>
    </w:p>
    <w:p>
      <w:pPr>
        <w:pStyle w:val="Tabledesmatiresniveau2"/>
        <w:tabs>
          <w:tab w:val="right" w:pos="8789" w:leader="dot"/>
        </w:tabs>
        <w:rPr/>
      </w:pPr>
      <w:hyperlink w:anchor="__RefHeading___Toc10725_1000569294">
        <w:r>
          <w:rPr>
            <w:rStyle w:val="Sautdindex"/>
            <w:rFonts w:ascii="Trebuchet MS" w:hAnsi="Trebuchet MS"/>
          </w:rPr>
          <w:t>4.2 Acteurs et intervenants</w:t>
          <w:tab/>
          <w:t>8</w:t>
        </w:r>
      </w:hyperlink>
    </w:p>
    <w:p>
      <w:pPr>
        <w:pStyle w:val="Tabledesmatiresniveau3"/>
        <w:tabs>
          <w:tab w:val="right" w:pos="8506" w:leader="dot"/>
        </w:tabs>
        <w:rPr/>
      </w:pPr>
      <w:hyperlink w:anchor="__RefHeading___Toc10727_1000569294">
        <w:r>
          <w:rPr>
            <w:rStyle w:val="Sautdindex"/>
            <w:rFonts w:ascii="Trebuchet MS" w:hAnsi="Trebuchet MS"/>
            <w:iCs/>
          </w:rPr>
          <w:t>4.2.1 Le Service producteur</w:t>
        </w:r>
      </w:hyperlink>
      <w:hyperlink w:anchor="__RefHeading___Toc10727_1000569294">
        <w:r>
          <w:rPr>
            <w:rStyle w:val="Sautdindex"/>
            <w:rFonts w:ascii="Trebuchet MS" w:hAnsi="Trebuchet MS"/>
          </w:rPr>
          <w:tab/>
          <w:t>8</w:t>
        </w:r>
      </w:hyperlink>
    </w:p>
    <w:p>
      <w:pPr>
        <w:pStyle w:val="Tabledesmatiresniveau3"/>
        <w:tabs>
          <w:tab w:val="right" w:pos="8506" w:leader="dot"/>
        </w:tabs>
        <w:rPr/>
      </w:pPr>
      <w:hyperlink w:anchor="__RefHeading___Toc10729_1000569294">
        <w:r>
          <w:rPr>
            <w:rStyle w:val="Sautdindex"/>
            <w:rFonts w:ascii="Trebuchet MS" w:hAnsi="Trebuchet MS"/>
          </w:rPr>
          <w:t>4.2.2 Le Service versant</w:t>
          <w:tab/>
          <w:t>9</w:t>
        </w:r>
      </w:hyperlink>
    </w:p>
    <w:p>
      <w:pPr>
        <w:pStyle w:val="Tabledesmatiresniveau3"/>
        <w:tabs>
          <w:tab w:val="right" w:pos="8506" w:leader="dot"/>
        </w:tabs>
        <w:rPr/>
      </w:pPr>
      <w:hyperlink w:anchor="__RefHeading___Toc10731_1000569294">
        <w:r>
          <w:rPr>
            <w:rStyle w:val="Sautdindex"/>
            <w:rFonts w:ascii="Trebuchet MS" w:hAnsi="Trebuchet MS"/>
          </w:rPr>
          <w:t>[4.2.3 LE CAS ÉCHÉANT L’Opérateur de versement</w:t>
          <w:tab/>
          <w:t>9</w:t>
        </w:r>
      </w:hyperlink>
    </w:p>
    <w:p>
      <w:pPr>
        <w:pStyle w:val="Tabledesmatiresniveau3"/>
        <w:tabs>
          <w:tab w:val="right" w:pos="8506" w:leader="dot"/>
        </w:tabs>
        <w:rPr/>
      </w:pPr>
      <w:hyperlink w:anchor="__RefHeading___Toc10733_1000569294">
        <w:r>
          <w:rPr>
            <w:rStyle w:val="Sautdindex"/>
            <w:rFonts w:ascii="Trebuchet MS" w:hAnsi="Trebuchet MS"/>
            <w:iCs/>
          </w:rPr>
          <w:t>4.2.4 Le Service d’archives</w:t>
        </w:r>
      </w:hyperlink>
      <w:hyperlink w:anchor="__RefHeading___Toc10733_1000569294">
        <w:r>
          <w:rPr>
            <w:rStyle w:val="Sautdindex"/>
            <w:rFonts w:ascii="Trebuchet MS" w:hAnsi="Trebuchet MS"/>
          </w:rPr>
          <w:tab/>
          <w:t>9</w:t>
        </w:r>
      </w:hyperlink>
    </w:p>
    <w:p>
      <w:pPr>
        <w:pStyle w:val="Tabledesmatiresniveau3"/>
        <w:tabs>
          <w:tab w:val="right" w:pos="8506" w:leader="dot"/>
        </w:tabs>
        <w:rPr/>
      </w:pPr>
      <w:hyperlink w:anchor="__RefHeading___Toc10737_1000569294">
        <w:r>
          <w:rPr>
            <w:rStyle w:val="Sautdindex"/>
            <w:rFonts w:ascii="Trebuchet MS" w:hAnsi="Trebuchet MS"/>
          </w:rPr>
          <w:t>4.2.5 Le Demandeur</w:t>
          <w:tab/>
          <w:t>9</w:t>
        </w:r>
      </w:hyperlink>
    </w:p>
    <w:p>
      <w:pPr>
        <w:pStyle w:val="Tabledesmatiresniveau3"/>
        <w:tabs>
          <w:tab w:val="right" w:pos="8506" w:leader="dot"/>
        </w:tabs>
        <w:rPr/>
      </w:pPr>
      <w:hyperlink w:anchor="__RefHeading___Toc10739_1000569294">
        <w:r>
          <w:rPr>
            <w:rStyle w:val="Sautdindex"/>
            <w:rFonts w:ascii="Trebuchet MS" w:hAnsi="Trebuchet MS"/>
            <w:iCs/>
          </w:rPr>
          <w:t>4.2.6 Le Contrôle scientifique et technique</w:t>
        </w:r>
      </w:hyperlink>
      <w:hyperlink w:anchor="__RefHeading___Toc10739_1000569294">
        <w:r>
          <w:rPr>
            <w:rStyle w:val="Sautdindex"/>
            <w:rFonts w:ascii="Trebuchet MS" w:hAnsi="Trebuchet MS"/>
          </w:rPr>
          <w:tab/>
          <w:t>10</w:t>
        </w:r>
      </w:hyperlink>
    </w:p>
    <w:p>
      <w:pPr>
        <w:pStyle w:val="Tabledesmatiresniveau2"/>
        <w:tabs>
          <w:tab w:val="right" w:pos="8789" w:leader="dot"/>
        </w:tabs>
        <w:rPr/>
      </w:pPr>
      <w:hyperlink w:anchor="__RefHeading___Toc10741_1000569294">
        <w:r>
          <w:rPr>
            <w:rStyle w:val="Sautdindex"/>
            <w:rFonts w:ascii="Trebuchet MS" w:hAnsi="Trebuchet MS"/>
          </w:rPr>
          <w:t>4.3 Compétences et formation des intervenants</w:t>
          <w:tab/>
          <w:t>10</w:t>
        </w:r>
      </w:hyperlink>
    </w:p>
    <w:p>
      <w:pPr>
        <w:pStyle w:val="Tabledesmatiresniveau1"/>
        <w:tabs>
          <w:tab w:val="right" w:pos="9072" w:leader="dot"/>
        </w:tabs>
        <w:rPr>
          <w:rStyle w:val="Sautdindex"/>
          <w:rFonts w:ascii="Trebuchet MS" w:hAnsi="Trebuchet MS"/>
        </w:rPr>
      </w:pPr>
      <w:hyperlink w:anchor="__RefHeading___Toc10743_1000569294">
        <w:r>
          <w:rPr/>
        </w:r>
      </w:hyperlink>
    </w:p>
    <w:p>
      <w:pPr>
        <w:pStyle w:val="Tabledesmatiresniveau1"/>
        <w:tabs>
          <w:tab w:val="right" w:pos="9072" w:leader="dot"/>
        </w:tabs>
        <w:rPr/>
      </w:pPr>
      <w:hyperlink w:anchor="__RefHeading___Toc10743_1000569294">
        <w:r>
          <w:rPr>
            <w:rStyle w:val="Sautdindex"/>
            <w:rFonts w:ascii="Trebuchet MS" w:hAnsi="Trebuchet MS"/>
            <w:color w:val="000099"/>
          </w:rPr>
          <w:t>Article 5 - Services fournis par l’Autorité d’archivage</w:t>
          <w:tab/>
          <w:t>10</w:t>
        </w:r>
      </w:hyperlink>
    </w:p>
    <w:p>
      <w:pPr>
        <w:pStyle w:val="Tabledesmatiresniveau2"/>
        <w:tabs>
          <w:tab w:val="right" w:pos="8789" w:leader="dot"/>
        </w:tabs>
        <w:rPr/>
      </w:pPr>
      <w:hyperlink w:anchor="__RefHeading___Toc10745_1000569294">
        <w:r>
          <w:rPr>
            <w:rStyle w:val="Sautdindex"/>
            <w:rFonts w:ascii="Trebuchet MS" w:hAnsi="Trebuchet MS"/>
          </w:rPr>
          <w:t>5.1 Contrôle des versements</w:t>
          <w:tab/>
          <w:t>11</w:t>
        </w:r>
      </w:hyperlink>
    </w:p>
    <w:p>
      <w:pPr>
        <w:pStyle w:val="Tabledesmatiresniveau2"/>
        <w:tabs>
          <w:tab w:val="right" w:pos="8789" w:leader="dot"/>
        </w:tabs>
        <w:rPr/>
      </w:pPr>
      <w:hyperlink w:anchor="__RefHeading___Toc10747_1000569294">
        <w:r>
          <w:rPr>
            <w:rStyle w:val="Sautdindex"/>
            <w:rFonts w:ascii="Trebuchet MS" w:hAnsi="Trebuchet MS"/>
          </w:rPr>
          <w:t>5.2 Prise en charge des versements</w:t>
          <w:tab/>
          <w:t>11</w:t>
        </w:r>
      </w:hyperlink>
    </w:p>
    <w:p>
      <w:pPr>
        <w:pStyle w:val="Tabledesmatiresniveau2"/>
        <w:tabs>
          <w:tab w:val="right" w:pos="8789" w:leader="dot"/>
        </w:tabs>
        <w:rPr/>
      </w:pPr>
      <w:hyperlink w:anchor="__RefHeading___Toc10749_1000569294">
        <w:r>
          <w:rPr>
            <w:rStyle w:val="Sautdindex"/>
            <w:rFonts w:ascii="Trebuchet MS" w:hAnsi="Trebuchet MS"/>
          </w:rPr>
          <w:t>5.3 Conservation des archives</w:t>
          <w:tab/>
          <w:t>11</w:t>
        </w:r>
      </w:hyperlink>
    </w:p>
    <w:p>
      <w:pPr>
        <w:pStyle w:val="Tabledesmatiresniveau3"/>
        <w:tabs>
          <w:tab w:val="right" w:pos="8506" w:leader="dot"/>
        </w:tabs>
        <w:rPr/>
      </w:pPr>
      <w:hyperlink w:anchor="__RefHeading___Toc10751_1000569294">
        <w:r>
          <w:rPr>
            <w:rStyle w:val="Sautdindex"/>
            <w:rFonts w:ascii="Trebuchet MS" w:hAnsi="Trebuchet MS"/>
          </w:rPr>
          <w:t>5.3.1 Conservation sécurisée des archives par réplication des données sur des sites distants</w:t>
          <w:tab/>
          <w:t>12</w:t>
        </w:r>
      </w:hyperlink>
    </w:p>
    <w:p>
      <w:pPr>
        <w:pStyle w:val="Tabledesmatiresniveau3"/>
        <w:tabs>
          <w:tab w:val="right" w:pos="8506" w:leader="dot"/>
        </w:tabs>
        <w:rPr/>
      </w:pPr>
      <w:hyperlink w:anchor="__RefHeading___Toc10753_1000569294">
        <w:r>
          <w:rPr>
            <w:rStyle w:val="Sautdindex"/>
            <w:rFonts w:ascii="Trebuchet MS" w:hAnsi="Trebuchet MS"/>
          </w:rPr>
          <w:t>5.3.2 Définition, mise en œuvre et documentation des règles de contrôle de l’intégrité des fichiers</w:t>
          <w:tab/>
          <w:t>12</w:t>
        </w:r>
      </w:hyperlink>
    </w:p>
    <w:p>
      <w:pPr>
        <w:pStyle w:val="Tabledesmatiresniveau3"/>
        <w:tabs>
          <w:tab w:val="right" w:pos="8506" w:leader="dot"/>
        </w:tabs>
        <w:rPr/>
      </w:pPr>
      <w:hyperlink w:anchor="__RefHeading___Toc10755_1000569294">
        <w:r>
          <w:rPr>
            <w:rStyle w:val="Sautdindex"/>
            <w:rFonts w:ascii="Trebuchet MS" w:hAnsi="Trebuchet MS"/>
          </w:rPr>
          <w:t>5.3.3 Définition, mise en œuvre et documentation des règles de surveillance de l’obsolescence des formats</w:t>
          <w:tab/>
          <w:t>12</w:t>
        </w:r>
      </w:hyperlink>
    </w:p>
    <w:p>
      <w:pPr>
        <w:pStyle w:val="Tabledesmatiresniveau3"/>
        <w:tabs>
          <w:tab w:val="right" w:pos="8506" w:leader="dot"/>
        </w:tabs>
        <w:rPr/>
      </w:pPr>
      <w:hyperlink w:anchor="__RefHeading___Toc10757_1000569294">
        <w:r>
          <w:rPr>
            <w:rStyle w:val="Sautdindex"/>
            <w:rFonts w:ascii="Trebuchet MS" w:hAnsi="Trebuchet MS"/>
          </w:rPr>
          <w:t>5.3.4 Définition, mise en œuvre et documentation des règles de surveillance de l’obsolescence des supports</w:t>
          <w:tab/>
          <w:t>13</w:t>
        </w:r>
      </w:hyperlink>
    </w:p>
    <w:p>
      <w:pPr>
        <w:pStyle w:val="Tabledesmatiresniveau3"/>
        <w:tabs>
          <w:tab w:val="right" w:pos="8506" w:leader="dot"/>
        </w:tabs>
        <w:rPr/>
      </w:pPr>
      <w:hyperlink w:anchor="__RefHeading___Toc7632_1888894366">
        <w:r>
          <w:rPr>
            <w:rStyle w:val="Sautdindex"/>
            <w:rFonts w:ascii="Trebuchet MS" w:hAnsi="Trebuchet MS"/>
          </w:rPr>
          <w:t>5.3.5 Planification régulière d’opérations de conversions de formats</w:t>
          <w:tab/>
          <w:t>13</w:t>
        </w:r>
      </w:hyperlink>
    </w:p>
    <w:p>
      <w:pPr>
        <w:pStyle w:val="Tabledesmatiresniveau3"/>
        <w:tabs>
          <w:tab w:val="right" w:pos="8506" w:leader="dot"/>
        </w:tabs>
        <w:rPr/>
      </w:pPr>
      <w:hyperlink w:anchor="__RefHeading___Toc10761_1000569294">
        <w:r>
          <w:rPr>
            <w:rStyle w:val="Sautdindex"/>
            <w:rFonts w:ascii="Trebuchet MS" w:hAnsi="Trebuchet MS"/>
          </w:rPr>
          <w:t>5.3.6 Planification régulière d’opérations de migrations de supports</w:t>
          <w:tab/>
          <w:t>13</w:t>
        </w:r>
      </w:hyperlink>
    </w:p>
    <w:p>
      <w:pPr>
        <w:pStyle w:val="Tabledesmatiresniveau2"/>
        <w:tabs>
          <w:tab w:val="right" w:pos="8789" w:leader="dot"/>
        </w:tabs>
        <w:rPr/>
      </w:pPr>
      <w:hyperlink w:anchor="__RefHeading___Toc10763_1000569294">
        <w:r>
          <w:rPr>
            <w:rStyle w:val="Sautdindex"/>
            <w:rFonts w:ascii="Trebuchet MS" w:hAnsi="Trebuchet MS"/>
          </w:rPr>
          <w:t>5.4 Gestion du cycle de vie des archives</w:t>
          <w:tab/>
          <w:t>13</w:t>
        </w:r>
      </w:hyperlink>
    </w:p>
    <w:p>
      <w:pPr>
        <w:pStyle w:val="Tabledesmatiresniveau2"/>
        <w:tabs>
          <w:tab w:val="right" w:pos="8789" w:leader="dot"/>
        </w:tabs>
        <w:rPr/>
      </w:pPr>
      <w:hyperlink w:anchor="__RefHeading___Toc10765_1000569294">
        <w:r>
          <w:rPr>
            <w:rStyle w:val="Sautdindex"/>
            <w:rFonts w:ascii="Trebuchet MS" w:hAnsi="Trebuchet MS"/>
          </w:rPr>
          <w:t>5.5 Accès aux archives conservées dans le SAE</w:t>
          <w:tab/>
          <w:t>14</w:t>
        </w:r>
      </w:hyperlink>
    </w:p>
    <w:p>
      <w:pPr>
        <w:pStyle w:val="Tabledesmatiresniveau2"/>
        <w:tabs>
          <w:tab w:val="right" w:pos="8789" w:leader="dot"/>
        </w:tabs>
        <w:rPr/>
      </w:pPr>
      <w:hyperlink w:anchor="__RefHeading___Toc10767_1000569294">
        <w:r>
          <w:rPr>
            <w:rStyle w:val="Sautdindex"/>
            <w:rFonts w:ascii="Trebuchet MS" w:hAnsi="Trebuchet MS"/>
          </w:rPr>
          <w:t>5.6 Restitution des archives</w:t>
          <w:tab/>
          <w:t>14</w:t>
        </w:r>
      </w:hyperlink>
    </w:p>
    <w:p>
      <w:pPr>
        <w:pStyle w:val="Tabledesmatiresniveau1"/>
        <w:tabs>
          <w:tab w:val="right" w:pos="9072" w:leader="dot"/>
        </w:tabs>
        <w:rPr>
          <w:rStyle w:val="Sautdindex"/>
          <w:rFonts w:ascii="Trebuchet MS" w:hAnsi="Trebuchet MS"/>
        </w:rPr>
      </w:pPr>
      <w:hyperlink w:anchor="__RefHeading___Toc10769_1000569294">
        <w:r>
          <w:rPr/>
        </w:r>
      </w:hyperlink>
    </w:p>
    <w:p>
      <w:pPr>
        <w:pStyle w:val="Tabledesmatiresniveau1"/>
        <w:tabs>
          <w:tab w:val="right" w:pos="9072" w:leader="dot"/>
        </w:tabs>
        <w:rPr/>
      </w:pPr>
      <w:hyperlink w:anchor="__RefHeading___Toc10769_1000569294">
        <w:r>
          <w:rPr>
            <w:rStyle w:val="Sautdindex"/>
            <w:rFonts w:ascii="Trebuchet MS" w:hAnsi="Trebuchet MS"/>
            <w:color w:val="000099"/>
          </w:rPr>
          <w:t>Article 6 – Engagements de service</w:t>
          <w:tab/>
          <w:t>15</w:t>
        </w:r>
      </w:hyperlink>
    </w:p>
    <w:p>
      <w:pPr>
        <w:pStyle w:val="Tabledesmatiresniveau2"/>
        <w:tabs>
          <w:tab w:val="right" w:pos="8789" w:leader="dot"/>
        </w:tabs>
        <w:rPr/>
      </w:pPr>
      <w:hyperlink w:anchor="__RefHeading___Toc10771_1000569294">
        <w:r>
          <w:rPr>
            <w:rStyle w:val="Sautdindex"/>
            <w:rFonts w:ascii="Trebuchet MS" w:hAnsi="Trebuchet MS"/>
            <w:iCs/>
          </w:rPr>
          <w:t>6.1 Disponibilité du SAE et des informations qu’il conserve</w:t>
        </w:r>
      </w:hyperlink>
      <w:hyperlink w:anchor="__RefHeading___Toc10771_1000569294">
        <w:r>
          <w:rPr>
            <w:rStyle w:val="Sautdindex"/>
            <w:rFonts w:ascii="Trebuchet MS" w:hAnsi="Trebuchet MS"/>
          </w:rPr>
          <w:tab/>
          <w:t>15</w:t>
        </w:r>
      </w:hyperlink>
    </w:p>
    <w:p>
      <w:pPr>
        <w:pStyle w:val="Tabledesmatiresniveau2"/>
        <w:tabs>
          <w:tab w:val="right" w:pos="8789" w:leader="dot"/>
        </w:tabs>
        <w:rPr/>
      </w:pPr>
      <w:hyperlink w:anchor="__RefHeading___Toc10773_1000569294">
        <w:r>
          <w:rPr>
            <w:rStyle w:val="Sautdindex"/>
            <w:rFonts w:ascii="Trebuchet MS" w:hAnsi="Trebuchet MS"/>
            <w:iCs/>
          </w:rPr>
          <w:t>6.2 Intégrité des informations conservées par le SAE</w:t>
        </w:r>
      </w:hyperlink>
      <w:hyperlink w:anchor="__RefHeading___Toc10773_1000569294">
        <w:r>
          <w:rPr>
            <w:rStyle w:val="Sautdindex"/>
            <w:rFonts w:ascii="Trebuchet MS" w:hAnsi="Trebuchet MS"/>
          </w:rPr>
          <w:tab/>
          <w:t>15</w:t>
        </w:r>
      </w:hyperlink>
    </w:p>
    <w:p>
      <w:pPr>
        <w:pStyle w:val="Tabledesmatiresniveau2"/>
        <w:tabs>
          <w:tab w:val="right" w:pos="8789" w:leader="dot"/>
        </w:tabs>
        <w:rPr/>
      </w:pPr>
      <w:hyperlink w:anchor="__RefHeading___Toc10775_1000569294">
        <w:r>
          <w:rPr>
            <w:rStyle w:val="Sautdindex"/>
            <w:rFonts w:ascii="Trebuchet MS" w:hAnsi="Trebuchet MS"/>
          </w:rPr>
          <w:t>6.3 Traçabilité des opérations, journaux</w:t>
          <w:tab/>
          <w:t>16</w:t>
        </w:r>
      </w:hyperlink>
    </w:p>
    <w:p>
      <w:pPr>
        <w:pStyle w:val="Tabledesmatiresniveau3"/>
        <w:tabs>
          <w:tab w:val="right" w:pos="8506" w:leader="dot"/>
        </w:tabs>
        <w:rPr/>
      </w:pPr>
      <w:hyperlink w:anchor="__RefHeading___Toc10777_1000569294">
        <w:r>
          <w:rPr>
            <w:rStyle w:val="Sautdindex"/>
            <w:rFonts w:ascii="Trebuchet MS" w:hAnsi="Trebuchet MS"/>
          </w:rPr>
          <w:t>6.3.1. Intégrité des journaux</w:t>
          <w:tab/>
          <w:t>16</w:t>
        </w:r>
      </w:hyperlink>
    </w:p>
    <w:p>
      <w:pPr>
        <w:pStyle w:val="Tabledesmatiresniveau3"/>
        <w:tabs>
          <w:tab w:val="right" w:pos="8506" w:leader="dot"/>
        </w:tabs>
        <w:rPr/>
      </w:pPr>
      <w:hyperlink w:anchor="__RefHeading___Toc10779_1000569294">
        <w:r>
          <w:rPr>
            <w:rStyle w:val="Sautdindex"/>
            <w:rFonts w:ascii="Trebuchet MS" w:hAnsi="Trebuchet MS"/>
          </w:rPr>
          <w:t>6.3.2. Conservation des journaux</w:t>
          <w:tab/>
          <w:t>16</w:t>
        </w:r>
      </w:hyperlink>
    </w:p>
    <w:p>
      <w:pPr>
        <w:pStyle w:val="Tabledesmatiresniveau3"/>
        <w:tabs>
          <w:tab w:val="right" w:pos="8506" w:leader="dot"/>
        </w:tabs>
        <w:rPr/>
      </w:pPr>
      <w:hyperlink w:anchor="__RefHeading___Toc10781_1000569294">
        <w:r>
          <w:rPr>
            <w:rStyle w:val="Sautdindex"/>
            <w:rFonts w:ascii="Trebuchet MS" w:hAnsi="Trebuchet MS"/>
            <w:i w:val="false"/>
            <w:iCs w:val="false"/>
          </w:rPr>
          <w:t xml:space="preserve">6.3.3. Consultation des journaux [et des attestations d’intégrité, </w:t>
        </w:r>
      </w:hyperlink>
      <w:hyperlink w:anchor="__RefHeading___Toc10781_1000569294">
        <w:r>
          <w:rPr>
            <w:rStyle w:val="Sautdindex"/>
            <w:rFonts w:ascii="Trebuchet MS" w:hAnsi="Trebuchet MS"/>
            <w:i/>
            <w:iCs/>
          </w:rPr>
          <w:t>le cas échéant</w:t>
        </w:r>
      </w:hyperlink>
      <w:hyperlink w:anchor="__RefHeading___Toc10781_1000569294">
        <w:r>
          <w:rPr>
            <w:rStyle w:val="Sautdindex"/>
            <w:rFonts w:ascii="Trebuchet MS" w:hAnsi="Trebuchet MS"/>
            <w:i w:val="false"/>
            <w:iCs w:val="false"/>
          </w:rPr>
          <w:t>]</w:t>
        </w:r>
      </w:hyperlink>
      <w:hyperlink w:anchor="__RefHeading___Toc10781_1000569294">
        <w:r>
          <w:rPr>
            <w:rStyle w:val="Sautdindex"/>
            <w:rFonts w:ascii="Trebuchet MS" w:hAnsi="Trebuchet MS"/>
          </w:rPr>
          <w:tab/>
          <w:t>16</w:t>
        </w:r>
      </w:hyperlink>
    </w:p>
    <w:p>
      <w:pPr>
        <w:pStyle w:val="Tabledesmatiresniveau2"/>
        <w:tabs>
          <w:tab w:val="right" w:pos="8789" w:leader="dot"/>
        </w:tabs>
        <w:rPr/>
      </w:pPr>
      <w:hyperlink w:anchor="__RefHeading___Toc10783_1000569294">
        <w:r>
          <w:rPr>
            <w:rStyle w:val="Sautdindex"/>
            <w:rFonts w:ascii="Trebuchet MS" w:hAnsi="Trebuchet MS"/>
          </w:rPr>
          <w:t>6.4 Confidentialité des informations conservées dans le SAE</w:t>
          <w:tab/>
          <w:t>17</w:t>
        </w:r>
      </w:hyperlink>
    </w:p>
    <w:p>
      <w:pPr>
        <w:pStyle w:val="Tabledesmatiresniveau2"/>
        <w:tabs>
          <w:tab w:val="right" w:pos="8789" w:leader="dot"/>
        </w:tabs>
        <w:rPr/>
      </w:pPr>
      <w:hyperlink w:anchor="__RefHeading___Toc10785_1000569294">
        <w:r>
          <w:rPr>
            <w:rStyle w:val="Sautdindex"/>
            <w:rFonts w:ascii="Trebuchet MS" w:hAnsi="Trebuchet MS"/>
          </w:rPr>
          <w:t>6.5 Sécurité du SAE et contrôle des accès</w:t>
          <w:tab/>
          <w:t>17</w:t>
        </w:r>
      </w:hyperlink>
    </w:p>
    <w:p>
      <w:pPr>
        <w:pStyle w:val="Tabledesmatiresniveau3"/>
        <w:tabs>
          <w:tab w:val="right" w:pos="8506" w:leader="dot"/>
        </w:tabs>
        <w:rPr/>
      </w:pPr>
      <w:hyperlink w:anchor="__RefHeading___Toc10787_1000569294">
        <w:r>
          <w:rPr>
            <w:rStyle w:val="Sautdindex"/>
            <w:rFonts w:ascii="Trebuchet MS" w:hAnsi="Trebuchet MS"/>
          </w:rPr>
          <w:t>6.5.1 Respect des bonnes pratiques en matière de sécurité</w:t>
          <w:tab/>
          <w:t>17</w:t>
        </w:r>
      </w:hyperlink>
    </w:p>
    <w:p>
      <w:pPr>
        <w:pStyle w:val="Tabledesmatiresniveau3"/>
        <w:tabs>
          <w:tab w:val="right" w:pos="8506" w:leader="dot"/>
        </w:tabs>
        <w:rPr/>
      </w:pPr>
      <w:hyperlink w:anchor="__RefHeading___Toc10789_1000569294">
        <w:r>
          <w:rPr>
            <w:rStyle w:val="Sautdindex"/>
            <w:rFonts w:ascii="Trebuchet MS" w:hAnsi="Trebuchet MS"/>
          </w:rPr>
          <w:t>6.5.2 Contrôle des accès au système et aux locaux de stockage</w:t>
          <w:tab/>
          <w:t>17</w:t>
        </w:r>
      </w:hyperlink>
    </w:p>
    <w:p>
      <w:pPr>
        <w:pStyle w:val="Tabledesmatiresniveau3"/>
        <w:tabs>
          <w:tab w:val="right" w:pos="8506" w:leader="dot"/>
        </w:tabs>
        <w:rPr/>
      </w:pPr>
      <w:hyperlink w:anchor="__RefHeading___Toc7634_1888894366">
        <w:r>
          <w:rPr>
            <w:rStyle w:val="Sautdindex"/>
            <w:rFonts w:ascii="Trebuchet MS" w:hAnsi="Trebuchet MS"/>
          </w:rPr>
          <w:t>6.5.3 Plan de continuité d’activités</w:t>
          <w:tab/>
          <w:t>18</w:t>
        </w:r>
      </w:hyperlink>
    </w:p>
    <w:p>
      <w:pPr>
        <w:pStyle w:val="Tabledesmatiresniveau1"/>
        <w:tabs>
          <w:tab w:val="right" w:pos="9072" w:leader="dot"/>
        </w:tabs>
        <w:rPr>
          <w:rStyle w:val="Sautdindex"/>
          <w:rFonts w:ascii="Trebuchet MS" w:hAnsi="Trebuchet MS"/>
          <w:color w:val="000099"/>
        </w:rPr>
      </w:pPr>
      <w:hyperlink w:anchor="__RefHeading___Toc10793_1000569294">
        <w:r>
          <w:rPr/>
        </w:r>
      </w:hyperlink>
    </w:p>
    <w:p>
      <w:pPr>
        <w:pStyle w:val="Tabledesmatiresniveau1"/>
        <w:tabs>
          <w:tab w:val="right" w:pos="9072" w:leader="dot"/>
        </w:tabs>
        <w:rPr/>
      </w:pPr>
      <w:hyperlink w:anchor="__RefHeading___Toc10793_1000569294">
        <w:r>
          <w:rPr>
            <w:rStyle w:val="Sautdindex"/>
            <w:rFonts w:ascii="Trebuchet MS" w:hAnsi="Trebuchet MS"/>
            <w:color w:val="000099"/>
          </w:rPr>
          <w:t>Article 7 - Diffusion et mise à jour</w:t>
          <w:tab/>
          <w:t>18</w:t>
        </w:r>
      </w:hyperlink>
    </w:p>
    <w:p>
      <w:pPr>
        <w:pStyle w:val="Tabledesmatiresniveau1"/>
        <w:tabs>
          <w:tab w:val="right" w:pos="9072" w:leader="dot"/>
        </w:tabs>
        <w:rPr>
          <w:rStyle w:val="Sautdindex"/>
          <w:rFonts w:ascii="Trebuchet MS" w:hAnsi="Trebuchet MS"/>
          <w:color w:val="000099"/>
        </w:rPr>
      </w:pPr>
      <w:hyperlink w:anchor="__RefHeading___Toc10795_1000569294">
        <w:r>
          <w:rPr/>
        </w:r>
      </w:hyperlink>
    </w:p>
    <w:p>
      <w:pPr>
        <w:pStyle w:val="Tabledesmatiresniveau1"/>
        <w:tabs>
          <w:tab w:val="right" w:pos="9072" w:leader="dot"/>
        </w:tabs>
        <w:rPr/>
      </w:pPr>
      <w:hyperlink w:anchor="__RefHeading___Toc10795_1000569294">
        <w:r>
          <w:rPr>
            <w:rStyle w:val="Sautdindex"/>
            <w:rFonts w:ascii="Trebuchet MS" w:hAnsi="Trebuchet MS"/>
            <w:color w:val="000099"/>
          </w:rPr>
          <w:t>Glossaire</w:t>
          <w:tab/>
          <w:t>19</w:t>
        </w:r>
      </w:hyperlink>
    </w:p>
    <w:p>
      <w:pPr>
        <w:pStyle w:val="TM2"/>
        <w:tabs>
          <w:tab w:val="right" w:pos="7229" w:leader="dot"/>
        </w:tabs>
        <w:ind w:start="709" w:end="0" w:hanging="0"/>
        <w:rPr>
          <w:rStyle w:val="Policepardfaut"/>
          <w:rFonts w:ascii="Trebuchet MS" w:hAnsi="Trebuchet MS"/>
          <w:b/>
          <w:b/>
          <w:i w:val="false"/>
          <w:i w:val="false"/>
          <w:color w:val="000099"/>
          <w:spacing w:val="0"/>
          <w:sz w:val="24"/>
          <w:szCs w:val="24"/>
        </w:rPr>
      </w:pPr>
      <w:r>
        <w:rPr/>
      </w:r>
      <w:r>
        <w:rPr/>
        <w:fldChar w:fldCharType="end"/>
      </w:r>
      <w:r>
        <w:br w:type="page"/>
      </w:r>
    </w:p>
    <w:p>
      <w:pPr>
        <w:pStyle w:val="Titre2"/>
        <w:numPr>
          <w:ilvl w:val="1"/>
          <w:numId w:val="1"/>
        </w:numPr>
        <w:tabs>
          <w:tab w:val="left" w:pos="0" w:leader="none"/>
        </w:tabs>
        <w:spacing w:before="0" w:after="240"/>
        <w:ind w:start="709" w:end="0" w:hanging="0"/>
        <w:rPr/>
      </w:pPr>
      <w:bookmarkStart w:id="9" w:name="__RefHeading___Toc10699_1000569294"/>
      <w:bookmarkEnd w:id="9"/>
      <w:r>
        <w:rPr>
          <w:rStyle w:val="Titredulivre"/>
          <w:color w:val="000099"/>
          <w:spacing w:val="0"/>
        </w:rPr>
        <w:t xml:space="preserve">Article 1 </w:t>
      </w:r>
      <w:r>
        <w:rPr>
          <w:rStyle w:val="Titredulivre"/>
          <w:color w:val="000099"/>
          <w:spacing w:val="0"/>
        </w:rPr>
        <w:t>-</w:t>
      </w:r>
      <w:r>
        <w:rPr>
          <w:rStyle w:val="Titredulivre"/>
          <w:color w:val="000099"/>
          <w:spacing w:val="0"/>
        </w:rPr>
        <w:t xml:space="preserve"> Contexte</w:t>
      </w:r>
    </w:p>
    <w:p>
      <w:pPr>
        <w:pStyle w:val="Style31"/>
        <w:rPr>
          <w:i/>
          <w:i/>
        </w:rPr>
      </w:pPr>
      <w:r>
        <w:rPr>
          <w:i/>
        </w:rPr>
        <w:t>[</w:t>
      </w:r>
      <w:r>
        <w:rPr>
          <w:i/>
        </w:rPr>
        <w:t>Décrire la structure porteuse du service d’archivage électronique et, dans le cas d’une structure mutualisée, présenter les différents partenaires de la mutualisation dans le cadre de la convention prévue à l’article L. 212-4-1 du Code du patrimoine.</w:t>
      </w:r>
      <w:r>
        <w:rPr>
          <w:i/>
        </w:rPr>
        <w:t>]</w:t>
      </w:r>
    </w:p>
    <w:p>
      <w:pPr>
        <w:pStyle w:val="Style31"/>
        <w:rPr>
          <w:i/>
          <w:i/>
        </w:rPr>
      </w:pPr>
      <w:r>
        <w:rPr>
          <w:i/>
        </w:rPr>
        <w:t>[Présenter les éléments de contexte et d’historique du projet de service d’archivage électronique.]</w:t>
      </w:r>
    </w:p>
    <w:p>
      <w:pPr>
        <w:pStyle w:val="Style31"/>
        <w:rPr>
          <w:i/>
          <w:i/>
        </w:rPr>
      </w:pPr>
      <w:r>
        <w:rPr>
          <w:i/>
        </w:rPr>
        <w:t xml:space="preserve">[Présenter en quelques mots le </w:t>
      </w:r>
      <w:r>
        <w:rPr>
          <w:i/>
        </w:rPr>
        <w:t>Système</w:t>
      </w:r>
      <w:r>
        <w:rPr>
          <w:i/>
        </w:rPr>
        <w:t xml:space="preserve"> d’archivage électronique en précisant notamment son périmètre.]</w:t>
      </w:r>
    </w:p>
    <w:p>
      <w:pPr>
        <w:pStyle w:val="Style31"/>
        <w:rPr>
          <w:rStyle w:val="Titredulivre"/>
          <w:i/>
          <w:i/>
          <w:color w:val="000099"/>
          <w:spacing w:val="0"/>
        </w:rPr>
      </w:pPr>
      <w:r>
        <w:rPr/>
      </w:r>
    </w:p>
    <w:p>
      <w:pPr>
        <w:pStyle w:val="Titre2"/>
        <w:numPr>
          <w:ilvl w:val="1"/>
          <w:numId w:val="1"/>
        </w:numPr>
        <w:tabs>
          <w:tab w:val="left" w:pos="0" w:leader="none"/>
        </w:tabs>
        <w:spacing w:before="0" w:after="240"/>
        <w:ind w:start="709" w:end="0" w:hanging="0"/>
        <w:rPr/>
      </w:pPr>
      <w:bookmarkStart w:id="10" w:name="__RefHeading___Toc10701_1000569294"/>
      <w:bookmarkEnd w:id="10"/>
      <w:r>
        <w:rPr>
          <w:rStyle w:val="Titredulivre"/>
          <w:color w:val="000099"/>
          <w:spacing w:val="0"/>
        </w:rPr>
        <w:t xml:space="preserve">Article </w:t>
      </w:r>
      <w:r>
        <w:rPr>
          <w:rStyle w:val="Titredulivre"/>
          <w:color w:val="000099"/>
          <w:spacing w:val="0"/>
        </w:rPr>
        <w:t xml:space="preserve">2 </w:t>
      </w:r>
      <w:r>
        <w:rPr>
          <w:rStyle w:val="Titredulivre"/>
          <w:color w:val="000099"/>
          <w:spacing w:val="0"/>
        </w:rPr>
        <w:t>-</w:t>
      </w:r>
      <w:r>
        <w:rPr>
          <w:rStyle w:val="Titredulivre"/>
          <w:color w:val="000099"/>
          <w:spacing w:val="0"/>
        </w:rPr>
        <w:t xml:space="preserve"> Objet</w:t>
      </w:r>
      <w:bookmarkEnd w:id="5"/>
      <w:bookmarkEnd w:id="6"/>
      <w:bookmarkEnd w:id="7"/>
    </w:p>
    <w:p>
      <w:pPr>
        <w:pStyle w:val="Style31"/>
        <w:rPr/>
      </w:pPr>
      <w:r>
        <w:rPr/>
        <w:t>Le Système d’archivage électronique (SAE) est un écosystème se composant d’infrastructures matérielles, de solutions logicielles et de processus métier pilotés et réalisés par des archivistes, dont l’objet est de garantir la bonne gestion du cycle de vie des archives conservées dans le système, leur authenticité, leur intégrité et enfin leur pérennisation à travers le temps.</w:t>
      </w:r>
    </w:p>
    <w:p>
      <w:pPr>
        <w:pStyle w:val="Style31"/>
        <w:rPr/>
      </w:pPr>
      <w:r>
        <w:rPr/>
        <w:t>L</w:t>
      </w:r>
      <w:r>
        <w:rPr/>
        <w:t>e présent document, dénommé</w:t>
      </w:r>
      <w:r>
        <w:rPr/>
        <w:t xml:space="preserve"> Politique d’archivage, f</w:t>
      </w:r>
      <w:r>
        <w:rPr/>
        <w:t xml:space="preserve">ixe le cadre de référence et décrit le fonctionnement général du SAE </w:t>
      </w:r>
      <w:r>
        <w:rPr>
          <w:i/>
          <w:iCs/>
        </w:rPr>
        <w:t>[nom du SAE]</w:t>
      </w:r>
      <w:r>
        <w:rPr/>
        <w:t xml:space="preserve"> fourni par </w:t>
      </w:r>
      <w:r>
        <w:rPr>
          <w:i/>
          <w:iCs/>
        </w:rPr>
        <w:t>[nom de la structure]</w:t>
      </w:r>
      <w:r>
        <w:rPr/>
        <w:t xml:space="preserve">. </w:t>
      </w:r>
    </w:p>
    <w:p>
      <w:pPr>
        <w:pStyle w:val="Style31"/>
        <w:rPr/>
      </w:pPr>
      <w:r>
        <w:rPr/>
        <w:t>A ce titre, i</w:t>
      </w:r>
      <w:r>
        <w:rPr/>
        <w:t>l</w:t>
      </w:r>
      <w:r>
        <w:rPr/>
        <w:t xml:space="preserve"> décrit :</w:t>
      </w:r>
    </w:p>
    <w:p>
      <w:pPr>
        <w:pStyle w:val="Style31"/>
        <w:numPr>
          <w:ilvl w:val="0"/>
          <w:numId w:val="2"/>
        </w:numPr>
        <w:rPr/>
      </w:pPr>
      <w:r>
        <w:rPr/>
        <w:t xml:space="preserve">le cadre réglementaire et normatif sur lequel s’appuie </w:t>
      </w:r>
      <w:r>
        <w:rPr/>
        <w:t>le SAE</w:t>
      </w:r>
      <w:r>
        <w:rPr/>
        <w:t> ;</w:t>
      </w:r>
    </w:p>
    <w:p>
      <w:pPr>
        <w:pStyle w:val="Style31"/>
        <w:numPr>
          <w:ilvl w:val="0"/>
          <w:numId w:val="2"/>
        </w:numPr>
        <w:rPr/>
      </w:pPr>
      <w:r>
        <w:rPr/>
        <w:t>les</w:t>
      </w:r>
      <w:r>
        <w:rPr/>
        <w:t xml:space="preserve"> rôles et responsabilités des acteurs </w:t>
      </w:r>
      <w:r>
        <w:rPr/>
        <w:t>du</w:t>
      </w:r>
      <w:r>
        <w:rPr/>
        <w:t xml:space="preserve"> processus d’archivage ;</w:t>
      </w:r>
    </w:p>
    <w:p>
      <w:pPr>
        <w:pStyle w:val="Style31"/>
        <w:numPr>
          <w:ilvl w:val="0"/>
          <w:numId w:val="2"/>
        </w:numPr>
        <w:rPr/>
      </w:pPr>
      <w:r>
        <w:rPr/>
        <w:t xml:space="preserve">les </w:t>
      </w:r>
      <w:r>
        <w:rPr/>
        <w:t xml:space="preserve">engagements de services et de sécurité sur lesquels est fondé le </w:t>
      </w:r>
      <w:r>
        <w:rPr/>
        <w:t>SAE</w:t>
      </w:r>
      <w:r>
        <w:rPr/>
        <w:t>.</w:t>
      </w:r>
    </w:p>
    <w:p>
      <w:pPr>
        <w:pStyle w:val="Style31"/>
        <w:rPr/>
      </w:pPr>
      <w:r>
        <w:rPr/>
        <w:t>Il</w:t>
      </w:r>
      <w:r>
        <w:rPr/>
        <w:t xml:space="preserve"> permet de garantir des conditions de gestion et de conservation des archives publiques respectueuses de la réglementation.</w:t>
      </w:r>
    </w:p>
    <w:p>
      <w:pPr>
        <w:pStyle w:val="Style31"/>
        <w:rPr/>
      </w:pPr>
      <w:r>
        <w:rPr/>
        <w:t>Il</w:t>
      </w:r>
      <w:r>
        <w:rPr/>
        <w:t xml:space="preserve"> s’inscrit dans l’environnement documentaire :</w:t>
      </w:r>
    </w:p>
    <w:p>
      <w:pPr>
        <w:pStyle w:val="Style31"/>
        <w:numPr>
          <w:ilvl w:val="0"/>
          <w:numId w:val="3"/>
        </w:numPr>
        <w:tabs>
          <w:tab w:val="left" w:pos="53" w:leader="none"/>
        </w:tabs>
        <w:suppressAutoHyphens w:val="true"/>
        <w:bidi w:val="0"/>
        <w:ind w:start="680" w:end="0" w:hanging="397"/>
        <w:jc w:val="both"/>
        <w:rPr>
          <w:rFonts w:ascii="Trebuchet MS" w:hAnsi="Trebuchet MS" w:eastAsia="Garamond" w:cs="Garamond"/>
          <w:sz w:val="24"/>
          <w:szCs w:val="24"/>
        </w:rPr>
      </w:pPr>
      <w:r>
        <w:rPr>
          <w:rFonts w:eastAsia="Garamond" w:cs="Garamond"/>
          <w:sz w:val="24"/>
          <w:szCs w:val="24"/>
        </w:rPr>
        <w:t>du système d’information comprenant [</w:t>
      </w:r>
      <w:r>
        <w:rPr>
          <w:rFonts w:eastAsia="Garamond" w:cs="Garamond"/>
          <w:i/>
          <w:iCs/>
          <w:sz w:val="24"/>
          <w:szCs w:val="24"/>
        </w:rPr>
        <w:t>préciser les documents encadrant le SI de la structure et leur référence, par exemple : politique de sécurité, charte, etc.</w:t>
      </w:r>
      <w:r>
        <w:rPr>
          <w:rFonts w:eastAsia="Garamond" w:cs="Garamond"/>
          <w:sz w:val="24"/>
          <w:szCs w:val="24"/>
        </w:rPr>
        <w:t>] ;</w:t>
      </w:r>
    </w:p>
    <w:p>
      <w:pPr>
        <w:pStyle w:val="Style31"/>
        <w:numPr>
          <w:ilvl w:val="0"/>
          <w:numId w:val="3"/>
        </w:numPr>
        <w:tabs>
          <w:tab w:val="left" w:pos="53" w:leader="none"/>
        </w:tabs>
        <w:suppressAutoHyphens w:val="true"/>
        <w:bidi w:val="0"/>
        <w:ind w:start="680" w:end="0" w:hanging="397"/>
        <w:jc w:val="both"/>
        <w:rPr/>
      </w:pPr>
      <w:r>
        <w:rPr/>
        <w:t>du SAE comprenant [</w:t>
      </w:r>
      <w:r>
        <w:rPr>
          <w:i/>
          <w:iCs/>
        </w:rPr>
        <w:t>préciser les documents décrivant le SAE, par exemple : déclaration des pratiques d’archivage (DPA), contrat de service, contrat de versement</w:t>
      </w:r>
      <w:r>
        <w:rPr/>
        <w:t>].</w:t>
      </w:r>
    </w:p>
    <w:p>
      <w:pPr>
        <w:pStyle w:val="Titre2"/>
        <w:numPr>
          <w:ilvl w:val="1"/>
          <w:numId w:val="1"/>
        </w:numPr>
        <w:tabs>
          <w:tab w:val="left" w:pos="0" w:leader="none"/>
        </w:tabs>
        <w:ind w:start="709" w:end="0" w:hanging="0"/>
        <w:rPr/>
      </w:pPr>
      <w:bookmarkStart w:id="11" w:name="__RefHeading___Toc10703_1000569294"/>
      <w:bookmarkEnd w:id="11"/>
      <w:r>
        <w:rPr>
          <w:rStyle w:val="Titredulivre"/>
          <w:color w:val="000099"/>
          <w:spacing w:val="0"/>
        </w:rPr>
        <w:t xml:space="preserve">Article </w:t>
      </w:r>
      <w:r>
        <w:rPr>
          <w:rStyle w:val="Titredulivre"/>
          <w:color w:val="000099"/>
          <w:spacing w:val="0"/>
        </w:rPr>
        <w:t xml:space="preserve">3 </w:t>
      </w:r>
      <w:r>
        <w:rPr>
          <w:rStyle w:val="Titredulivre"/>
          <w:color w:val="000099"/>
          <w:spacing w:val="0"/>
        </w:rPr>
        <w:t>-</w:t>
      </w:r>
      <w:r>
        <w:rPr>
          <w:rStyle w:val="Titredulivre"/>
          <w:color w:val="000099"/>
          <w:spacing w:val="0"/>
        </w:rPr>
        <w:t xml:space="preserve"> </w:t>
      </w:r>
      <w:bookmarkStart w:id="12" w:name="_Toc478062636"/>
      <w:bookmarkStart w:id="13" w:name="_Toc479583885"/>
      <w:bookmarkStart w:id="14" w:name="_Toc479592124"/>
      <w:r>
        <w:rPr>
          <w:rStyle w:val="Titredulivre"/>
          <w:color w:val="000099"/>
          <w:spacing w:val="0"/>
        </w:rPr>
        <w:t>C</w:t>
      </w:r>
      <w:bookmarkEnd w:id="12"/>
      <w:bookmarkEnd w:id="13"/>
      <w:bookmarkEnd w:id="14"/>
      <w:r>
        <w:rPr>
          <w:rStyle w:val="Titredulivre"/>
          <w:color w:val="000099"/>
          <w:spacing w:val="0"/>
        </w:rPr>
        <w:t>adre réglementaire et normatif</w:t>
      </w:r>
    </w:p>
    <w:p>
      <w:pPr>
        <w:pStyle w:val="Titre3"/>
        <w:numPr>
          <w:ilvl w:val="2"/>
          <w:numId w:val="1"/>
        </w:numPr>
        <w:tabs>
          <w:tab w:val="left" w:pos="0" w:leader="none"/>
        </w:tabs>
        <w:ind w:start="709" w:end="0" w:hanging="0"/>
        <w:rPr/>
      </w:pPr>
      <w:bookmarkStart w:id="15" w:name="__RefHeading___Toc10705_1000569294"/>
      <w:bookmarkEnd w:id="15"/>
      <w:r>
        <w:rPr>
          <w:rStyle w:val="Rfrenceple"/>
          <w:color w:val="000099"/>
        </w:rPr>
        <w:t>3</w:t>
      </w:r>
      <w:bookmarkStart w:id="16" w:name="_Toc478062637"/>
      <w:bookmarkStart w:id="17" w:name="_Toc478639111"/>
      <w:bookmarkStart w:id="18" w:name="_Toc479583886"/>
      <w:bookmarkStart w:id="19" w:name="_Toc479592125"/>
      <w:r>
        <w:rPr>
          <w:rStyle w:val="Rfrenceple"/>
          <w:color w:val="000099"/>
        </w:rPr>
        <w:t>.1 Cadre réglementaire relatif aux archives publiques</w:t>
      </w:r>
      <w:bookmarkEnd w:id="16"/>
      <w:bookmarkEnd w:id="17"/>
      <w:bookmarkEnd w:id="18"/>
      <w:bookmarkEnd w:id="19"/>
    </w:p>
    <w:p>
      <w:pPr>
        <w:pStyle w:val="Style31"/>
        <w:rPr/>
      </w:pPr>
      <w:hyperlink r:id="rId4" w:tgtFrame="_top">
        <w:r>
          <w:rPr>
            <w:rStyle w:val="Lienhypertexte"/>
          </w:rPr>
          <w:t>Code du patrimoine</w:t>
        </w:r>
      </w:hyperlink>
      <w:r>
        <w:rPr/>
        <w:t>, Livre II</w:t>
      </w:r>
    </w:p>
    <w:p>
      <w:pPr>
        <w:pStyle w:val="Titre3"/>
        <w:numPr>
          <w:ilvl w:val="2"/>
          <w:numId w:val="1"/>
        </w:numPr>
        <w:tabs>
          <w:tab w:val="left" w:pos="0" w:leader="none"/>
        </w:tabs>
        <w:ind w:start="709" w:end="0" w:hanging="0"/>
        <w:rPr/>
      </w:pPr>
      <w:bookmarkStart w:id="20" w:name="__RefHeading___Toc10707_1000569294"/>
      <w:bookmarkEnd w:id="20"/>
      <w:r>
        <w:rPr>
          <w:rStyle w:val="Rfrenceple"/>
          <w:color w:val="000099"/>
        </w:rPr>
        <w:t>3</w:t>
      </w:r>
      <w:bookmarkStart w:id="21" w:name="_Toc478062638"/>
      <w:bookmarkStart w:id="22" w:name="_Toc479583887"/>
      <w:bookmarkStart w:id="23" w:name="_Toc479592126"/>
      <w:r>
        <w:rPr>
          <w:rStyle w:val="Rfrenceple"/>
          <w:color w:val="000099"/>
        </w:rPr>
        <w:t>.2 Cadre de confiance de l’administration électronique</w:t>
      </w:r>
      <w:bookmarkEnd w:id="21"/>
      <w:bookmarkEnd w:id="22"/>
      <w:bookmarkEnd w:id="23"/>
    </w:p>
    <w:p>
      <w:pPr>
        <w:pStyle w:val="Style31"/>
        <w:spacing w:before="0" w:after="120"/>
        <w:rPr/>
      </w:pPr>
      <w:hyperlink r:id="rId5" w:tgtFrame="_top">
        <w:r>
          <w:rPr>
            <w:rStyle w:val="Lienhypertexte"/>
          </w:rPr>
          <w:t>Règlement n°910/2014/UE du 23 juillet 2014</w:t>
        </w:r>
      </w:hyperlink>
      <w:r>
        <w:rPr>
          <w:rStyle w:val="LienInternet"/>
          <w:u w:val="none"/>
        </w:rPr>
        <w:t xml:space="preserve"> </w:t>
      </w:r>
      <w:r>
        <w:rPr>
          <w:rStyle w:val="LienInternet"/>
          <w:color w:val="000000"/>
          <w:u w:val="none"/>
        </w:rPr>
        <w:t>sur l’identification électronique et les services de confiance pour les transactions électroniques au sein du marché intérieur, dit règlement « eIDAS »</w:t>
      </w:r>
    </w:p>
    <w:p>
      <w:pPr>
        <w:pStyle w:val="Style31"/>
        <w:spacing w:before="0" w:after="120"/>
        <w:rPr/>
      </w:pPr>
      <w:hyperlink r:id="rId6">
        <w:r>
          <w:rPr>
            <w:rStyle w:val="LienInternet"/>
          </w:rPr>
          <w:t>Code civil, art. 1316-1</w:t>
        </w:r>
      </w:hyperlink>
    </w:p>
    <w:p>
      <w:pPr>
        <w:pStyle w:val="Style31"/>
        <w:spacing w:before="0" w:after="120"/>
        <w:rPr/>
      </w:pPr>
      <w:r>
        <w:rPr>
          <w:rStyle w:val="LienInternet"/>
        </w:rPr>
        <w:t>Loi n°2004-575 du 21 juin 2004</w:t>
      </w:r>
      <w:r>
        <w:rPr>
          <w:rStyle w:val="LienInternet"/>
          <w:color w:val="000000"/>
          <w:u w:val="none"/>
        </w:rPr>
        <w:t xml:space="preserve"> pour la confiance dans l’économie numérique</w:t>
      </w:r>
    </w:p>
    <w:p>
      <w:pPr>
        <w:pStyle w:val="Style31"/>
        <w:spacing w:before="0" w:after="120"/>
        <w:rPr/>
      </w:pPr>
      <w:hyperlink r:id="rId7" w:tgtFrame="_top">
        <w:r>
          <w:rPr>
            <w:rStyle w:val="LienInternet"/>
          </w:rPr>
          <w:t>Ordonnance n°2005-1516</w:t>
        </w:r>
      </w:hyperlink>
      <w:r>
        <w:rPr>
          <w:rStyle w:val="LienInternet"/>
        </w:rPr>
        <w:t xml:space="preserve"> du 8 décembre 2005</w:t>
      </w:r>
      <w:r>
        <w:rPr>
          <w:rStyle w:val="LienInternet"/>
          <w:u w:val="none"/>
        </w:rPr>
        <w:t xml:space="preserve"> </w:t>
      </w:r>
      <w:r>
        <w:rPr>
          <w:rStyle w:val="LienInternet"/>
          <w:color w:val="000000"/>
          <w:u w:val="none"/>
        </w:rPr>
        <w:t>relative aux échanges électroniques entre les usagers et les autorités administratives et entre les autorités administratives</w:t>
      </w:r>
    </w:p>
    <w:p>
      <w:pPr>
        <w:pStyle w:val="Style31"/>
        <w:spacing w:before="0" w:after="120"/>
        <w:rPr/>
      </w:pPr>
      <w:hyperlink r:id="rId8" w:tgtFrame="_top">
        <w:r>
          <w:rPr>
            <w:rStyle w:val="LienInternet"/>
          </w:rPr>
          <w:t>Décret n°2001-272</w:t>
        </w:r>
      </w:hyperlink>
      <w:r>
        <w:rPr/>
        <w:t xml:space="preserve"> du 30 mars 2001, pris pour l’application de la loi du 13 mars 2000</w:t>
      </w:r>
    </w:p>
    <w:p>
      <w:pPr>
        <w:pStyle w:val="Style31"/>
        <w:spacing w:before="0" w:after="120"/>
        <w:rPr/>
      </w:pPr>
      <w:hyperlink r:id="rId9" w:tgtFrame="_top">
        <w:r>
          <w:rPr>
            <w:rStyle w:val="LienInternet"/>
          </w:rPr>
          <w:t>Décret n°2010-112</w:t>
        </w:r>
      </w:hyperlink>
      <w:r>
        <w:rPr/>
        <w:t xml:space="preserve"> du 2 février 2010 pris pour l'application des articles 9, 10 et 12 de l'ordonnance n° 2005-1516 du 8 décembre 2005 relative aux échanges électroniques entre les usagers et les autorités administratives et entre les autorités administratives</w:t>
      </w:r>
    </w:p>
    <w:p>
      <w:pPr>
        <w:pStyle w:val="Style31"/>
        <w:spacing w:before="0" w:after="120"/>
        <w:rPr/>
      </w:pPr>
      <w:hyperlink r:id="rId10" w:tgtFrame="_top">
        <w:r>
          <w:rPr>
            <w:rStyle w:val="Lienhypertexte"/>
          </w:rPr>
          <w:t>Décret n°2016-1673 du 5 décembre 2016</w:t>
        </w:r>
      </w:hyperlink>
      <w:r>
        <w:rPr>
          <w:rStyle w:val="Lev"/>
          <w:b w:val="false"/>
          <w:bCs w:val="false"/>
        </w:rPr>
        <w:t xml:space="preserve"> relatif à la fiabilité des copies et pris pour l'application de l'article 1379 du code civil</w:t>
      </w:r>
    </w:p>
    <w:p>
      <w:pPr>
        <w:pStyle w:val="Style31"/>
        <w:spacing w:before="0" w:after="120"/>
        <w:rPr/>
      </w:pPr>
      <w:hyperlink r:id="rId11">
        <w:r>
          <w:rPr>
            <w:rStyle w:val="Lev"/>
            <w:b w:val="false"/>
            <w:bCs w:val="false"/>
            <w:u w:val="single" w:color="000000"/>
          </w:rPr>
          <w:t>Arrêté du 20 avril 2016</w:t>
        </w:r>
      </w:hyperlink>
      <w:r>
        <w:rPr>
          <w:rStyle w:val="Lev"/>
          <w:b w:val="false"/>
          <w:bCs w:val="false"/>
        </w:rPr>
        <w:t xml:space="preserve"> portant approbation du référentiel général d’interopérabilité</w:t>
      </w:r>
    </w:p>
    <w:p>
      <w:pPr>
        <w:pStyle w:val="Style31"/>
        <w:spacing w:before="0" w:after="120"/>
        <w:rPr/>
      </w:pPr>
      <w:hyperlink r:id="rId12">
        <w:r>
          <w:rPr>
            <w:rStyle w:val="Lev"/>
            <w:b w:val="false"/>
            <w:bCs w:val="false"/>
          </w:rPr>
          <w:t>Arrêté du 13 juin 2014</w:t>
        </w:r>
      </w:hyperlink>
      <w:r>
        <w:rPr>
          <w:rStyle w:val="Lev"/>
          <w:b w:val="false"/>
          <w:bCs w:val="false"/>
        </w:rPr>
        <w:t xml:space="preserve"> portant approbation du référentiel général de sécurité et précisant les modalités de mise en œuvre de la procédure de validation des certificats électronique</w:t>
      </w:r>
    </w:p>
    <w:p>
      <w:pPr>
        <w:pStyle w:val="Titre3"/>
        <w:numPr>
          <w:ilvl w:val="2"/>
          <w:numId w:val="1"/>
        </w:numPr>
        <w:tabs>
          <w:tab w:val="left" w:pos="0" w:leader="none"/>
        </w:tabs>
        <w:ind w:start="709" w:end="0" w:hanging="0"/>
        <w:rPr/>
      </w:pPr>
      <w:bookmarkStart w:id="24" w:name="__RefHeading___Toc10709_1000569294"/>
      <w:bookmarkEnd w:id="24"/>
      <w:r>
        <w:rPr>
          <w:rStyle w:val="Rfrenceple"/>
          <w:color w:val="000099"/>
        </w:rPr>
        <w:t>3</w:t>
      </w:r>
      <w:bookmarkStart w:id="25" w:name="_Toc478062639"/>
      <w:bookmarkStart w:id="26" w:name="_Toc479583888"/>
      <w:bookmarkStart w:id="27" w:name="_Toc479592127"/>
      <w:r>
        <w:rPr>
          <w:rStyle w:val="Rfrenceple"/>
          <w:color w:val="000099"/>
        </w:rPr>
        <w:t>.3 Protection des données à caractère personnel et archivage</w:t>
      </w:r>
      <w:bookmarkEnd w:id="25"/>
      <w:bookmarkEnd w:id="26"/>
      <w:bookmarkEnd w:id="27"/>
    </w:p>
    <w:p>
      <w:pPr>
        <w:pStyle w:val="Style31"/>
        <w:spacing w:before="0" w:after="120"/>
        <w:rPr/>
      </w:pPr>
      <w:hyperlink r:id="rId13" w:tgtFrame="_top">
        <w:r>
          <w:rPr>
            <w:rStyle w:val="LienInternet"/>
          </w:rPr>
          <w:t>Loi n° 78-17</w:t>
        </w:r>
      </w:hyperlink>
      <w:r>
        <w:rPr/>
        <w:t xml:space="preserve"> du 6 janvier 1978 relative à l'informatique, aux fichiers et aux libertés</w:t>
      </w:r>
    </w:p>
    <w:p>
      <w:pPr>
        <w:pStyle w:val="Style31"/>
        <w:spacing w:before="0" w:after="120"/>
        <w:rPr/>
      </w:pPr>
      <w:hyperlink r:id="rId14" w:tgtFrame="_top">
        <w:r>
          <w:rPr>
            <w:rStyle w:val="LienInternet"/>
          </w:rPr>
          <w:t>Règlement (UE) 2016/679 du Parlement européen et du Conseil du 27 avril 2016</w:t>
        </w:r>
      </w:hyperlink>
      <w:r>
        <w:rPr/>
        <w:t xml:space="preserve"> relatif à la protection des personnes physiques à l’égard du traitement des données à caractère personnel et à la libre circulation de ces données </w:t>
      </w:r>
      <w:r>
        <w:rPr/>
        <w:t>[entrée en vigueur le 25 mai 2018]</w:t>
      </w:r>
    </w:p>
    <w:p>
      <w:pPr>
        <w:pStyle w:val="Style31"/>
        <w:spacing w:before="0" w:after="120"/>
        <w:rPr/>
      </w:pPr>
      <w:hyperlink r:id="rId15">
        <w:r>
          <w:rPr>
            <w:rStyle w:val="LienInternet"/>
          </w:rPr>
          <w:t>Code pénal, articles 323-1 à 323-7</w:t>
        </w:r>
      </w:hyperlink>
      <w:r>
        <w:br w:type="page"/>
      </w:r>
    </w:p>
    <w:p>
      <w:pPr>
        <w:pStyle w:val="Titre3"/>
        <w:numPr>
          <w:ilvl w:val="2"/>
          <w:numId w:val="1"/>
        </w:numPr>
        <w:tabs>
          <w:tab w:val="left" w:pos="0" w:leader="none"/>
        </w:tabs>
        <w:ind w:start="709" w:end="0" w:hanging="0"/>
        <w:rPr/>
      </w:pPr>
      <w:bookmarkStart w:id="28" w:name="__RefHeading___Toc10711_1000569294"/>
      <w:bookmarkEnd w:id="28"/>
      <w:r>
        <w:rPr>
          <w:rStyle w:val="Rfrenceple"/>
          <w:color w:val="000099"/>
        </w:rPr>
        <w:t>3</w:t>
      </w:r>
      <w:bookmarkStart w:id="29" w:name="_Toc478062640"/>
      <w:bookmarkStart w:id="30" w:name="_Toc479583889"/>
      <w:bookmarkStart w:id="31" w:name="_Toc479592128"/>
      <w:r>
        <w:rPr>
          <w:rStyle w:val="Rfrenceple"/>
          <w:color w:val="000099"/>
        </w:rPr>
        <w:t>.4 Cadre normatif</w:t>
      </w:r>
      <w:bookmarkEnd w:id="29"/>
      <w:bookmarkEnd w:id="30"/>
      <w:bookmarkEnd w:id="31"/>
    </w:p>
    <w:p>
      <w:pPr>
        <w:pStyle w:val="Style31"/>
        <w:spacing w:before="0" w:after="120"/>
        <w:rPr/>
      </w:pPr>
      <w:r>
        <w:rPr/>
        <w:t>ISO 14721:2012 - Space data and information transfer systems -- Open archival information system (OAIS) -- Reference model</w:t>
      </w:r>
    </w:p>
    <w:p>
      <w:pPr>
        <w:pStyle w:val="Style31"/>
        <w:spacing w:before="0" w:after="120"/>
        <w:rPr/>
      </w:pPr>
      <w:r>
        <w:rPr/>
        <w:t>Norme NF Z42-013, révisée en 2009, Spécifications relatives à la conception et à l'exploitation de systèmes informatiques en vue d'assurer la conservation et l'intégrité des documents stockés dans ces systèmes</w:t>
      </w:r>
    </w:p>
    <w:p>
      <w:pPr>
        <w:pStyle w:val="Style31"/>
        <w:spacing w:before="0" w:after="120"/>
        <w:rPr/>
      </w:pPr>
      <w:hyperlink r:id="rId16" w:tgtFrame="_top">
        <w:r>
          <w:rPr>
            <w:rStyle w:val="Lienhypertexte"/>
          </w:rPr>
          <w:t>Standard d’échange</w:t>
        </w:r>
      </w:hyperlink>
      <w:hyperlink r:id="rId17" w:tgtFrame="_top">
        <w:r>
          <w:rPr>
            <w:rStyle w:val="Lienhypertexte"/>
          </w:rPr>
          <w:t xml:space="preserve"> de données pour l’archivage</w:t>
        </w:r>
      </w:hyperlink>
      <w:r>
        <w:rPr/>
        <w:t xml:space="preserve"> (SEDA), </w:t>
      </w:r>
      <w:r>
        <w:rPr/>
        <w:t>version 2.0 (décembre 2015)</w:t>
      </w:r>
    </w:p>
    <w:p>
      <w:pPr>
        <w:pStyle w:val="Style31"/>
        <w:spacing w:before="0" w:after="120"/>
        <w:rPr/>
      </w:pPr>
      <w:r>
        <w:rPr/>
      </w:r>
    </w:p>
    <w:p>
      <w:pPr>
        <w:pStyle w:val="Titre2"/>
        <w:numPr>
          <w:ilvl w:val="1"/>
          <w:numId w:val="1"/>
        </w:numPr>
        <w:tabs>
          <w:tab w:val="left" w:pos="0" w:leader="none"/>
        </w:tabs>
        <w:spacing w:before="0" w:after="240"/>
        <w:ind w:start="709" w:end="0" w:hanging="0"/>
        <w:rPr/>
      </w:pPr>
      <w:bookmarkStart w:id="32" w:name="__RefHeading___Toc10713_1000569294"/>
      <w:bookmarkStart w:id="33" w:name="_Toc479592129"/>
      <w:bookmarkStart w:id="34" w:name="_Toc479583890"/>
      <w:bookmarkStart w:id="35" w:name="_Toc478062641"/>
      <w:bookmarkEnd w:id="32"/>
      <w:r>
        <w:rPr>
          <w:rStyle w:val="Titredulivre"/>
          <w:color w:val="000099"/>
        </w:rPr>
        <w:t xml:space="preserve">Article </w:t>
      </w:r>
      <w:r>
        <w:rPr>
          <w:rStyle w:val="Titredulivre"/>
          <w:color w:val="000099"/>
        </w:rPr>
        <w:t>4</w:t>
      </w:r>
      <w:r>
        <w:rPr>
          <w:rStyle w:val="Titredulivre"/>
          <w:color w:val="000099"/>
        </w:rPr>
        <w:t xml:space="preserve"> -</w:t>
      </w:r>
      <w:r>
        <w:rPr>
          <w:rStyle w:val="Titredulivre"/>
          <w:color w:val="000099"/>
        </w:rPr>
        <w:t xml:space="preserve"> </w:t>
      </w:r>
      <w:r>
        <w:rPr>
          <w:rStyle w:val="Titredulivre"/>
          <w:color w:val="000099"/>
        </w:rPr>
        <w:t>Rôles, acteurs</w:t>
      </w:r>
      <w:r>
        <w:rPr>
          <w:rStyle w:val="Titredulivre"/>
          <w:color w:val="000099"/>
        </w:rPr>
        <w:t xml:space="preserve"> et</w:t>
      </w:r>
      <w:bookmarkEnd w:id="33"/>
      <w:bookmarkEnd w:id="34"/>
      <w:bookmarkEnd w:id="35"/>
      <w:r>
        <w:rPr>
          <w:rStyle w:val="Titredulivre"/>
          <w:color w:val="000099"/>
        </w:rPr>
        <w:t xml:space="preserve"> </w:t>
      </w:r>
      <w:r>
        <w:rPr>
          <w:rStyle w:val="Titredulivre"/>
          <w:color w:val="000099"/>
        </w:rPr>
        <w:t>intervenants</w:t>
      </w:r>
    </w:p>
    <w:p>
      <w:pPr>
        <w:pStyle w:val="Style31"/>
        <w:rPr/>
      </w:pPr>
      <w:r>
        <w:rPr>
          <w:rStyle w:val="Rfrenceple"/>
          <w:rFonts w:eastAsia="Garamond" w:cs="Garamond"/>
          <w:b w:val="false"/>
          <w:bCs/>
          <w:iCs/>
          <w:caps w:val="false"/>
          <w:smallCaps w:val="false"/>
          <w:color w:val="000000"/>
          <w:kern w:val="2"/>
          <w:u w:val="none"/>
          <w:lang w:eastAsia="zh-CN" w:bidi="hi-IN"/>
        </w:rPr>
        <w:t>L</w:t>
      </w:r>
      <w:r>
        <w:rPr>
          <w:rStyle w:val="Rfrenceple"/>
          <w:rFonts w:eastAsia="Garamond" w:cs="Garamond"/>
          <w:b w:val="false"/>
          <w:bCs/>
          <w:iCs/>
          <w:caps w:val="false"/>
          <w:smallCaps w:val="false"/>
          <w:color w:val="000000"/>
          <w:kern w:val="2"/>
          <w:u w:val="none"/>
          <w:lang w:eastAsia="zh-CN" w:bidi="hi-IN"/>
        </w:rPr>
        <w:t xml:space="preserve">a présente Politique d’archivage définit quatre rôles impliquant des responsabilités sur le </w:t>
      </w:r>
      <w:r>
        <w:rPr>
          <w:rStyle w:val="Rfrenceple"/>
          <w:rFonts w:eastAsia="Garamond" w:cs="Garamond"/>
          <w:b w:val="false"/>
          <w:bCs/>
          <w:iCs/>
          <w:caps w:val="false"/>
          <w:smallCaps w:val="false"/>
          <w:color w:val="000000"/>
          <w:kern w:val="2"/>
          <w:u w:val="none"/>
          <w:lang w:eastAsia="zh-CN" w:bidi="hi-IN"/>
        </w:rPr>
        <w:t>SAE</w:t>
      </w:r>
      <w:r>
        <w:rPr>
          <w:rStyle w:val="Rfrenceple"/>
          <w:rFonts w:eastAsia="Garamond" w:cs="Garamond"/>
          <w:b w:val="false"/>
          <w:bCs/>
          <w:iCs/>
          <w:caps w:val="false"/>
          <w:smallCaps w:val="false"/>
          <w:color w:val="000000"/>
          <w:kern w:val="2"/>
          <w:u w:val="none"/>
          <w:lang w:eastAsia="zh-CN" w:bidi="hi-IN"/>
        </w:rPr>
        <w:t xml:space="preserve">. Les six acteurs pouvant interagir avec le système et donc endosser </w:t>
      </w:r>
      <w:r>
        <w:rPr>
          <w:rStyle w:val="Rfrenceple"/>
          <w:rFonts w:eastAsia="Garamond" w:cs="Garamond"/>
          <w:b w:val="false"/>
          <w:bCs/>
          <w:iCs/>
          <w:caps w:val="false"/>
          <w:smallCaps w:val="false"/>
          <w:color w:val="000000"/>
          <w:kern w:val="2"/>
          <w:u w:val="none"/>
          <w:lang w:eastAsia="zh-CN" w:bidi="hi-IN"/>
        </w:rPr>
        <w:t>l’un ou l’autre de ces</w:t>
      </w:r>
      <w:r>
        <w:rPr>
          <w:rStyle w:val="Rfrenceple"/>
          <w:rFonts w:eastAsia="Garamond" w:cs="Garamond"/>
          <w:b w:val="false"/>
          <w:bCs/>
          <w:iCs/>
          <w:caps w:val="false"/>
          <w:smallCaps w:val="false"/>
          <w:color w:val="000000"/>
          <w:kern w:val="2"/>
          <w:u w:val="none"/>
          <w:lang w:eastAsia="zh-CN" w:bidi="hi-IN"/>
        </w:rPr>
        <w:t xml:space="preserve"> rôles sont quant à eux définis conformément au Standard d’échange de données pour l’archivage.</w:t>
      </w:r>
    </w:p>
    <w:p>
      <w:pPr>
        <w:pStyle w:val="Titre3"/>
        <w:numPr>
          <w:ilvl w:val="2"/>
          <w:numId w:val="1"/>
        </w:numPr>
        <w:tabs>
          <w:tab w:val="left" w:pos="0" w:leader="none"/>
        </w:tabs>
        <w:ind w:start="709" w:end="0" w:hanging="0"/>
        <w:rPr/>
      </w:pPr>
      <w:bookmarkStart w:id="36" w:name="__RefHeading___Toc10715_1000569294"/>
      <w:bookmarkEnd w:id="36"/>
      <w:r>
        <w:rPr>
          <w:rStyle w:val="Rfrenceple"/>
        </w:rPr>
        <w:t>4</w:t>
      </w:r>
      <w:r>
        <w:rPr>
          <w:rStyle w:val="Rfrenceple"/>
        </w:rPr>
        <w:t>.</w:t>
      </w:r>
      <w:r>
        <w:rPr>
          <w:rStyle w:val="Rfrenceple"/>
        </w:rPr>
        <w:t>1</w:t>
      </w:r>
      <w:r>
        <w:rPr>
          <w:rStyle w:val="Rfrenceple"/>
        </w:rPr>
        <w:t xml:space="preserve"> Rôles et responsabilités </w:t>
      </w:r>
      <w:r>
        <w:rPr>
          <w:rStyle w:val="Rfrenceple"/>
        </w:rPr>
        <w:t>associées</w:t>
      </w:r>
    </w:p>
    <w:p>
      <w:pPr>
        <w:pStyle w:val="Titre4"/>
        <w:numPr>
          <w:ilvl w:val="3"/>
          <w:numId w:val="1"/>
        </w:numPr>
        <w:tabs>
          <w:tab w:val="left" w:pos="0" w:leader="none"/>
        </w:tabs>
        <w:ind w:start="1701" w:end="0" w:hanging="0"/>
        <w:rPr/>
      </w:pPr>
      <w:bookmarkStart w:id="37" w:name="__RefHeading___Toc10717_1000569294"/>
      <w:bookmarkEnd w:id="37"/>
      <w:r>
        <w:rPr>
          <w:rStyle w:val="Rfrenceple"/>
          <w:b w:val="false"/>
          <w:bCs w:val="false"/>
        </w:rPr>
        <w:t>4</w:t>
      </w:r>
      <w:bookmarkStart w:id="38" w:name="_Toc479583891"/>
      <w:bookmarkStart w:id="39" w:name="_Toc478062642"/>
      <w:bookmarkStart w:id="40" w:name="_Toc479592130"/>
      <w:r>
        <w:rPr>
          <w:rStyle w:val="Rfrenceple"/>
          <w:b w:val="false"/>
          <w:bCs w:val="false"/>
        </w:rPr>
        <w:t>.1.1 L’Autorité juridique</w:t>
      </w:r>
      <w:bookmarkEnd w:id="38"/>
      <w:bookmarkEnd w:id="39"/>
      <w:bookmarkEnd w:id="40"/>
    </w:p>
    <w:p>
      <w:pPr>
        <w:pStyle w:val="Style31"/>
        <w:rPr/>
      </w:pPr>
      <w:r>
        <w:rPr>
          <w:rStyle w:val="Rfrenceintense"/>
          <w:b w:val="false"/>
          <w:bCs w:val="false"/>
          <w:caps w:val="false"/>
          <w:smallCaps w:val="false"/>
          <w:color w:val="000000"/>
          <w:u w:val="none"/>
        </w:rPr>
        <w:t>L’Autorité juridique est responsable de la conservation des archives.</w:t>
      </w:r>
    </w:p>
    <w:p>
      <w:pPr>
        <w:pStyle w:val="Style31"/>
        <w:rPr/>
      </w:pPr>
      <w:r>
        <w:rPr>
          <w:rStyle w:val="Rfrenceintense"/>
          <w:b w:val="false"/>
          <w:bCs w:val="false"/>
          <w:caps w:val="false"/>
          <w:smallCaps w:val="false"/>
          <w:color w:val="000000"/>
          <w:spacing w:val="0"/>
          <w:u w:val="none"/>
        </w:rPr>
        <w:t xml:space="preserve">Le rôle d’Autorité juridique est endossé par des acteurs différents au cours du cycle de vie des archives. Il est assuré, pendant tout le temps de la durée d’utilité administrative des archives, par le Service producteur </w:t>
      </w:r>
      <w:r>
        <w:rPr>
          <w:rStyle w:val="Rfrenceintense"/>
          <w:b w:val="false"/>
          <w:bCs w:val="false"/>
          <w:caps w:val="false"/>
          <w:smallCaps w:val="false"/>
          <w:color w:val="000000"/>
          <w:spacing w:val="0"/>
          <w:u w:val="none"/>
        </w:rPr>
        <w:t>puis, a</w:t>
      </w:r>
      <w:r>
        <w:rPr>
          <w:rStyle w:val="Rfrenceintense"/>
          <w:b w:val="false"/>
          <w:bCs w:val="false"/>
          <w:caps w:val="false"/>
          <w:smallCaps w:val="false"/>
          <w:color w:val="000000"/>
          <w:spacing w:val="0"/>
          <w:u w:val="none"/>
        </w:rPr>
        <w:t xml:space="preserve">près application du sort final, </w:t>
      </w:r>
      <w:r>
        <w:rPr>
          <w:rStyle w:val="Rfrenceintense"/>
          <w:b w:val="false"/>
          <w:bCs w:val="false"/>
          <w:caps w:val="false"/>
          <w:smallCaps w:val="false"/>
          <w:color w:val="000000"/>
          <w:spacing w:val="0"/>
          <w:u w:val="none"/>
        </w:rPr>
        <w:t>par</w:t>
      </w:r>
      <w:r>
        <w:rPr>
          <w:rStyle w:val="Rfrenceintense"/>
          <w:b w:val="false"/>
          <w:bCs w:val="false"/>
          <w:caps w:val="false"/>
          <w:smallCaps w:val="false"/>
          <w:color w:val="000000"/>
          <w:spacing w:val="0"/>
          <w:u w:val="none"/>
        </w:rPr>
        <w:t xml:space="preserve"> le </w:t>
      </w:r>
      <w:r>
        <w:rPr>
          <w:rStyle w:val="Rfrenceintense"/>
          <w:b w:val="false"/>
          <w:bCs w:val="false"/>
          <w:caps w:val="false"/>
          <w:smallCaps w:val="false"/>
          <w:color w:val="000000"/>
          <w:spacing w:val="0"/>
          <w:u w:val="none"/>
        </w:rPr>
        <w:t>S</w:t>
      </w:r>
      <w:r>
        <w:rPr>
          <w:rStyle w:val="Rfrenceintense"/>
          <w:b w:val="false"/>
          <w:bCs w:val="false"/>
          <w:caps w:val="false"/>
          <w:smallCaps w:val="false"/>
          <w:color w:val="000000"/>
          <w:spacing w:val="0"/>
          <w:u w:val="none"/>
        </w:rPr>
        <w:t xml:space="preserve">ervice d’archives. </w:t>
      </w:r>
      <w:r>
        <w:rPr>
          <w:rStyle w:val="Rfrenceple"/>
          <w:b w:val="false"/>
          <w:bCs w:val="false"/>
          <w:caps w:val="false"/>
          <w:smallCaps w:val="false"/>
          <w:color w:val="000000"/>
          <w:spacing w:val="0"/>
          <w:u w:val="none"/>
        </w:rPr>
        <w:t xml:space="preserve">Pour organiser et réaliser le versement, l’Autorité juridique peut s’appuyer sur un Opérateur </w:t>
      </w:r>
      <w:r>
        <w:rPr>
          <w:rStyle w:val="Rfrenceple"/>
          <w:b w:val="false"/>
          <w:bCs w:val="false"/>
          <w:caps w:val="false"/>
          <w:smallCaps w:val="false"/>
          <w:color w:val="000000"/>
          <w:spacing w:val="0"/>
          <w:u w:val="none"/>
        </w:rPr>
        <w:t>de versement</w:t>
      </w:r>
      <w:r>
        <w:rPr>
          <w:rStyle w:val="Rfrenceple"/>
          <w:b w:val="false"/>
          <w:bCs w:val="false"/>
          <w:caps w:val="false"/>
          <w:smallCaps w:val="false"/>
          <w:color w:val="000000"/>
          <w:spacing w:val="0"/>
          <w:u w:val="none"/>
        </w:rPr>
        <w:t xml:space="preserve">. </w:t>
      </w:r>
      <w:r>
        <w:rPr>
          <w:rStyle w:val="Rfrenceple"/>
          <w:b w:val="false"/>
          <w:bCs w:val="false"/>
          <w:caps w:val="false"/>
          <w:smallCaps w:val="false"/>
          <w:color w:val="000000"/>
          <w:spacing w:val="0"/>
          <w:u w:val="none"/>
        </w:rPr>
        <w:t xml:space="preserve">Dans ce cas, l’Opérateur </w:t>
      </w:r>
      <w:r>
        <w:rPr>
          <w:rStyle w:val="Rfrenceple"/>
          <w:b w:val="false"/>
          <w:bCs w:val="false"/>
          <w:caps w:val="false"/>
          <w:smallCaps w:val="false"/>
          <w:color w:val="000000"/>
          <w:spacing w:val="0"/>
          <w:u w:val="none"/>
        </w:rPr>
        <w:t>de versement</w:t>
      </w:r>
      <w:r>
        <w:rPr>
          <w:rStyle w:val="Rfrenceple"/>
          <w:b w:val="false"/>
          <w:bCs w:val="false"/>
          <w:caps w:val="false"/>
          <w:smallCaps w:val="false"/>
          <w:color w:val="000000"/>
          <w:spacing w:val="0"/>
          <w:u w:val="none"/>
        </w:rPr>
        <w:t xml:space="preserve"> est désigné </w:t>
      </w:r>
      <w:r>
        <w:rPr>
          <w:rStyle w:val="Rfrenceple"/>
          <w:b w:val="false"/>
          <w:bCs w:val="false"/>
          <w:caps w:val="false"/>
          <w:smallCaps w:val="false"/>
          <w:color w:val="000000"/>
          <w:spacing w:val="0"/>
          <w:u w:val="none"/>
        </w:rPr>
        <w:t>dans le</w:t>
      </w:r>
      <w:r>
        <w:rPr>
          <w:rStyle w:val="Rfrenceple"/>
          <w:b w:val="false"/>
          <w:bCs w:val="false"/>
          <w:caps w:val="false"/>
          <w:smallCaps w:val="false"/>
          <w:color w:val="000000"/>
          <w:spacing w:val="0"/>
          <w:u w:val="none"/>
        </w:rPr>
        <w:t xml:space="preserve"> Contrat de service</w:t>
      </w:r>
      <w:r>
        <w:rPr>
          <w:rStyle w:val="Rfrenceple"/>
          <w:b w:val="false"/>
          <w:bCs w:val="false"/>
          <w:caps w:val="false"/>
          <w:smallCaps w:val="false"/>
          <w:color w:val="000000"/>
          <w:spacing w:val="0"/>
          <w:u w:val="none"/>
        </w:rPr>
        <w:t>.</w:t>
      </w:r>
    </w:p>
    <w:p>
      <w:pPr>
        <w:pStyle w:val="Style31"/>
        <w:rPr/>
      </w:pPr>
      <w:r>
        <w:rPr>
          <w:rStyle w:val="Rfrenceple"/>
          <w:b w:val="false"/>
          <w:bCs w:val="false"/>
          <w:caps w:val="false"/>
          <w:smallCaps w:val="false"/>
          <w:color w:val="000000"/>
          <w:u w:val="none"/>
        </w:rPr>
        <w:t>L’Autorité juridique est garante de la fiabilité et de l’authenticité des documents dont elle confie la conservation à l’Autorité d’archivage.</w:t>
      </w:r>
    </w:p>
    <w:p>
      <w:pPr>
        <w:pStyle w:val="Titre4"/>
        <w:numPr>
          <w:ilvl w:val="3"/>
          <w:numId w:val="1"/>
        </w:numPr>
        <w:tabs>
          <w:tab w:val="left" w:pos="0" w:leader="none"/>
        </w:tabs>
        <w:ind w:start="1701" w:end="0" w:hanging="0"/>
        <w:rPr/>
      </w:pPr>
      <w:bookmarkStart w:id="41" w:name="__RefHeading___Toc10719_1000569294"/>
      <w:bookmarkEnd w:id="41"/>
      <w:r>
        <w:rPr>
          <w:rStyle w:val="Rfrenceple"/>
          <w:rFonts w:eastAsia="Times New Roman" w:cs="Garamond"/>
          <w:b w:val="false"/>
          <w:bCs w:val="false"/>
          <w:iCs/>
          <w:color w:val="000099"/>
          <w:u w:val="none"/>
        </w:rPr>
        <w:t>4</w:t>
      </w:r>
      <w:r>
        <w:rPr>
          <w:rStyle w:val="Rfrenceple"/>
          <w:rFonts w:eastAsia="Times New Roman" w:cs="Garamond"/>
          <w:b w:val="false"/>
          <w:bCs w:val="false"/>
          <w:iCs/>
          <w:color w:val="000099"/>
          <w:u w:val="none"/>
        </w:rPr>
        <w:t>.</w:t>
      </w:r>
      <w:r>
        <w:rPr>
          <w:rStyle w:val="Rfrenceple"/>
          <w:rFonts w:eastAsia="Times New Roman" w:cs="Garamond"/>
          <w:b w:val="false"/>
          <w:bCs w:val="false"/>
          <w:iCs/>
          <w:color w:val="000099"/>
          <w:u w:val="none"/>
        </w:rPr>
        <w:t>1</w:t>
      </w:r>
      <w:r>
        <w:rPr>
          <w:rStyle w:val="Rfrenceple"/>
          <w:rFonts w:eastAsia="Times New Roman" w:cs="Garamond"/>
          <w:b w:val="false"/>
          <w:bCs w:val="false"/>
          <w:iCs/>
          <w:color w:val="000099"/>
          <w:u w:val="none"/>
        </w:rPr>
        <w:t xml:space="preserve">.2 L’Autorité </w:t>
      </w:r>
      <w:bookmarkStart w:id="42" w:name="_Toc479592131"/>
      <w:bookmarkStart w:id="43" w:name="_Toc479583892"/>
      <w:bookmarkStart w:id="44" w:name="_Toc478062643"/>
      <w:r>
        <w:rPr>
          <w:rStyle w:val="Rfrenceple"/>
          <w:rFonts w:eastAsia="Times New Roman" w:cs="Garamond"/>
          <w:b w:val="false"/>
          <w:bCs w:val="false"/>
          <w:iCs/>
          <w:color w:val="000099"/>
          <w:u w:val="none"/>
        </w:rPr>
        <w:t>d</w:t>
      </w:r>
      <w:bookmarkEnd w:id="42"/>
      <w:bookmarkEnd w:id="43"/>
      <w:bookmarkEnd w:id="44"/>
      <w:r>
        <w:rPr>
          <w:rStyle w:val="Rfrenceple"/>
          <w:rFonts w:eastAsia="Times New Roman" w:cs="Garamond"/>
          <w:b w:val="false"/>
          <w:bCs w:val="false"/>
          <w:iCs/>
          <w:color w:val="000099"/>
          <w:u w:val="none"/>
        </w:rPr>
        <w:t>’archivage</w:t>
      </w:r>
    </w:p>
    <w:p>
      <w:pPr>
        <w:pStyle w:val="Style31"/>
        <w:rPr/>
      </w:pPr>
      <w:r>
        <w:rPr>
          <w:rStyle w:val="Rfrenceintense"/>
          <w:b w:val="false"/>
          <w:bCs w:val="false"/>
          <w:caps w:val="false"/>
          <w:smallCaps w:val="false"/>
          <w:color w:val="000000"/>
          <w:u w:val="none"/>
        </w:rPr>
        <w:t xml:space="preserve">L’Autorité d’archivage est responsable de l’ensemble des services fournis par le Système d’archivage électronique. </w:t>
      </w:r>
      <w:r>
        <w:rPr>
          <w:rStyle w:val="Rfrenceintense"/>
          <w:b w:val="false"/>
          <w:bCs w:val="false"/>
          <w:caps w:val="false"/>
          <w:smallCaps w:val="false"/>
          <w:color w:val="000000"/>
          <w:spacing w:val="0"/>
          <w:u w:val="none"/>
        </w:rPr>
        <w:t>L</w:t>
      </w:r>
      <w:r>
        <w:rPr>
          <w:rStyle w:val="Rfrenceintense"/>
          <w:b w:val="false"/>
          <w:bCs w:val="false"/>
          <w:caps w:val="false"/>
          <w:smallCaps w:val="false"/>
          <w:color w:val="000000"/>
          <w:spacing w:val="0"/>
          <w:u w:val="none"/>
        </w:rPr>
        <w:t>e rôle</w:t>
      </w:r>
      <w:r>
        <w:rPr>
          <w:rStyle w:val="Rfrenceintense"/>
          <w:b w:val="false"/>
          <w:bCs w:val="false"/>
          <w:caps w:val="false"/>
          <w:smallCaps w:val="false"/>
          <w:color w:val="000000"/>
          <w:spacing w:val="0"/>
          <w:u w:val="none"/>
        </w:rPr>
        <w:t xml:space="preserve"> d’Autorité d’archivage est assuré par </w:t>
      </w:r>
      <w:r>
        <w:rPr>
          <w:rStyle w:val="Rfrenceintense"/>
          <w:b w:val="false"/>
          <w:bCs w:val="false"/>
          <w:caps w:val="false"/>
          <w:smallCaps w:val="false"/>
          <w:color w:val="000000"/>
          <w:spacing w:val="0"/>
          <w:u w:val="none"/>
        </w:rPr>
        <w:t xml:space="preserve">le Service d’archives </w:t>
      </w:r>
      <w:r>
        <w:rPr>
          <w:rStyle w:val="Rfrenceintense"/>
          <w:b w:val="false"/>
          <w:bCs w:val="false"/>
          <w:caps w:val="false"/>
          <w:smallCaps w:val="false"/>
          <w:color w:val="000000"/>
          <w:spacing w:val="0"/>
          <w:u w:val="none"/>
        </w:rPr>
        <w:t>qui met en œuvre le SAE</w:t>
      </w:r>
      <w:r>
        <w:rPr>
          <w:rStyle w:val="Rfrenceintense"/>
          <w:b w:val="false"/>
          <w:bCs w:val="false"/>
          <w:caps w:val="false"/>
          <w:smallCaps w:val="false"/>
          <w:color w:val="000000"/>
          <w:spacing w:val="0"/>
          <w:u w:val="none"/>
        </w:rPr>
        <w:t>.</w:t>
      </w:r>
    </w:p>
    <w:p>
      <w:pPr>
        <w:pStyle w:val="Style31"/>
        <w:rPr/>
      </w:pPr>
      <w:r>
        <w:rPr>
          <w:rStyle w:val="Rfrenceintense"/>
          <w:b w:val="false"/>
          <w:bCs w:val="false"/>
          <w:caps w:val="false"/>
          <w:smallCaps w:val="false"/>
          <w:color w:val="000000"/>
          <w:spacing w:val="0"/>
          <w:u w:val="none"/>
        </w:rPr>
        <w:t xml:space="preserve">L’Autorité d’archivage garantit la pérennité et l’intégrité, dans le temps, des archives qui lui sont confiées et pour lesquelles elle a délivré une attestation de prise en charge. Elle est responsable de l’ensemble des engagements de services définis à l’article 5 de la présente Politique d’archivage </w:t>
      </w:r>
      <w:r>
        <w:rPr>
          <w:rStyle w:val="Rfrenceintense"/>
          <w:b w:val="false"/>
          <w:bCs w:val="false"/>
          <w:caps w:val="false"/>
          <w:smallCaps w:val="false"/>
          <w:color w:val="000000"/>
          <w:spacing w:val="0"/>
          <w:u w:val="none"/>
        </w:rPr>
        <w:t xml:space="preserve">et dans les </w:t>
      </w:r>
      <w:r>
        <w:rPr>
          <w:rStyle w:val="Rfrenceintense"/>
          <w:b w:val="false"/>
          <w:bCs w:val="false"/>
          <w:caps w:val="false"/>
          <w:smallCaps w:val="false"/>
          <w:color w:val="000000"/>
          <w:spacing w:val="0"/>
          <w:u w:val="none"/>
        </w:rPr>
        <w:t>C</w:t>
      </w:r>
      <w:r>
        <w:rPr>
          <w:rStyle w:val="Rfrenceintense"/>
          <w:b w:val="false"/>
          <w:bCs w:val="false"/>
          <w:caps w:val="false"/>
          <w:smallCaps w:val="false"/>
          <w:color w:val="000000"/>
          <w:spacing w:val="0"/>
          <w:u w:val="none"/>
        </w:rPr>
        <w:t xml:space="preserve">ontrats de services </w:t>
      </w:r>
      <w:r>
        <w:rPr>
          <w:rStyle w:val="Rfrenceintense"/>
          <w:b w:val="false"/>
          <w:bCs w:val="false"/>
          <w:caps w:val="false"/>
          <w:smallCaps w:val="false"/>
          <w:color w:val="000000"/>
          <w:spacing w:val="0"/>
          <w:u w:val="none"/>
        </w:rPr>
        <w:t>et de versement</w:t>
      </w:r>
      <w:r>
        <w:rPr>
          <w:rStyle w:val="Rfrenceintense"/>
          <w:b w:val="false"/>
          <w:bCs w:val="false"/>
          <w:caps w:val="false"/>
          <w:smallCaps w:val="false"/>
          <w:color w:val="000000"/>
          <w:spacing w:val="0"/>
          <w:u w:val="none"/>
        </w:rPr>
        <w:t>.</w:t>
      </w:r>
    </w:p>
    <w:p>
      <w:pPr>
        <w:pStyle w:val="Style31"/>
        <w:rPr/>
      </w:pPr>
      <w:r>
        <w:rPr>
          <w:rStyle w:val="Rfrenceintense"/>
          <w:b w:val="false"/>
          <w:bCs w:val="false"/>
          <w:caps w:val="false"/>
          <w:smallCaps w:val="false"/>
          <w:color w:val="000000"/>
          <w:u w:val="none"/>
        </w:rPr>
        <w:t xml:space="preserve">L'Autorité d’archivage veille à ce que tous les acteurs se conforment aux exigences de la Politique d’archivage ; elle doit prévoir et mettre en œuvre des procédures et moyens de contrôle interne du système et </w:t>
      </w:r>
      <w:r>
        <w:rPr>
          <w:rStyle w:val="Rfrenceintense"/>
          <w:b w:val="false"/>
          <w:bCs w:val="false"/>
          <w:caps w:val="false"/>
          <w:smallCaps w:val="false"/>
          <w:color w:val="000000"/>
          <w:u w:val="none"/>
        </w:rPr>
        <w:t>veiller au</w:t>
      </w:r>
      <w:r>
        <w:rPr>
          <w:rStyle w:val="Rfrenceintense"/>
          <w:b w:val="false"/>
          <w:bCs w:val="false"/>
          <w:caps w:val="false"/>
          <w:smallCaps w:val="false"/>
          <w:color w:val="000000"/>
          <w:u w:val="none"/>
        </w:rPr>
        <w:t xml:space="preserve"> respect, par les différents intervenants dans le processus d'archivage électronique, des principes définis dans la Politique d’archivage.</w:t>
      </w:r>
    </w:p>
    <w:p>
      <w:pPr>
        <w:pStyle w:val="Style31"/>
        <w:rPr/>
      </w:pPr>
      <w:r>
        <w:rPr>
          <w:rStyle w:val="Rfrenceintense"/>
          <w:rFonts w:eastAsia="Garamond" w:cs="Garamond"/>
          <w:b w:val="false"/>
          <w:bCs w:val="false"/>
          <w:caps w:val="false"/>
          <w:smallCaps w:val="false"/>
          <w:color w:val="000000"/>
          <w:spacing w:val="0"/>
          <w:szCs w:val="24"/>
          <w:u w:val="none"/>
        </w:rPr>
        <w:t>Enfin, l</w:t>
      </w:r>
      <w:r>
        <w:rPr>
          <w:rStyle w:val="Rfrenceintense"/>
          <w:rFonts w:eastAsia="Garamond" w:cs="Garamond"/>
          <w:b w:val="false"/>
          <w:bCs w:val="false"/>
          <w:caps w:val="false"/>
          <w:smallCaps w:val="false"/>
          <w:color w:val="000000"/>
          <w:spacing w:val="0"/>
          <w:szCs w:val="24"/>
          <w:u w:val="none"/>
        </w:rPr>
        <w:t xml:space="preserve">’Autorité d’archivage </w:t>
      </w:r>
      <w:r>
        <w:rPr>
          <w:rStyle w:val="Rfrenceintense"/>
          <w:rFonts w:eastAsia="Garamond" w:cs="Garamond"/>
          <w:b w:val="false"/>
          <w:bCs w:val="false"/>
          <w:caps w:val="false"/>
          <w:smallCaps w:val="false"/>
          <w:color w:val="000000"/>
          <w:spacing w:val="0"/>
          <w:szCs w:val="24"/>
          <w:u w:val="none"/>
        </w:rPr>
        <w:t>est</w:t>
      </w:r>
      <w:r>
        <w:rPr>
          <w:rStyle w:val="Rfrenceintense"/>
          <w:rFonts w:eastAsia="Garamond" w:cs="Garamond"/>
          <w:b w:val="false"/>
          <w:bCs w:val="false"/>
          <w:caps w:val="false"/>
          <w:smallCaps w:val="false"/>
          <w:color w:val="000000"/>
          <w:spacing w:val="0"/>
          <w:szCs w:val="24"/>
          <w:u w:val="none"/>
        </w:rPr>
        <w:t xml:space="preserve"> chargée de rédiger et de faire évoluer la Politique </w:t>
      </w:r>
      <w:r>
        <w:rPr>
          <w:rStyle w:val="Rfrenceintense"/>
          <w:rFonts w:eastAsia="Garamond" w:cs="Garamond"/>
          <w:b w:val="false"/>
          <w:bCs w:val="false"/>
          <w:caps w:val="false"/>
          <w:smallCaps w:val="false"/>
          <w:color w:val="000000"/>
          <w:spacing w:val="0"/>
          <w:sz w:val="24"/>
          <w:szCs w:val="24"/>
          <w:u w:val="none"/>
        </w:rPr>
        <w:t>d’archivage en fonction des évolutions législatives, réglementaires, technologiques ainsi que des besoins fonctionnels exprimés par les acteurs.</w:t>
      </w:r>
    </w:p>
    <w:p>
      <w:pPr>
        <w:pStyle w:val="Titre4"/>
        <w:numPr>
          <w:ilvl w:val="3"/>
          <w:numId w:val="1"/>
        </w:numPr>
        <w:tabs>
          <w:tab w:val="left" w:pos="0" w:leader="none"/>
        </w:tabs>
        <w:ind w:start="1701" w:end="0" w:hanging="0"/>
        <w:rPr/>
      </w:pPr>
      <w:bookmarkStart w:id="45" w:name="__RefHeading___Toc10721_1000569294"/>
      <w:bookmarkEnd w:id="45"/>
      <w:r>
        <w:rPr>
          <w:rStyle w:val="Rfrenceple"/>
          <w:rFonts w:eastAsia="Garamond" w:cs="Garamond" w:ascii="Trebuchet MS" w:hAnsi="Trebuchet MS"/>
          <w:b w:val="false"/>
          <w:bCs w:val="false"/>
          <w:iCs/>
          <w:color w:val="000099"/>
          <w:kern w:val="2"/>
          <w:sz w:val="24"/>
          <w:szCs w:val="24"/>
          <w:u w:val="none"/>
          <w:lang w:eastAsia="zh-CN" w:bidi="hi-IN"/>
        </w:rPr>
        <w:t>4.1.3 L’</w:t>
      </w:r>
      <w:bookmarkStart w:id="46" w:name="_Toc479592132"/>
      <w:bookmarkStart w:id="47" w:name="_Toc479583893"/>
      <w:bookmarkStart w:id="48" w:name="_Toc478062644"/>
      <w:r>
        <w:rPr>
          <w:rStyle w:val="Rfrenceple"/>
          <w:rFonts w:eastAsia="Garamond" w:cs="Garamond" w:ascii="Trebuchet MS" w:hAnsi="Trebuchet MS"/>
          <w:b w:val="false"/>
          <w:bCs w:val="false"/>
          <w:iCs/>
          <w:color w:val="000099"/>
          <w:kern w:val="2"/>
          <w:sz w:val="24"/>
          <w:szCs w:val="24"/>
          <w:u w:val="none"/>
          <w:lang w:eastAsia="zh-CN" w:bidi="hi-IN"/>
        </w:rPr>
        <w:t>O</w:t>
      </w:r>
      <w:bookmarkEnd w:id="46"/>
      <w:bookmarkEnd w:id="47"/>
      <w:bookmarkEnd w:id="48"/>
      <w:r>
        <w:rPr>
          <w:rStyle w:val="Rfrenceple"/>
          <w:rFonts w:eastAsia="Garamond" w:cs="Garamond" w:ascii="Trebuchet MS" w:hAnsi="Trebuchet MS"/>
          <w:b w:val="false"/>
          <w:bCs w:val="false"/>
          <w:iCs/>
          <w:color w:val="000099"/>
          <w:kern w:val="2"/>
          <w:sz w:val="24"/>
          <w:szCs w:val="24"/>
          <w:u w:val="none"/>
          <w:lang w:eastAsia="zh-CN" w:bidi="hi-IN"/>
        </w:rPr>
        <w:t>pérateur d’archivage</w:t>
      </w:r>
    </w:p>
    <w:p>
      <w:pPr>
        <w:pStyle w:val="Style31"/>
        <w:rPr/>
      </w:pPr>
      <w:r>
        <w:rPr>
          <w:rStyle w:val="Rfrenceintense"/>
          <w:b w:val="false"/>
          <w:bCs w:val="false"/>
          <w:caps w:val="false"/>
          <w:smallCaps w:val="false"/>
          <w:color w:val="000000"/>
          <w:spacing w:val="0"/>
          <w:u w:val="none"/>
        </w:rPr>
        <w:t xml:space="preserve">L’Opérateur d’archivage fournit de manière opérationnelle les services </w:t>
      </w:r>
      <w:r>
        <w:rPr>
          <w:rStyle w:val="Rfrenceintense"/>
          <w:b w:val="false"/>
          <w:bCs w:val="false"/>
          <w:caps w:val="false"/>
          <w:smallCaps w:val="false"/>
          <w:color w:val="000000"/>
          <w:spacing w:val="0"/>
          <w:u w:val="none"/>
        </w:rPr>
        <w:t xml:space="preserve">du </w:t>
      </w:r>
      <w:r>
        <w:rPr>
          <w:rStyle w:val="Rfrenceintense"/>
          <w:b w:val="false"/>
          <w:bCs w:val="false"/>
          <w:caps w:val="false"/>
          <w:smallCaps w:val="false"/>
          <w:color w:val="000000"/>
          <w:spacing w:val="0"/>
          <w:u w:val="none"/>
        </w:rPr>
        <w:t>SAE</w:t>
      </w:r>
      <w:r>
        <w:rPr>
          <w:rStyle w:val="Rfrenceintense"/>
          <w:b w:val="false"/>
          <w:bCs w:val="false"/>
          <w:caps w:val="false"/>
          <w:smallCaps w:val="false"/>
          <w:color w:val="000000"/>
          <w:spacing w:val="0"/>
          <w:u w:val="none"/>
        </w:rPr>
        <w:t xml:space="preserve"> et maintient le </w:t>
      </w:r>
      <w:r>
        <w:rPr>
          <w:rStyle w:val="Rfrenceintense"/>
          <w:b w:val="false"/>
          <w:bCs w:val="false"/>
          <w:caps w:val="false"/>
          <w:smallCaps w:val="false"/>
          <w:color w:val="000000"/>
          <w:spacing w:val="0"/>
          <w:u w:val="none"/>
        </w:rPr>
        <w:t>s</w:t>
      </w:r>
      <w:r>
        <w:rPr>
          <w:rStyle w:val="Rfrenceintense"/>
          <w:b w:val="false"/>
          <w:bCs w:val="false"/>
          <w:caps w:val="false"/>
          <w:smallCaps w:val="false"/>
          <w:color w:val="000000"/>
          <w:spacing w:val="0"/>
          <w:u w:val="none"/>
        </w:rPr>
        <w:t xml:space="preserve">ystème en conditions opérationnelles </w:t>
      </w:r>
      <w:r>
        <w:rPr>
          <w:rStyle w:val="Rfrenceintense"/>
          <w:b w:val="false"/>
          <w:bCs w:val="false"/>
          <w:caps w:val="false"/>
          <w:smallCaps w:val="false"/>
          <w:color w:val="000000"/>
          <w:spacing w:val="0"/>
          <w:u w:val="none"/>
        </w:rPr>
        <w:t>dans le cadre contractuel qui le lie à l’Autorité d’archivage</w:t>
      </w:r>
      <w:r>
        <w:rPr>
          <w:rStyle w:val="Rfrenceintense"/>
          <w:b w:val="false"/>
          <w:bCs w:val="false"/>
          <w:caps w:val="false"/>
          <w:smallCaps w:val="false"/>
          <w:color w:val="000000"/>
          <w:spacing w:val="0"/>
          <w:u w:val="none"/>
        </w:rPr>
        <w:t>.</w:t>
      </w:r>
    </w:p>
    <w:p>
      <w:pPr>
        <w:pStyle w:val="Style31"/>
        <w:rPr/>
      </w:pPr>
      <w:r>
        <w:rPr>
          <w:rStyle w:val="Rfrenceintense"/>
          <w:b w:val="false"/>
          <w:bCs w:val="false"/>
          <w:caps w:val="false"/>
          <w:smallCaps w:val="false"/>
          <w:color w:val="000000"/>
          <w:u w:val="none"/>
        </w:rPr>
        <w:t>[</w:t>
      </w:r>
      <w:r>
        <w:rPr>
          <w:rStyle w:val="Rfrenceintense"/>
          <w:b w:val="false"/>
          <w:bCs w:val="false"/>
          <w:i/>
          <w:iCs/>
          <w:caps w:val="false"/>
          <w:smallCaps w:val="false"/>
          <w:color w:val="000000"/>
          <w:u w:val="none"/>
        </w:rPr>
        <w:t>OPTION</w:t>
      </w:r>
    </w:p>
    <w:p>
      <w:pPr>
        <w:pStyle w:val="Style31"/>
        <w:rPr/>
      </w:pPr>
      <w:r>
        <w:rPr>
          <w:rStyle w:val="Rfrenceintense"/>
          <w:b w:val="false"/>
          <w:bCs w:val="false"/>
          <w:i/>
          <w:iCs/>
          <w:caps w:val="false"/>
          <w:smallCaps w:val="false"/>
          <w:color w:val="000000"/>
          <w:u w:val="none"/>
        </w:rPr>
        <w:t>Dans le cas où certains services sont délégués à d’autres opérateurs, ajouter une phrase comme suit :</w:t>
      </w:r>
    </w:p>
    <w:p>
      <w:pPr>
        <w:pStyle w:val="Style31"/>
        <w:rPr/>
      </w:pPr>
      <w:r>
        <w:rPr>
          <w:rStyle w:val="Rfrenceintense"/>
          <w:b w:val="false"/>
          <w:bCs w:val="false"/>
          <w:caps w:val="false"/>
          <w:smallCaps w:val="false"/>
          <w:color w:val="000000"/>
          <w:spacing w:val="0"/>
          <w:u w:val="none"/>
        </w:rPr>
        <w:t>L’Opérateur d’archivage délègue [</w:t>
      </w:r>
      <w:r>
        <w:rPr>
          <w:rStyle w:val="Rfrenceintense"/>
          <w:b w:val="false"/>
          <w:bCs w:val="false"/>
          <w:i/>
          <w:caps w:val="false"/>
          <w:smallCaps w:val="false"/>
          <w:color w:val="000000"/>
          <w:spacing w:val="0"/>
          <w:u w:val="none"/>
        </w:rPr>
        <w:t>préciser ici les modalités de délégation]</w:t>
      </w:r>
      <w:r>
        <w:rPr>
          <w:rStyle w:val="Rfrenceintense"/>
          <w:b w:val="false"/>
          <w:bCs w:val="false"/>
          <w:caps w:val="false"/>
          <w:smallCaps w:val="false"/>
          <w:color w:val="000000"/>
          <w:spacing w:val="0"/>
          <w:u w:val="none"/>
        </w:rPr>
        <w:t xml:space="preserve"> la fourniture des services de [</w:t>
      </w:r>
      <w:r>
        <w:rPr>
          <w:rStyle w:val="Rfrenceintense"/>
          <w:b w:val="false"/>
          <w:bCs w:val="false"/>
          <w:i/>
          <w:caps w:val="false"/>
          <w:smallCaps w:val="false"/>
          <w:color w:val="000000"/>
          <w:spacing w:val="0"/>
          <w:u w:val="none"/>
        </w:rPr>
        <w:t>préciser ici le</w:t>
      </w:r>
      <w:r>
        <w:rPr>
          <w:rStyle w:val="Rfrenceintense"/>
          <w:b w:val="false"/>
          <w:bCs w:val="false"/>
          <w:i/>
          <w:caps w:val="false"/>
          <w:smallCaps w:val="false"/>
          <w:color w:val="000000"/>
          <w:spacing w:val="0"/>
          <w:u w:val="none"/>
        </w:rPr>
        <w:t>(</w:t>
      </w:r>
      <w:r>
        <w:rPr>
          <w:rStyle w:val="Rfrenceintense"/>
          <w:b w:val="false"/>
          <w:bCs w:val="false"/>
          <w:i/>
          <w:caps w:val="false"/>
          <w:smallCaps w:val="false"/>
          <w:color w:val="000000"/>
          <w:spacing w:val="0"/>
          <w:u w:val="none"/>
        </w:rPr>
        <w:t>s</w:t>
      </w:r>
      <w:r>
        <w:rPr>
          <w:rStyle w:val="Rfrenceintense"/>
          <w:b w:val="false"/>
          <w:bCs w:val="false"/>
          <w:i/>
          <w:caps w:val="false"/>
          <w:smallCaps w:val="false"/>
          <w:color w:val="000000"/>
          <w:spacing w:val="0"/>
          <w:u w:val="none"/>
        </w:rPr>
        <w:t>)</w:t>
      </w:r>
      <w:r>
        <w:rPr>
          <w:rStyle w:val="Rfrenceintense"/>
          <w:b w:val="false"/>
          <w:bCs w:val="false"/>
          <w:i/>
          <w:caps w:val="false"/>
          <w:smallCaps w:val="false"/>
          <w:color w:val="000000"/>
          <w:spacing w:val="0"/>
          <w:u w:val="none"/>
        </w:rPr>
        <w:t xml:space="preserve"> service</w:t>
      </w:r>
      <w:r>
        <w:rPr>
          <w:rStyle w:val="Rfrenceintense"/>
          <w:b w:val="false"/>
          <w:bCs w:val="false"/>
          <w:i/>
          <w:caps w:val="false"/>
          <w:smallCaps w:val="false"/>
          <w:color w:val="000000"/>
          <w:spacing w:val="0"/>
          <w:u w:val="none"/>
        </w:rPr>
        <w:t>(</w:t>
      </w:r>
      <w:r>
        <w:rPr>
          <w:rStyle w:val="Rfrenceintense"/>
          <w:b w:val="false"/>
          <w:bCs w:val="false"/>
          <w:i/>
          <w:caps w:val="false"/>
          <w:smallCaps w:val="false"/>
          <w:color w:val="000000"/>
          <w:spacing w:val="0"/>
          <w:u w:val="none"/>
        </w:rPr>
        <w:t>s</w:t>
      </w:r>
      <w:r>
        <w:rPr>
          <w:rStyle w:val="Rfrenceintense"/>
          <w:b w:val="false"/>
          <w:bCs w:val="false"/>
          <w:i/>
          <w:caps w:val="false"/>
          <w:smallCaps w:val="false"/>
          <w:color w:val="000000"/>
          <w:spacing w:val="0"/>
          <w:u w:val="none"/>
        </w:rPr>
        <w:t>)</w:t>
      </w:r>
      <w:r>
        <w:rPr>
          <w:rStyle w:val="Rfrenceintense"/>
          <w:b w:val="false"/>
          <w:bCs w:val="false"/>
          <w:i/>
          <w:caps w:val="false"/>
          <w:smallCaps w:val="false"/>
          <w:color w:val="000000"/>
          <w:spacing w:val="0"/>
          <w:u w:val="none"/>
        </w:rPr>
        <w:t xml:space="preserve"> concerné</w:t>
      </w:r>
      <w:r>
        <w:rPr>
          <w:rStyle w:val="Rfrenceintense"/>
          <w:b w:val="false"/>
          <w:bCs w:val="false"/>
          <w:i/>
          <w:caps w:val="false"/>
          <w:smallCaps w:val="false"/>
          <w:color w:val="000000"/>
          <w:spacing w:val="0"/>
          <w:u w:val="none"/>
        </w:rPr>
        <w:t>(</w:t>
      </w:r>
      <w:r>
        <w:rPr>
          <w:rStyle w:val="Rfrenceintense"/>
          <w:b w:val="false"/>
          <w:bCs w:val="false"/>
          <w:i/>
          <w:caps w:val="false"/>
          <w:smallCaps w:val="false"/>
          <w:color w:val="000000"/>
          <w:spacing w:val="0"/>
          <w:u w:val="none"/>
        </w:rPr>
        <w:t>s</w:t>
      </w:r>
      <w:r>
        <w:rPr>
          <w:rStyle w:val="Rfrenceintense"/>
          <w:b w:val="false"/>
          <w:bCs w:val="false"/>
          <w:i/>
          <w:caps w:val="false"/>
          <w:smallCaps w:val="false"/>
          <w:color w:val="000000"/>
          <w:spacing w:val="0"/>
          <w:u w:val="none"/>
        </w:rPr>
        <w:t>)</w:t>
      </w:r>
      <w:r>
        <w:rPr>
          <w:rStyle w:val="Rfrenceintense"/>
          <w:b w:val="false"/>
          <w:bCs w:val="false"/>
          <w:i/>
          <w:caps w:val="false"/>
          <w:smallCaps w:val="false"/>
          <w:color w:val="000000"/>
          <w:spacing w:val="0"/>
          <w:u w:val="none"/>
        </w:rPr>
        <w:t>]</w:t>
      </w:r>
      <w:r>
        <w:rPr>
          <w:rStyle w:val="Rfrenceintense"/>
          <w:b w:val="false"/>
          <w:bCs w:val="false"/>
          <w:caps w:val="false"/>
          <w:smallCaps w:val="false"/>
          <w:color w:val="000000"/>
          <w:spacing w:val="0"/>
          <w:u w:val="none"/>
        </w:rPr>
        <w:t xml:space="preserve"> à [</w:t>
      </w:r>
      <w:r>
        <w:rPr>
          <w:rStyle w:val="Rfrenceintense"/>
          <w:b w:val="false"/>
          <w:bCs w:val="false"/>
          <w:i/>
          <w:caps w:val="false"/>
          <w:smallCaps w:val="false"/>
          <w:color w:val="000000"/>
          <w:spacing w:val="0"/>
          <w:u w:val="none"/>
        </w:rPr>
        <w:t>préciser ici le</w:t>
      </w:r>
      <w:r>
        <w:rPr>
          <w:rStyle w:val="Rfrenceintense"/>
          <w:b w:val="false"/>
          <w:bCs w:val="false"/>
          <w:i/>
          <w:caps w:val="false"/>
          <w:smallCaps w:val="false"/>
          <w:color w:val="000000"/>
          <w:spacing w:val="0"/>
          <w:u w:val="none"/>
        </w:rPr>
        <w:t>(</w:t>
      </w:r>
      <w:r>
        <w:rPr>
          <w:rStyle w:val="Rfrenceintense"/>
          <w:b w:val="false"/>
          <w:bCs w:val="false"/>
          <w:i/>
          <w:caps w:val="false"/>
          <w:smallCaps w:val="false"/>
          <w:color w:val="000000"/>
          <w:spacing w:val="0"/>
          <w:u w:val="none"/>
        </w:rPr>
        <w:t>s</w:t>
      </w:r>
      <w:r>
        <w:rPr>
          <w:rStyle w:val="Rfrenceintense"/>
          <w:b w:val="false"/>
          <w:bCs w:val="false"/>
          <w:i/>
          <w:caps w:val="false"/>
          <w:smallCaps w:val="false"/>
          <w:color w:val="000000"/>
          <w:spacing w:val="0"/>
          <w:u w:val="none"/>
        </w:rPr>
        <w:t>)</w:t>
      </w:r>
      <w:r>
        <w:rPr>
          <w:rStyle w:val="Rfrenceintense"/>
          <w:b w:val="false"/>
          <w:bCs w:val="false"/>
          <w:i/>
          <w:caps w:val="false"/>
          <w:smallCaps w:val="false"/>
          <w:color w:val="000000"/>
          <w:spacing w:val="0"/>
          <w:u w:val="none"/>
        </w:rPr>
        <w:t xml:space="preserve"> Opérateur</w:t>
      </w:r>
      <w:r>
        <w:rPr>
          <w:rStyle w:val="Rfrenceintense"/>
          <w:b w:val="false"/>
          <w:bCs w:val="false"/>
          <w:i/>
          <w:caps w:val="false"/>
          <w:smallCaps w:val="false"/>
          <w:color w:val="000000"/>
          <w:spacing w:val="0"/>
          <w:u w:val="none"/>
        </w:rPr>
        <w:t>(</w:t>
      </w:r>
      <w:r>
        <w:rPr>
          <w:rStyle w:val="Rfrenceintense"/>
          <w:b w:val="false"/>
          <w:bCs w:val="false"/>
          <w:i/>
          <w:caps w:val="false"/>
          <w:smallCaps w:val="false"/>
          <w:color w:val="000000"/>
          <w:spacing w:val="0"/>
          <w:u w:val="none"/>
        </w:rPr>
        <w:t>s</w:t>
      </w:r>
      <w:r>
        <w:rPr>
          <w:rStyle w:val="Rfrenceintense"/>
          <w:b w:val="false"/>
          <w:bCs w:val="false"/>
          <w:i/>
          <w:caps w:val="false"/>
          <w:smallCaps w:val="false"/>
          <w:color w:val="000000"/>
          <w:spacing w:val="0"/>
          <w:u w:val="none"/>
        </w:rPr>
        <w:t>)</w:t>
      </w:r>
      <w:r>
        <w:rPr>
          <w:rStyle w:val="Rfrenceintense"/>
          <w:b w:val="false"/>
          <w:bCs w:val="false"/>
          <w:i/>
          <w:caps w:val="false"/>
          <w:smallCaps w:val="false"/>
          <w:color w:val="000000"/>
          <w:spacing w:val="0"/>
          <w:u w:val="none"/>
        </w:rPr>
        <w:t xml:space="preserve"> concerné</w:t>
      </w:r>
      <w:r>
        <w:rPr>
          <w:rStyle w:val="Rfrenceintense"/>
          <w:b w:val="false"/>
          <w:bCs w:val="false"/>
          <w:i/>
          <w:caps w:val="false"/>
          <w:smallCaps w:val="false"/>
          <w:color w:val="000000"/>
          <w:spacing w:val="0"/>
          <w:u w:val="none"/>
        </w:rPr>
        <w:t>(</w:t>
      </w:r>
      <w:r>
        <w:rPr>
          <w:rStyle w:val="Rfrenceintense"/>
          <w:b w:val="false"/>
          <w:bCs w:val="false"/>
          <w:i/>
          <w:caps w:val="false"/>
          <w:smallCaps w:val="false"/>
          <w:color w:val="000000"/>
          <w:spacing w:val="0"/>
          <w:u w:val="none"/>
        </w:rPr>
        <w:t>s</w:t>
      </w:r>
      <w:r>
        <w:rPr>
          <w:rStyle w:val="Rfrenceintense"/>
          <w:b w:val="false"/>
          <w:bCs w:val="false"/>
          <w:i/>
          <w:caps w:val="false"/>
          <w:smallCaps w:val="false"/>
          <w:color w:val="000000"/>
          <w:spacing w:val="0"/>
          <w:u w:val="none"/>
        </w:rPr>
        <w:t>)</w:t>
      </w:r>
      <w:r>
        <w:rPr>
          <w:rStyle w:val="Rfrenceintense"/>
          <w:b w:val="false"/>
          <w:bCs w:val="false"/>
          <w:caps w:val="false"/>
          <w:smallCaps w:val="false"/>
          <w:color w:val="000000"/>
          <w:spacing w:val="0"/>
          <w:u w:val="none"/>
        </w:rPr>
        <w:t>]</w:t>
      </w:r>
      <w:r>
        <w:rPr>
          <w:rStyle w:val="Rfrenceintense"/>
          <w:b w:val="false"/>
          <w:bCs w:val="false"/>
          <w:i/>
          <w:caps w:val="false"/>
          <w:smallCaps w:val="false"/>
          <w:color w:val="000000"/>
          <w:spacing w:val="0"/>
          <w:u w:val="none"/>
        </w:rPr>
        <w:t xml:space="preserve">. </w:t>
      </w:r>
      <w:r>
        <w:rPr>
          <w:rStyle w:val="Rfrenceintense"/>
          <w:b w:val="false"/>
          <w:bCs w:val="false"/>
          <w:caps w:val="false"/>
          <w:smallCaps w:val="false"/>
          <w:color w:val="000000"/>
          <w:spacing w:val="0"/>
          <w:u w:val="none"/>
        </w:rPr>
        <w:t>Il s’assure auprès d</w:t>
      </w:r>
      <w:r>
        <w:rPr>
          <w:rStyle w:val="Rfrenceintense"/>
          <w:b w:val="false"/>
          <w:bCs w:val="false"/>
          <w:caps w:val="false"/>
          <w:smallCaps w:val="false"/>
          <w:color w:val="000000"/>
          <w:spacing w:val="0"/>
          <w:u w:val="none"/>
        </w:rPr>
        <w:t>e cet/c</w:t>
      </w:r>
      <w:r>
        <w:rPr>
          <w:rStyle w:val="Rfrenceintense"/>
          <w:b w:val="false"/>
          <w:bCs w:val="false"/>
          <w:caps w:val="false"/>
          <w:smallCaps w:val="false"/>
          <w:color w:val="000000"/>
          <w:spacing w:val="0"/>
          <w:u w:val="none"/>
        </w:rPr>
        <w:t xml:space="preserve">es </w:t>
      </w:r>
      <w:r>
        <w:rPr>
          <w:rStyle w:val="Rfrenceintense"/>
          <w:b w:val="false"/>
          <w:bCs w:val="false"/>
          <w:caps w:val="false"/>
          <w:smallCaps w:val="false"/>
          <w:color w:val="000000"/>
          <w:spacing w:val="0"/>
          <w:u w:val="none"/>
        </w:rPr>
        <w:t>o</w:t>
      </w:r>
      <w:r>
        <w:rPr>
          <w:rStyle w:val="Rfrenceintense"/>
          <w:b w:val="false"/>
          <w:bCs w:val="false"/>
          <w:caps w:val="false"/>
          <w:smallCaps w:val="false"/>
          <w:color w:val="000000"/>
          <w:spacing w:val="0"/>
          <w:u w:val="none"/>
        </w:rPr>
        <w:t>pérateur</w:t>
      </w:r>
      <w:r>
        <w:rPr>
          <w:rStyle w:val="Rfrenceintense"/>
          <w:b w:val="false"/>
          <w:bCs w:val="false"/>
          <w:caps w:val="false"/>
          <w:smallCaps w:val="false"/>
          <w:color w:val="000000"/>
          <w:spacing w:val="0"/>
          <w:u w:val="none"/>
        </w:rPr>
        <w:t>(</w:t>
      </w:r>
      <w:r>
        <w:rPr>
          <w:rStyle w:val="Rfrenceintense"/>
          <w:b w:val="false"/>
          <w:bCs w:val="false"/>
          <w:caps w:val="false"/>
          <w:smallCaps w:val="false"/>
          <w:color w:val="000000"/>
          <w:spacing w:val="0"/>
          <w:u w:val="none"/>
        </w:rPr>
        <w:t>s</w:t>
      </w:r>
      <w:r>
        <w:rPr>
          <w:rStyle w:val="Rfrenceintense"/>
          <w:b w:val="false"/>
          <w:bCs w:val="false"/>
          <w:caps w:val="false"/>
          <w:smallCaps w:val="false"/>
          <w:color w:val="000000"/>
          <w:spacing w:val="0"/>
          <w:u w:val="none"/>
        </w:rPr>
        <w:t>)</w:t>
      </w:r>
      <w:r>
        <w:rPr>
          <w:rStyle w:val="Rfrenceintense"/>
          <w:b w:val="false"/>
          <w:bCs w:val="false"/>
          <w:caps w:val="false"/>
          <w:smallCaps w:val="false"/>
          <w:color w:val="000000"/>
          <w:spacing w:val="0"/>
          <w:u w:val="none"/>
        </w:rPr>
        <w:t xml:space="preserve"> des conditions de fourniture des services et de leur conformité avec les engagements définis dans la présente Politique d’archivage.</w:t>
      </w:r>
      <w:r>
        <w:rPr>
          <w:rStyle w:val="Rfrenceintense"/>
          <w:b w:val="false"/>
          <w:bCs w:val="false"/>
          <w:caps w:val="false"/>
          <w:smallCaps w:val="false"/>
          <w:color w:val="000000"/>
          <w:spacing w:val="0"/>
          <w:u w:val="none"/>
        </w:rPr>
        <w:t>]</w:t>
      </w:r>
    </w:p>
    <w:p>
      <w:pPr>
        <w:pStyle w:val="Titre4"/>
        <w:numPr>
          <w:ilvl w:val="3"/>
          <w:numId w:val="1"/>
        </w:numPr>
        <w:tabs>
          <w:tab w:val="left" w:pos="0" w:leader="none"/>
        </w:tabs>
        <w:ind w:start="1701" w:end="0" w:hanging="0"/>
        <w:rPr/>
      </w:pPr>
      <w:bookmarkStart w:id="49" w:name="__RefHeading___Toc10723_1000569294"/>
      <w:bookmarkEnd w:id="49"/>
      <w:r>
        <w:rPr>
          <w:rStyle w:val="Rfrenceple"/>
          <w:b w:val="false"/>
          <w:bCs w:val="false"/>
          <w:color w:val="000099"/>
          <w:u w:val="none"/>
        </w:rPr>
        <w:t>4</w:t>
      </w:r>
      <w:r>
        <w:rPr>
          <w:rStyle w:val="Rfrenceple"/>
          <w:b w:val="false"/>
          <w:bCs w:val="false"/>
          <w:color w:val="000099"/>
          <w:u w:val="none"/>
        </w:rPr>
        <w:t>.</w:t>
      </w:r>
      <w:r>
        <w:rPr>
          <w:rStyle w:val="Rfrenceple"/>
          <w:b w:val="false"/>
          <w:bCs w:val="false"/>
          <w:color w:val="000099"/>
          <w:u w:val="none"/>
        </w:rPr>
        <w:t>1</w:t>
      </w:r>
      <w:r>
        <w:rPr>
          <w:rStyle w:val="Rfrenceple"/>
          <w:b w:val="false"/>
          <w:bCs w:val="false"/>
          <w:color w:val="000099"/>
          <w:u w:val="none"/>
        </w:rPr>
        <w:t xml:space="preserve">.4 </w:t>
      </w:r>
      <w:r>
        <w:rPr>
          <w:rStyle w:val="Rfrenceple"/>
          <w:b w:val="false"/>
          <w:bCs w:val="false"/>
          <w:caps/>
          <w:color w:val="000099"/>
          <w:u w:val="none"/>
        </w:rPr>
        <w:t>L</w:t>
      </w:r>
      <w:r>
        <w:rPr>
          <w:rStyle w:val="Rfrenceple"/>
          <w:b w:val="false"/>
          <w:bCs w:val="false"/>
          <w:color w:val="000099"/>
          <w:u w:val="none"/>
        </w:rPr>
        <w:t>’</w:t>
      </w:r>
      <w:r>
        <w:rPr>
          <w:rStyle w:val="Rfrenceple"/>
          <w:b w:val="false"/>
          <w:bCs w:val="false"/>
          <w:caps/>
          <w:color w:val="000099"/>
          <w:u w:val="none"/>
        </w:rPr>
        <w:t>A</w:t>
      </w:r>
      <w:r>
        <w:rPr>
          <w:rStyle w:val="Rfrenceple"/>
          <w:b w:val="false"/>
          <w:bCs w:val="false"/>
          <w:color w:val="000099"/>
          <w:u w:val="none"/>
        </w:rPr>
        <w:t xml:space="preserve">utorité </w:t>
      </w:r>
      <w:bookmarkStart w:id="50" w:name="_Toc479592133"/>
      <w:bookmarkStart w:id="51" w:name="_Toc479583894"/>
      <w:bookmarkStart w:id="52" w:name="_Toc478062645"/>
      <w:r>
        <w:rPr>
          <w:rStyle w:val="Rfrenceple"/>
          <w:b w:val="false"/>
          <w:bCs w:val="false"/>
          <w:color w:val="000099"/>
          <w:u w:val="none"/>
        </w:rPr>
        <w:t>d</w:t>
      </w:r>
      <w:bookmarkEnd w:id="50"/>
      <w:bookmarkEnd w:id="51"/>
      <w:bookmarkEnd w:id="52"/>
      <w:r>
        <w:rPr>
          <w:rStyle w:val="Rfrenceple"/>
          <w:b w:val="false"/>
          <w:bCs w:val="false"/>
          <w:color w:val="000099"/>
          <w:u w:val="none"/>
        </w:rPr>
        <w:t>e contrôle</w:t>
      </w:r>
    </w:p>
    <w:p>
      <w:pPr>
        <w:pStyle w:val="Style31"/>
        <w:rPr/>
      </w:pPr>
      <w:r>
        <w:rPr>
          <w:rStyle w:val="Rfrenceintense"/>
          <w:b w:val="false"/>
          <w:bCs w:val="false"/>
          <w:caps w:val="false"/>
          <w:smallCaps w:val="false"/>
          <w:color w:val="auto"/>
          <w:spacing w:val="0"/>
          <w:u w:val="none"/>
        </w:rPr>
        <w:t xml:space="preserve">L’Autorité de contrôle vérifie les conditions de conservation des archives et veille notamment à la conformité des services rendus par le </w:t>
      </w:r>
      <w:r>
        <w:rPr>
          <w:rStyle w:val="Rfrenceintense"/>
          <w:b w:val="false"/>
          <w:bCs w:val="false"/>
          <w:caps w:val="false"/>
          <w:smallCaps w:val="false"/>
          <w:color w:val="auto"/>
          <w:spacing w:val="0"/>
          <w:u w:val="none"/>
        </w:rPr>
        <w:t>SAE</w:t>
      </w:r>
      <w:r>
        <w:rPr>
          <w:rStyle w:val="Rfrenceintense"/>
          <w:b w:val="false"/>
          <w:bCs w:val="false"/>
          <w:caps w:val="false"/>
          <w:smallCaps w:val="false"/>
          <w:color w:val="auto"/>
          <w:spacing w:val="0"/>
          <w:u w:val="none"/>
        </w:rPr>
        <w:t xml:space="preserve"> avec </w:t>
      </w:r>
      <w:r>
        <w:rPr>
          <w:rStyle w:val="Rfrenceintense"/>
          <w:b w:val="false"/>
          <w:bCs w:val="false"/>
          <w:caps w:val="false"/>
          <w:smallCaps w:val="false"/>
          <w:color w:val="auto"/>
          <w:spacing w:val="0"/>
          <w:u w:val="none"/>
        </w:rPr>
        <w:t>la réglementation et</w:t>
      </w:r>
      <w:r>
        <w:rPr>
          <w:rStyle w:val="Rfrenceintense"/>
          <w:b w:val="false"/>
          <w:bCs w:val="false"/>
          <w:caps w:val="false"/>
          <w:smallCaps w:val="false"/>
          <w:color w:val="auto"/>
          <w:spacing w:val="0"/>
          <w:u w:val="none"/>
        </w:rPr>
        <w:t xml:space="preserve"> les engagements de services décrits dans la présente Politique d’archivage</w:t>
      </w:r>
      <w:r>
        <w:rPr>
          <w:rStyle w:val="Rfrenceintense"/>
          <w:b w:val="false"/>
          <w:bCs w:val="false"/>
          <w:color w:val="auto"/>
          <w:spacing w:val="0"/>
          <w:u w:val="none"/>
        </w:rPr>
        <w:t>.</w:t>
      </w:r>
    </w:p>
    <w:p>
      <w:pPr>
        <w:pStyle w:val="Titre3"/>
        <w:numPr>
          <w:ilvl w:val="2"/>
          <w:numId w:val="1"/>
        </w:numPr>
        <w:tabs>
          <w:tab w:val="left" w:pos="0" w:leader="none"/>
        </w:tabs>
        <w:ind w:start="709" w:end="0" w:hanging="0"/>
        <w:rPr/>
      </w:pPr>
      <w:bookmarkStart w:id="53" w:name="__RefHeading___Toc10725_1000569294"/>
      <w:bookmarkEnd w:id="53"/>
      <w:r>
        <w:rPr>
          <w:rStyle w:val="Rfrenceple"/>
          <w:color w:val="000099"/>
        </w:rPr>
        <w:t>4</w:t>
      </w:r>
      <w:r>
        <w:rPr>
          <w:rStyle w:val="Rfrenceple"/>
          <w:color w:val="000099"/>
        </w:rPr>
        <w:t>.</w:t>
      </w:r>
      <w:r>
        <w:rPr>
          <w:rStyle w:val="Rfrenceple"/>
          <w:color w:val="000099"/>
        </w:rPr>
        <w:t>2</w:t>
      </w:r>
      <w:r>
        <w:rPr>
          <w:rStyle w:val="Rfrenceple"/>
          <w:color w:val="000099"/>
        </w:rPr>
        <w:t xml:space="preserve"> </w:t>
      </w:r>
      <w:r>
        <w:rPr>
          <w:rStyle w:val="Rfrenceple"/>
          <w:color w:val="000099"/>
        </w:rPr>
        <w:t>A</w:t>
      </w:r>
      <w:r>
        <w:rPr>
          <w:rStyle w:val="Rfrenceple"/>
          <w:color w:val="000099"/>
        </w:rPr>
        <w:t>cteurs</w:t>
      </w:r>
      <w:r>
        <w:rPr>
          <w:rStyle w:val="Rfrenceple"/>
          <w:color w:val="000099"/>
        </w:rPr>
        <w:t xml:space="preserve"> et </w:t>
      </w:r>
      <w:r>
        <w:rPr>
          <w:rStyle w:val="Rfrenceple"/>
          <w:color w:val="000099"/>
        </w:rPr>
        <w:t>intervenant</w:t>
      </w:r>
      <w:r>
        <w:rPr>
          <w:rStyle w:val="Rfrenceple"/>
          <w:color w:val="000099"/>
        </w:rPr>
        <w:t>s</w:t>
      </w:r>
      <w:r>
        <w:rPr>
          <w:rStyle w:val="Rfrenceple"/>
          <w:rStyle w:val="Appelnotedebasdep"/>
          <w:color w:val="000099"/>
        </w:rPr>
        <w:footnoteReference w:id="3"/>
      </w:r>
    </w:p>
    <w:p>
      <w:pPr>
        <w:pStyle w:val="Titre4"/>
        <w:numPr>
          <w:ilvl w:val="3"/>
          <w:numId w:val="1"/>
        </w:numPr>
        <w:tabs>
          <w:tab w:val="left" w:pos="0" w:leader="none"/>
        </w:tabs>
        <w:ind w:start="1701" w:end="0" w:hanging="0"/>
        <w:rPr/>
      </w:pPr>
      <w:bookmarkStart w:id="54" w:name="__RefHeading___Toc10727_1000569294"/>
      <w:bookmarkEnd w:id="54"/>
      <w:r>
        <w:rPr>
          <w:rStyle w:val="Rfrenceple"/>
          <w:rFonts w:eastAsia="Garamond" w:cs="Times New Roman" w:ascii="Trebuchet MS" w:hAnsi="Trebuchet MS"/>
          <w:b w:val="false"/>
          <w:bCs w:val="false"/>
          <w:iCs/>
          <w:color w:val="000099"/>
          <w:kern w:val="2"/>
          <w:u w:val="none"/>
          <w:lang w:eastAsia="zh-CN" w:bidi="hi-IN"/>
        </w:rPr>
        <w:t xml:space="preserve">4.2.1 Le Service </w:t>
      </w:r>
      <w:r>
        <w:rPr>
          <w:rStyle w:val="Rfrenceple"/>
          <w:rFonts w:eastAsia="Garamond" w:cs="Times New Roman" w:ascii="Trebuchet MS" w:hAnsi="Trebuchet MS"/>
          <w:b w:val="false"/>
          <w:bCs w:val="false"/>
          <w:iCs/>
          <w:color w:val="000099"/>
          <w:kern w:val="2"/>
          <w:u w:val="none"/>
          <w:lang w:eastAsia="zh-CN" w:bidi="hi-IN"/>
        </w:rPr>
        <w:t>producteur</w:t>
      </w:r>
    </w:p>
    <w:p>
      <w:pPr>
        <w:pStyle w:val="Style31"/>
        <w:bidi w:val="0"/>
        <w:rPr/>
      </w:pPr>
      <w:r>
        <w:rPr>
          <w:rStyle w:val="Rfrenceple"/>
          <w:b w:val="false"/>
          <w:bCs w:val="false"/>
          <w:caps w:val="false"/>
          <w:smallCaps w:val="false"/>
          <w:color w:val="000000"/>
        </w:rPr>
        <w:t xml:space="preserve">Le </w:t>
      </w:r>
      <w:r>
        <w:rPr>
          <w:rStyle w:val="Rfrenceple"/>
          <w:b w:val="false"/>
          <w:bCs w:val="false"/>
          <w:caps w:val="false"/>
          <w:smallCaps w:val="false"/>
          <w:color w:val="000000"/>
        </w:rPr>
        <w:t xml:space="preserve">Service producteur </w:t>
      </w:r>
      <w:r>
        <w:rPr>
          <w:rStyle w:val="Rfrenceple"/>
          <w:b w:val="false"/>
          <w:bCs w:val="false"/>
          <w:caps w:val="false"/>
          <w:smallCaps w:val="false"/>
          <w:color w:val="000000"/>
        </w:rPr>
        <w:t>est l’</w:t>
      </w:r>
      <w:r>
        <w:rPr>
          <w:rStyle w:val="Rfrenceple"/>
          <w:b w:val="false"/>
          <w:bCs w:val="false"/>
          <w:caps w:val="false"/>
          <w:smallCaps w:val="false"/>
          <w:color w:val="000000"/>
        </w:rPr>
        <w:t>entité qui a produit</w:t>
      </w:r>
      <w:r>
        <w:rPr>
          <w:rStyle w:val="Rfrenceple"/>
          <w:b w:val="false"/>
          <w:caps w:val="false"/>
          <w:smallCaps w:val="false"/>
          <w:color w:val="000000"/>
        </w:rPr>
        <w:t xml:space="preserve"> les informations </w:t>
      </w:r>
      <w:r>
        <w:rPr>
          <w:rStyle w:val="Rfrenceple"/>
          <w:b w:val="false"/>
          <w:caps w:val="false"/>
          <w:smallCaps w:val="false"/>
          <w:color w:val="000000"/>
        </w:rPr>
        <w:t>(données et documents et leurs métadonnées)</w:t>
      </w:r>
      <w:r>
        <w:rPr>
          <w:rStyle w:val="Rfrenceple"/>
          <w:b w:val="false"/>
          <w:caps w:val="false"/>
          <w:smallCaps w:val="false"/>
          <w:color w:val="000000"/>
        </w:rPr>
        <w:t xml:space="preserve"> </w:t>
      </w:r>
      <w:r>
        <w:rPr>
          <w:rStyle w:val="Rfrenceple"/>
          <w:b w:val="false"/>
          <w:caps w:val="false"/>
          <w:smallCaps w:val="false"/>
          <w:color w:val="000000"/>
        </w:rPr>
        <w:t>destinées à être archivées dans le SAE</w:t>
      </w:r>
      <w:r>
        <w:rPr>
          <w:rStyle w:val="Rfrenceple"/>
          <w:b w:val="false"/>
          <w:caps w:val="false"/>
          <w:smallCaps w:val="false"/>
          <w:color w:val="000000"/>
        </w:rPr>
        <w:t>, c’est-à-dire qui les a créées ou reçues dans le cadre de son activité.</w:t>
      </w:r>
    </w:p>
    <w:p>
      <w:pPr>
        <w:pStyle w:val="Style31"/>
        <w:rPr/>
      </w:pPr>
      <w:r>
        <w:rPr>
          <w:rStyle w:val="Rfrenceple"/>
          <w:rFonts w:eastAsia="Garamond" w:cs="Times New Roman"/>
          <w:b w:val="false"/>
          <w:bCs/>
          <w:iCs/>
          <w:caps w:val="false"/>
          <w:smallCaps w:val="false"/>
          <w:color w:val="000000"/>
          <w:kern w:val="2"/>
          <w:u w:val="none"/>
          <w:lang w:eastAsia="zh-CN" w:bidi="hi-IN"/>
        </w:rPr>
        <w:t>Dans le cadre de [</w:t>
      </w:r>
      <w:r>
        <w:rPr>
          <w:rStyle w:val="Rfrenceple"/>
          <w:rFonts w:eastAsia="Garamond" w:cs="Times New Roman"/>
          <w:b w:val="false"/>
          <w:bCs/>
          <w:i/>
          <w:iCs/>
          <w:caps w:val="false"/>
          <w:smallCaps w:val="false"/>
          <w:color w:val="000000"/>
          <w:kern w:val="2"/>
          <w:u w:val="none"/>
          <w:lang w:eastAsia="zh-CN" w:bidi="hi-IN"/>
        </w:rPr>
        <w:t>nom du SAE</w:t>
      </w:r>
      <w:r>
        <w:rPr>
          <w:rStyle w:val="Rfrenceple"/>
          <w:rFonts w:eastAsia="Garamond" w:cs="Times New Roman"/>
          <w:b w:val="false"/>
          <w:bCs/>
          <w:iCs/>
          <w:caps w:val="false"/>
          <w:smallCaps w:val="false"/>
          <w:color w:val="000000"/>
          <w:kern w:val="2"/>
          <w:u w:val="none"/>
          <w:lang w:eastAsia="zh-CN" w:bidi="hi-IN"/>
        </w:rPr>
        <w:t>], l</w:t>
      </w:r>
      <w:r>
        <w:rPr>
          <w:rStyle w:val="Rfrenceple"/>
          <w:rFonts w:eastAsia="Garamond" w:cs="Times New Roman"/>
          <w:b w:val="false"/>
          <w:bCs/>
          <w:iCs/>
          <w:caps w:val="false"/>
          <w:smallCaps w:val="false"/>
          <w:color w:val="000000"/>
          <w:kern w:val="2"/>
          <w:u w:val="none"/>
          <w:lang w:eastAsia="zh-CN" w:bidi="hi-IN"/>
        </w:rPr>
        <w:t>e</w:t>
      </w:r>
      <w:r>
        <w:rPr>
          <w:rStyle w:val="Rfrenceple"/>
          <w:rFonts w:eastAsia="Garamond" w:cs="Times New Roman"/>
          <w:b w:val="false"/>
          <w:bCs/>
          <w:iCs/>
          <w:caps w:val="false"/>
          <w:smallCaps w:val="false"/>
          <w:color w:val="000000"/>
          <w:kern w:val="2"/>
          <w:u w:val="none"/>
          <w:lang w:eastAsia="zh-CN" w:bidi="hi-IN"/>
        </w:rPr>
        <w:t>s</w:t>
      </w:r>
      <w:r>
        <w:rPr>
          <w:rStyle w:val="Rfrenceple"/>
          <w:rFonts w:eastAsia="Garamond" w:cs="Times New Roman"/>
          <w:b w:val="false"/>
          <w:bCs/>
          <w:iCs/>
          <w:caps w:val="false"/>
          <w:smallCaps w:val="false"/>
          <w:color w:val="000000"/>
          <w:kern w:val="2"/>
          <w:u w:val="none"/>
          <w:lang w:eastAsia="zh-CN" w:bidi="hi-IN"/>
        </w:rPr>
        <w:t xml:space="preserve"> </w:t>
      </w:r>
      <w:r>
        <w:rPr>
          <w:rStyle w:val="Rfrenceple"/>
          <w:rFonts w:eastAsia="Garamond" w:cs="Times New Roman"/>
          <w:b w:val="false"/>
          <w:bCs/>
          <w:iCs/>
          <w:caps w:val="false"/>
          <w:smallCaps w:val="false"/>
          <w:color w:val="000000"/>
          <w:kern w:val="2"/>
          <w:u w:val="none"/>
          <w:lang w:eastAsia="zh-CN" w:bidi="hi-IN"/>
        </w:rPr>
        <w:t>S</w:t>
      </w:r>
      <w:r>
        <w:rPr>
          <w:rStyle w:val="Rfrenceple"/>
          <w:rFonts w:eastAsia="Garamond" w:cs="Times New Roman"/>
          <w:b w:val="false"/>
          <w:bCs/>
          <w:iCs/>
          <w:caps w:val="false"/>
          <w:smallCaps w:val="false"/>
          <w:color w:val="000000"/>
          <w:kern w:val="2"/>
          <w:u w:val="none"/>
          <w:lang w:eastAsia="zh-CN" w:bidi="hi-IN"/>
        </w:rPr>
        <w:t xml:space="preserve">ervices </w:t>
      </w:r>
      <w:r>
        <w:rPr>
          <w:rStyle w:val="Rfrenceple"/>
          <w:rFonts w:eastAsia="Garamond" w:cs="Times New Roman"/>
          <w:b w:val="false"/>
          <w:bCs/>
          <w:iCs/>
          <w:caps w:val="false"/>
          <w:smallCaps w:val="false"/>
          <w:color w:val="000000"/>
          <w:kern w:val="2"/>
          <w:u w:val="none"/>
          <w:lang w:eastAsia="zh-CN" w:bidi="hi-IN"/>
        </w:rPr>
        <w:t>pr</w:t>
      </w:r>
      <w:r>
        <w:rPr>
          <w:rStyle w:val="Rfrenceple"/>
          <w:rFonts w:eastAsia="Garamond" w:cs="Times New Roman"/>
          <w:b w:val="false"/>
          <w:bCs/>
          <w:iCs/>
          <w:caps w:val="false"/>
          <w:smallCaps w:val="false"/>
          <w:color w:val="000000"/>
          <w:kern w:val="2"/>
          <w:u w:val="none"/>
          <w:lang w:eastAsia="zh-CN" w:bidi="hi-IN"/>
        </w:rPr>
        <w:t>oducteur</w:t>
      </w:r>
      <w:r>
        <w:rPr>
          <w:rStyle w:val="Rfrenceple"/>
          <w:rFonts w:eastAsia="Garamond" w:cs="Times New Roman"/>
          <w:b w:val="false"/>
          <w:bCs/>
          <w:iCs/>
          <w:caps w:val="false"/>
          <w:smallCaps w:val="false"/>
          <w:color w:val="000000"/>
          <w:kern w:val="2"/>
          <w:u w:val="none"/>
          <w:lang w:eastAsia="zh-CN" w:bidi="hi-IN"/>
        </w:rPr>
        <w:t>s</w:t>
      </w:r>
      <w:r>
        <w:rPr>
          <w:rStyle w:val="Rfrenceple"/>
          <w:rFonts w:eastAsia="Garamond" w:cs="Times New Roman"/>
          <w:b w:val="false"/>
          <w:bCs/>
          <w:iCs/>
          <w:caps w:val="false"/>
          <w:smallCaps w:val="false"/>
          <w:color w:val="000000"/>
          <w:kern w:val="2"/>
          <w:u w:val="none"/>
          <w:lang w:eastAsia="zh-CN" w:bidi="hi-IN"/>
        </w:rPr>
        <w:t xml:space="preserve"> </w:t>
      </w:r>
      <w:r>
        <w:rPr>
          <w:rStyle w:val="Rfrenceple"/>
          <w:rFonts w:eastAsia="Garamond" w:cs="Times New Roman"/>
          <w:b w:val="false"/>
          <w:bCs/>
          <w:iCs/>
          <w:caps w:val="false"/>
          <w:smallCaps w:val="false"/>
          <w:color w:val="000000"/>
          <w:kern w:val="2"/>
          <w:u w:val="none"/>
          <w:lang w:eastAsia="zh-CN" w:bidi="hi-IN"/>
        </w:rPr>
        <w:t>dont les archives pourront être versées</w:t>
      </w:r>
      <w:r>
        <w:rPr>
          <w:rStyle w:val="Rfrenceple"/>
          <w:rFonts w:eastAsia="Garamond" w:cs="Times New Roman"/>
          <w:b w:val="false"/>
          <w:bCs/>
          <w:iCs/>
          <w:caps w:val="false"/>
          <w:smallCaps w:val="false"/>
          <w:color w:val="000000"/>
          <w:kern w:val="2"/>
          <w:u w:val="none"/>
          <w:lang w:eastAsia="zh-CN" w:bidi="hi-IN"/>
        </w:rPr>
        <w:t xml:space="preserve"> </w:t>
      </w:r>
      <w:r>
        <w:rPr>
          <w:rStyle w:val="Rfrenceple"/>
          <w:rFonts w:eastAsia="Garamond" w:cs="Times New Roman"/>
          <w:b w:val="false"/>
          <w:bCs/>
          <w:iCs/>
          <w:caps w:val="false"/>
          <w:smallCaps w:val="false"/>
          <w:color w:val="000000"/>
          <w:kern w:val="2"/>
          <w:u w:val="none"/>
          <w:lang w:eastAsia="zh-CN" w:bidi="hi-IN"/>
        </w:rPr>
        <w:t>sont [</w:t>
      </w:r>
      <w:r>
        <w:rPr>
          <w:rStyle w:val="Rfrenceple"/>
          <w:rFonts w:eastAsia="Garamond" w:cs="Times New Roman"/>
          <w:b w:val="false"/>
          <w:bCs/>
          <w:i/>
          <w:iCs/>
          <w:caps w:val="false"/>
          <w:smallCaps w:val="false"/>
          <w:color w:val="000000"/>
          <w:kern w:val="2"/>
          <w:u w:val="none"/>
          <w:lang w:eastAsia="zh-CN" w:bidi="hi-IN"/>
        </w:rPr>
        <w:t xml:space="preserve">liste ou description </w:t>
      </w:r>
      <w:r>
        <w:rPr>
          <w:rStyle w:val="Rfrenceple"/>
          <w:rFonts w:eastAsia="Garamond" w:cs="Times New Roman"/>
          <w:b w:val="false"/>
          <w:bCs/>
          <w:i/>
          <w:iCs/>
          <w:caps w:val="false"/>
          <w:smallCaps w:val="false"/>
          <w:color w:val="000000"/>
          <w:kern w:val="2"/>
          <w:u w:val="none"/>
          <w:lang w:eastAsia="zh-CN" w:bidi="hi-IN"/>
        </w:rPr>
        <w:t xml:space="preserve">des </w:t>
      </w:r>
      <w:r>
        <w:rPr>
          <w:rStyle w:val="Rfrenceple"/>
          <w:rFonts w:eastAsia="Garamond" w:cs="Times New Roman"/>
          <w:b w:val="false"/>
          <w:bCs/>
          <w:i/>
          <w:iCs/>
          <w:caps w:val="false"/>
          <w:smallCaps w:val="false"/>
          <w:color w:val="000000"/>
          <w:kern w:val="2"/>
          <w:u w:val="none"/>
          <w:lang w:eastAsia="zh-CN" w:bidi="hi-IN"/>
        </w:rPr>
        <w:t>S</w:t>
      </w:r>
      <w:r>
        <w:rPr>
          <w:rStyle w:val="Rfrenceple"/>
          <w:rFonts w:eastAsia="Garamond" w:cs="Times New Roman"/>
          <w:b w:val="false"/>
          <w:bCs/>
          <w:i/>
          <w:iCs/>
          <w:caps w:val="false"/>
          <w:smallCaps w:val="false"/>
          <w:color w:val="000000"/>
          <w:kern w:val="2"/>
          <w:u w:val="none"/>
          <w:lang w:eastAsia="zh-CN" w:bidi="hi-IN"/>
        </w:rPr>
        <w:t>ervice</w:t>
      </w:r>
      <w:r>
        <w:rPr>
          <w:rStyle w:val="Rfrenceple"/>
          <w:rFonts w:eastAsia="Garamond" w:cs="Times New Roman"/>
          <w:b w:val="false"/>
          <w:bCs/>
          <w:i/>
          <w:iCs/>
          <w:caps w:val="false"/>
          <w:smallCaps w:val="false"/>
          <w:color w:val="000000"/>
          <w:kern w:val="2"/>
          <w:u w:val="none"/>
          <w:lang w:eastAsia="zh-CN" w:bidi="hi-IN"/>
        </w:rPr>
        <w:t>s</w:t>
      </w:r>
      <w:r>
        <w:rPr>
          <w:rStyle w:val="Rfrenceple"/>
          <w:rFonts w:eastAsia="Garamond" w:cs="Times New Roman"/>
          <w:b w:val="false"/>
          <w:bCs/>
          <w:i/>
          <w:iCs/>
          <w:caps w:val="false"/>
          <w:smallCaps w:val="false"/>
          <w:color w:val="000000"/>
          <w:kern w:val="2"/>
          <w:u w:val="none"/>
          <w:lang w:eastAsia="zh-CN" w:bidi="hi-IN"/>
        </w:rPr>
        <w:t xml:space="preserve"> producteur</w:t>
      </w:r>
      <w:r>
        <w:rPr>
          <w:rStyle w:val="Rfrenceple"/>
          <w:rFonts w:eastAsia="Garamond" w:cs="Times New Roman"/>
          <w:b w:val="false"/>
          <w:bCs/>
          <w:i/>
          <w:iCs/>
          <w:caps w:val="false"/>
          <w:smallCaps w:val="false"/>
          <w:color w:val="000000"/>
          <w:kern w:val="2"/>
          <w:u w:val="none"/>
          <w:lang w:eastAsia="zh-CN" w:bidi="hi-IN"/>
        </w:rPr>
        <w:t>s</w:t>
      </w:r>
      <w:r>
        <w:rPr>
          <w:rStyle w:val="Rfrenceple"/>
          <w:rFonts w:eastAsia="Garamond" w:cs="Times New Roman"/>
          <w:b w:val="false"/>
          <w:bCs/>
          <w:i/>
          <w:iCs/>
          <w:caps w:val="false"/>
          <w:smallCaps w:val="false"/>
          <w:color w:val="000000"/>
          <w:kern w:val="2"/>
          <w:u w:val="none"/>
          <w:lang w:eastAsia="zh-CN" w:bidi="hi-IN"/>
        </w:rPr>
        <w:t xml:space="preserve"> </w:t>
      </w:r>
      <w:r>
        <w:rPr>
          <w:rStyle w:val="Rfrenceple"/>
          <w:rFonts w:eastAsia="Garamond" w:cs="Times New Roman"/>
          <w:b w:val="false"/>
          <w:bCs/>
          <w:i/>
          <w:iCs/>
          <w:caps w:val="false"/>
          <w:smallCaps w:val="false"/>
          <w:color w:val="000000"/>
          <w:kern w:val="2"/>
          <w:u w:val="none"/>
          <w:lang w:eastAsia="zh-CN" w:bidi="hi-IN"/>
        </w:rPr>
        <w:t>pouvant verser leurs archives dans le SAE</w:t>
      </w:r>
      <w:r>
        <w:rPr>
          <w:rStyle w:val="Rfrenceple"/>
          <w:rFonts w:eastAsia="Garamond" w:cs="Times New Roman"/>
          <w:b w:val="false"/>
          <w:bCs/>
          <w:iCs/>
          <w:caps w:val="false"/>
          <w:smallCaps w:val="false"/>
          <w:color w:val="000000"/>
          <w:kern w:val="2"/>
          <w:u w:val="none"/>
          <w:lang w:eastAsia="zh-CN" w:bidi="hi-IN"/>
        </w:rPr>
        <w:t>].</w:t>
      </w:r>
    </w:p>
    <w:p>
      <w:pPr>
        <w:pStyle w:val="Titre4"/>
        <w:numPr>
          <w:ilvl w:val="3"/>
          <w:numId w:val="1"/>
        </w:numPr>
        <w:tabs>
          <w:tab w:val="left" w:pos="0" w:leader="none"/>
        </w:tabs>
        <w:ind w:start="1701" w:end="0" w:hanging="0"/>
        <w:rPr/>
      </w:pPr>
      <w:bookmarkStart w:id="55" w:name="__RefHeading___Toc10729_1000569294"/>
      <w:bookmarkEnd w:id="55"/>
      <w:r>
        <w:rPr>
          <w:rStyle w:val="Rfrenceple"/>
          <w:b w:val="false"/>
          <w:bCs w:val="false"/>
        </w:rPr>
        <w:t>4.2.2 Le Service versant</w:t>
      </w:r>
    </w:p>
    <w:p>
      <w:pPr>
        <w:pStyle w:val="Style31"/>
        <w:rPr/>
      </w:pPr>
      <w:r>
        <w:rPr>
          <w:rStyle w:val="Rfrenceple"/>
          <w:b w:val="false"/>
          <w:bCs w:val="false"/>
          <w:caps w:val="false"/>
          <w:smallCaps w:val="false"/>
          <w:color w:val="000000"/>
        </w:rPr>
        <w:t>Le Service versant est l’entité qui transfère des archives dont il est responsable à un Service d'archives, qu'il les ait produites ou qu'il les ait héritées d'un Service producteur dont il a repris les attributions.</w:t>
      </w:r>
    </w:p>
    <w:p>
      <w:pPr>
        <w:pStyle w:val="Style31"/>
        <w:rPr/>
      </w:pPr>
      <w:r>
        <w:rPr>
          <w:rStyle w:val="Rfrenceple"/>
          <w:rFonts w:eastAsia="Garamond" w:cs="Times New Roman"/>
          <w:b w:val="false"/>
          <w:bCs w:val="false"/>
          <w:iCs/>
          <w:caps w:val="false"/>
          <w:smallCaps w:val="false"/>
          <w:color w:val="000000"/>
          <w:kern w:val="2"/>
          <w:u w:val="none"/>
          <w:lang w:eastAsia="zh-CN" w:bidi="hi-IN"/>
        </w:rPr>
        <w:t>Dans le cadre de [</w:t>
      </w:r>
      <w:r>
        <w:rPr>
          <w:rStyle w:val="Rfrenceple"/>
          <w:rFonts w:eastAsia="Garamond" w:cs="Times New Roman"/>
          <w:b w:val="false"/>
          <w:bCs w:val="false"/>
          <w:i/>
          <w:iCs/>
          <w:caps w:val="false"/>
          <w:smallCaps w:val="false"/>
          <w:color w:val="000000"/>
          <w:kern w:val="2"/>
          <w:u w:val="none"/>
          <w:lang w:eastAsia="zh-CN" w:bidi="hi-IN"/>
        </w:rPr>
        <w:t>nom du SAE</w:t>
      </w:r>
      <w:r>
        <w:rPr>
          <w:rStyle w:val="Rfrenceple"/>
          <w:rFonts w:eastAsia="Garamond" w:cs="Times New Roman"/>
          <w:b w:val="false"/>
          <w:bCs w:val="false"/>
          <w:iCs/>
          <w:caps w:val="false"/>
          <w:smallCaps w:val="false"/>
          <w:color w:val="000000"/>
          <w:kern w:val="2"/>
          <w:u w:val="none"/>
          <w:lang w:eastAsia="zh-CN" w:bidi="hi-IN"/>
        </w:rPr>
        <w:t>], l</w:t>
      </w:r>
      <w:r>
        <w:rPr>
          <w:rStyle w:val="Rfrenceple"/>
          <w:rFonts w:eastAsia="Garamond" w:cs="Times New Roman"/>
          <w:b w:val="false"/>
          <w:bCs w:val="false"/>
          <w:iCs/>
          <w:caps w:val="false"/>
          <w:smallCaps w:val="false"/>
          <w:color w:val="000000"/>
          <w:kern w:val="2"/>
          <w:u w:val="none"/>
          <w:lang w:eastAsia="zh-CN" w:bidi="hi-IN"/>
        </w:rPr>
        <w:t>e</w:t>
      </w:r>
      <w:r>
        <w:rPr>
          <w:rStyle w:val="Rfrenceple"/>
          <w:rFonts w:eastAsia="Garamond" w:cs="Times New Roman"/>
          <w:b w:val="false"/>
          <w:bCs w:val="false"/>
          <w:iCs/>
          <w:caps w:val="false"/>
          <w:smallCaps w:val="false"/>
          <w:color w:val="000000"/>
          <w:kern w:val="2"/>
          <w:u w:val="none"/>
          <w:lang w:eastAsia="zh-CN" w:bidi="hi-IN"/>
        </w:rPr>
        <w:t>s</w:t>
      </w:r>
      <w:r>
        <w:rPr>
          <w:rStyle w:val="Rfrenceple"/>
          <w:rFonts w:eastAsia="Garamond" w:cs="Times New Roman"/>
          <w:b w:val="false"/>
          <w:bCs w:val="false"/>
          <w:iCs/>
          <w:caps w:val="false"/>
          <w:smallCaps w:val="false"/>
          <w:color w:val="000000"/>
          <w:kern w:val="2"/>
          <w:u w:val="none"/>
          <w:lang w:eastAsia="zh-CN" w:bidi="hi-IN"/>
        </w:rPr>
        <w:t xml:space="preserve"> </w:t>
      </w:r>
      <w:r>
        <w:rPr>
          <w:rStyle w:val="Rfrenceple"/>
          <w:rFonts w:eastAsia="Garamond" w:cs="Times New Roman"/>
          <w:b w:val="false"/>
          <w:bCs w:val="false"/>
          <w:iCs/>
          <w:caps w:val="false"/>
          <w:smallCaps w:val="false"/>
          <w:color w:val="000000"/>
          <w:kern w:val="2"/>
          <w:u w:val="none"/>
          <w:lang w:eastAsia="zh-CN" w:bidi="hi-IN"/>
        </w:rPr>
        <w:t>S</w:t>
      </w:r>
      <w:r>
        <w:rPr>
          <w:rStyle w:val="Rfrenceple"/>
          <w:rFonts w:eastAsia="Garamond" w:cs="Times New Roman"/>
          <w:b w:val="false"/>
          <w:bCs w:val="false"/>
          <w:iCs/>
          <w:caps w:val="false"/>
          <w:smallCaps w:val="false"/>
          <w:color w:val="000000"/>
          <w:kern w:val="2"/>
          <w:u w:val="none"/>
          <w:lang w:eastAsia="zh-CN" w:bidi="hi-IN"/>
        </w:rPr>
        <w:t xml:space="preserve">ervices </w:t>
      </w:r>
      <w:r>
        <w:rPr>
          <w:rStyle w:val="Rfrenceple"/>
          <w:rFonts w:eastAsia="Garamond" w:cs="Times New Roman"/>
          <w:b w:val="false"/>
          <w:bCs w:val="false"/>
          <w:iCs/>
          <w:caps w:val="false"/>
          <w:smallCaps w:val="false"/>
          <w:color w:val="000000"/>
          <w:kern w:val="2"/>
          <w:u w:val="none"/>
          <w:lang w:eastAsia="zh-CN" w:bidi="hi-IN"/>
        </w:rPr>
        <w:t>versants</w:t>
      </w:r>
      <w:r>
        <w:rPr>
          <w:rStyle w:val="Rfrenceple"/>
          <w:rFonts w:eastAsia="Garamond" w:cs="Times New Roman"/>
          <w:b w:val="false"/>
          <w:bCs w:val="false"/>
          <w:iCs/>
          <w:caps w:val="false"/>
          <w:smallCaps w:val="false"/>
          <w:color w:val="000000"/>
          <w:kern w:val="2"/>
          <w:u w:val="none"/>
          <w:lang w:eastAsia="zh-CN" w:bidi="hi-IN"/>
        </w:rPr>
        <w:t xml:space="preserve"> </w:t>
      </w:r>
      <w:r>
        <w:rPr>
          <w:rStyle w:val="Rfrenceple"/>
          <w:rFonts w:eastAsia="Garamond" w:cs="Times New Roman"/>
          <w:b w:val="false"/>
          <w:bCs w:val="false"/>
          <w:iCs/>
          <w:caps w:val="false"/>
          <w:smallCaps w:val="false"/>
          <w:color w:val="000000"/>
          <w:kern w:val="2"/>
          <w:u w:val="none"/>
          <w:lang w:eastAsia="zh-CN" w:bidi="hi-IN"/>
        </w:rPr>
        <w:t xml:space="preserve">utilisateurs du système </w:t>
      </w:r>
      <w:r>
        <w:rPr>
          <w:rStyle w:val="Rfrenceple"/>
          <w:rFonts w:eastAsia="Garamond" w:cs="Times New Roman"/>
          <w:b w:val="false"/>
          <w:bCs w:val="false"/>
          <w:iCs/>
          <w:caps w:val="false"/>
          <w:smallCaps w:val="false"/>
          <w:color w:val="000000"/>
          <w:kern w:val="2"/>
          <w:u w:val="none"/>
          <w:lang w:eastAsia="zh-CN" w:bidi="hi-IN"/>
        </w:rPr>
        <w:t>sont [</w:t>
      </w:r>
      <w:r>
        <w:rPr>
          <w:rStyle w:val="Rfrenceple"/>
          <w:rFonts w:eastAsia="Garamond" w:cs="Times New Roman"/>
          <w:b w:val="false"/>
          <w:bCs w:val="false"/>
          <w:i/>
          <w:iCs/>
          <w:caps w:val="false"/>
          <w:smallCaps w:val="false"/>
          <w:color w:val="000000"/>
          <w:kern w:val="2"/>
          <w:u w:val="none"/>
          <w:lang w:eastAsia="zh-CN" w:bidi="hi-IN"/>
        </w:rPr>
        <w:t xml:space="preserve">liste ou description </w:t>
      </w:r>
      <w:r>
        <w:rPr>
          <w:rStyle w:val="Rfrenceple"/>
          <w:rFonts w:eastAsia="Garamond" w:cs="Times New Roman"/>
          <w:b w:val="false"/>
          <w:bCs w:val="false"/>
          <w:i/>
          <w:iCs/>
          <w:caps w:val="false"/>
          <w:smallCaps w:val="false"/>
          <w:color w:val="000000"/>
          <w:kern w:val="2"/>
          <w:u w:val="none"/>
          <w:lang w:eastAsia="zh-CN" w:bidi="hi-IN"/>
        </w:rPr>
        <w:t xml:space="preserve">des </w:t>
      </w:r>
      <w:r>
        <w:rPr>
          <w:rStyle w:val="Rfrenceple"/>
          <w:rFonts w:eastAsia="Garamond" w:cs="Times New Roman"/>
          <w:b w:val="false"/>
          <w:bCs w:val="false"/>
          <w:i/>
          <w:iCs/>
          <w:caps w:val="false"/>
          <w:smallCaps w:val="false"/>
          <w:color w:val="000000"/>
          <w:kern w:val="2"/>
          <w:u w:val="none"/>
          <w:lang w:eastAsia="zh-CN" w:bidi="hi-IN"/>
        </w:rPr>
        <w:t>S</w:t>
      </w:r>
      <w:r>
        <w:rPr>
          <w:rStyle w:val="Rfrenceple"/>
          <w:rFonts w:eastAsia="Garamond" w:cs="Times New Roman"/>
          <w:b w:val="false"/>
          <w:bCs w:val="false"/>
          <w:i/>
          <w:iCs/>
          <w:caps w:val="false"/>
          <w:smallCaps w:val="false"/>
          <w:color w:val="000000"/>
          <w:kern w:val="2"/>
          <w:u w:val="none"/>
          <w:lang w:eastAsia="zh-CN" w:bidi="hi-IN"/>
        </w:rPr>
        <w:t>ervice</w:t>
      </w:r>
      <w:r>
        <w:rPr>
          <w:rStyle w:val="Rfrenceple"/>
          <w:rFonts w:eastAsia="Garamond" w:cs="Times New Roman"/>
          <w:b w:val="false"/>
          <w:bCs w:val="false"/>
          <w:i/>
          <w:iCs/>
          <w:caps w:val="false"/>
          <w:smallCaps w:val="false"/>
          <w:color w:val="000000"/>
          <w:kern w:val="2"/>
          <w:u w:val="none"/>
          <w:lang w:eastAsia="zh-CN" w:bidi="hi-IN"/>
        </w:rPr>
        <w:t>s</w:t>
      </w:r>
      <w:r>
        <w:rPr>
          <w:rStyle w:val="Rfrenceple"/>
          <w:rFonts w:eastAsia="Garamond" w:cs="Times New Roman"/>
          <w:b w:val="false"/>
          <w:bCs w:val="false"/>
          <w:i/>
          <w:iCs/>
          <w:caps w:val="false"/>
          <w:smallCaps w:val="false"/>
          <w:color w:val="000000"/>
          <w:kern w:val="2"/>
          <w:u w:val="none"/>
          <w:lang w:eastAsia="zh-CN" w:bidi="hi-IN"/>
        </w:rPr>
        <w:t xml:space="preserve"> </w:t>
      </w:r>
      <w:r>
        <w:rPr>
          <w:rStyle w:val="Rfrenceple"/>
          <w:rFonts w:eastAsia="Garamond" w:cs="Times New Roman"/>
          <w:b w:val="false"/>
          <w:bCs w:val="false"/>
          <w:i/>
          <w:iCs/>
          <w:caps w:val="false"/>
          <w:smallCaps w:val="false"/>
          <w:color w:val="000000"/>
          <w:kern w:val="2"/>
          <w:u w:val="none"/>
          <w:lang w:eastAsia="zh-CN" w:bidi="hi-IN"/>
        </w:rPr>
        <w:t>versants</w:t>
      </w:r>
      <w:r>
        <w:rPr>
          <w:rStyle w:val="Rfrenceple"/>
          <w:rFonts w:eastAsia="Garamond" w:cs="Times New Roman"/>
          <w:b w:val="false"/>
          <w:bCs w:val="false"/>
          <w:i/>
          <w:iCs/>
          <w:caps w:val="false"/>
          <w:smallCaps w:val="false"/>
          <w:color w:val="000000"/>
          <w:kern w:val="2"/>
          <w:u w:val="none"/>
          <w:lang w:eastAsia="zh-CN" w:bidi="hi-IN"/>
        </w:rPr>
        <w:t xml:space="preserve"> </w:t>
      </w:r>
      <w:r>
        <w:rPr>
          <w:rStyle w:val="Rfrenceple"/>
          <w:rFonts w:eastAsia="Garamond" w:cs="Times New Roman"/>
          <w:b w:val="false"/>
          <w:bCs w:val="false"/>
          <w:i/>
          <w:iCs/>
          <w:caps w:val="false"/>
          <w:smallCaps w:val="false"/>
          <w:color w:val="000000"/>
          <w:kern w:val="2"/>
          <w:u w:val="none"/>
          <w:lang w:eastAsia="zh-CN" w:bidi="hi-IN"/>
        </w:rPr>
        <w:t xml:space="preserve">pouvant </w:t>
      </w:r>
      <w:r>
        <w:rPr>
          <w:rStyle w:val="Rfrenceple"/>
          <w:rFonts w:eastAsia="Garamond" w:cs="Times New Roman"/>
          <w:b w:val="false"/>
          <w:bCs w:val="false"/>
          <w:i/>
          <w:iCs/>
          <w:caps w:val="false"/>
          <w:smallCaps w:val="false"/>
          <w:color w:val="000000"/>
          <w:kern w:val="2"/>
          <w:u w:val="none"/>
          <w:lang w:eastAsia="zh-CN" w:bidi="hi-IN"/>
        </w:rPr>
        <w:t>verser</w:t>
      </w:r>
      <w:r>
        <w:rPr>
          <w:rStyle w:val="Rfrenceple"/>
          <w:rFonts w:eastAsia="Garamond" w:cs="Times New Roman"/>
          <w:b w:val="false"/>
          <w:bCs w:val="false"/>
          <w:i/>
          <w:iCs/>
          <w:caps w:val="false"/>
          <w:smallCaps w:val="false"/>
          <w:color w:val="000000"/>
          <w:kern w:val="2"/>
          <w:u w:val="none"/>
          <w:lang w:eastAsia="zh-CN" w:bidi="hi-IN"/>
        </w:rPr>
        <w:t xml:space="preserve"> leurs archives dans le SAE</w:t>
      </w:r>
      <w:r>
        <w:rPr>
          <w:rStyle w:val="Rfrenceple"/>
          <w:rFonts w:eastAsia="Garamond" w:cs="Times New Roman"/>
          <w:b w:val="false"/>
          <w:bCs w:val="false"/>
          <w:iCs/>
          <w:caps w:val="false"/>
          <w:smallCaps w:val="false"/>
          <w:color w:val="000000"/>
          <w:kern w:val="2"/>
          <w:u w:val="none"/>
          <w:lang w:eastAsia="zh-CN" w:bidi="hi-IN"/>
        </w:rPr>
        <w:t>].</w:t>
      </w:r>
    </w:p>
    <w:p>
      <w:pPr>
        <w:pStyle w:val="Style31"/>
        <w:rPr/>
      </w:pPr>
      <w:r>
        <w:rPr>
          <w:rStyle w:val="Rfrenceple"/>
          <w:rFonts w:eastAsia="Garamond" w:cs="Times New Roman"/>
          <w:b w:val="false"/>
          <w:bCs w:val="false"/>
          <w:iCs/>
          <w:caps w:val="false"/>
          <w:smallCaps w:val="false"/>
          <w:color w:val="000000"/>
          <w:kern w:val="2"/>
          <w:u w:val="none"/>
          <w:lang w:eastAsia="zh-CN" w:bidi="hi-IN"/>
        </w:rPr>
        <w:t xml:space="preserve">Chaque </w:t>
      </w:r>
      <w:r>
        <w:rPr>
          <w:rStyle w:val="Rfrenceple"/>
          <w:rFonts w:eastAsia="Garamond" w:cs="Times New Roman"/>
          <w:b w:val="false"/>
          <w:bCs w:val="false"/>
          <w:iCs/>
          <w:caps w:val="false"/>
          <w:smallCaps w:val="false"/>
          <w:color w:val="000000"/>
          <w:kern w:val="2"/>
          <w:u w:val="none"/>
          <w:lang w:eastAsia="zh-CN" w:bidi="hi-IN"/>
        </w:rPr>
        <w:t>S</w:t>
      </w:r>
      <w:r>
        <w:rPr>
          <w:rStyle w:val="Rfrenceple"/>
          <w:rFonts w:eastAsia="Garamond" w:cs="Times New Roman"/>
          <w:b w:val="false"/>
          <w:bCs w:val="false"/>
          <w:iCs/>
          <w:caps w:val="false"/>
          <w:smallCaps w:val="false"/>
          <w:color w:val="000000"/>
          <w:kern w:val="2"/>
          <w:u w:val="none"/>
          <w:lang w:eastAsia="zh-CN" w:bidi="hi-IN"/>
        </w:rPr>
        <w:t xml:space="preserve">ervice </w:t>
      </w:r>
      <w:r>
        <w:rPr>
          <w:rStyle w:val="Rfrenceple"/>
          <w:rFonts w:eastAsia="Garamond" w:cs="Times New Roman"/>
          <w:b w:val="false"/>
          <w:bCs w:val="false"/>
          <w:iCs/>
          <w:caps w:val="false"/>
          <w:smallCaps w:val="false"/>
          <w:color w:val="000000"/>
          <w:kern w:val="2"/>
          <w:u w:val="none"/>
          <w:lang w:eastAsia="zh-CN" w:bidi="hi-IN"/>
        </w:rPr>
        <w:t xml:space="preserve">versant utilisateur du SAE est lié contractuellement </w:t>
      </w:r>
      <w:r>
        <w:rPr>
          <w:rStyle w:val="Rfrenceple"/>
          <w:rFonts w:eastAsia="Garamond" w:cs="Times New Roman"/>
          <w:b w:val="false"/>
          <w:bCs w:val="false"/>
          <w:iCs/>
          <w:caps w:val="false"/>
          <w:smallCaps w:val="false"/>
          <w:color w:val="000000"/>
          <w:kern w:val="2"/>
          <w:u w:val="none"/>
          <w:lang w:eastAsia="zh-CN" w:bidi="hi-IN"/>
        </w:rPr>
        <w:t>au Service d’archives</w:t>
      </w:r>
      <w:r>
        <w:rPr>
          <w:rStyle w:val="Rfrenceple"/>
          <w:rFonts w:eastAsia="Garamond" w:cs="Times New Roman"/>
          <w:b w:val="false"/>
          <w:bCs w:val="false"/>
          <w:iCs/>
          <w:caps w:val="false"/>
          <w:smallCaps w:val="false"/>
          <w:color w:val="000000"/>
          <w:kern w:val="2"/>
          <w:u w:val="none"/>
          <w:lang w:eastAsia="zh-CN" w:bidi="hi-IN"/>
        </w:rPr>
        <w:t xml:space="preserve"> par un Contrat de service.</w:t>
      </w:r>
    </w:p>
    <w:p>
      <w:pPr>
        <w:pStyle w:val="Titre4"/>
        <w:numPr>
          <w:ilvl w:val="3"/>
          <w:numId w:val="1"/>
        </w:numPr>
        <w:tabs>
          <w:tab w:val="left" w:pos="0" w:leader="none"/>
        </w:tabs>
        <w:ind w:start="1701" w:end="0" w:hanging="0"/>
        <w:rPr/>
      </w:pPr>
      <w:bookmarkStart w:id="56" w:name="__RefHeading___Toc10731_1000569294"/>
      <w:bookmarkEnd w:id="56"/>
      <w:r>
        <w:rPr>
          <w:rStyle w:val="Rfrenceple"/>
          <w:b w:val="false"/>
          <w:bCs w:val="false"/>
        </w:rPr>
        <w:t>[</w:t>
      </w:r>
      <w:r>
        <w:rPr>
          <w:rStyle w:val="Rfrenceple"/>
          <w:b w:val="false"/>
          <w:bCs w:val="false"/>
        </w:rPr>
        <w:t xml:space="preserve">4.2.3 </w:t>
      </w:r>
      <w:r>
        <w:rPr>
          <w:rStyle w:val="Rfrenceple"/>
          <w:b w:val="false"/>
          <w:bCs w:val="false"/>
        </w:rPr>
        <w:t xml:space="preserve">LE CAS ÉCHÉANT </w:t>
      </w:r>
      <w:r>
        <w:rPr>
          <w:rStyle w:val="Rfrenceple"/>
          <w:b w:val="false"/>
          <w:bCs w:val="false"/>
        </w:rPr>
        <w:t>L’Opérateur de versement</w:t>
      </w:r>
    </w:p>
    <w:p>
      <w:pPr>
        <w:pStyle w:val="Style31"/>
        <w:rPr/>
      </w:pPr>
      <w:r>
        <w:rPr>
          <w:rStyle w:val="Rfrenceple"/>
          <w:rFonts w:eastAsia="Garamond" w:cs="Times New Roman"/>
          <w:b w:val="false"/>
          <w:bCs w:val="false"/>
          <w:iCs/>
          <w:caps w:val="false"/>
          <w:smallCaps w:val="false"/>
          <w:color w:val="000000"/>
          <w:kern w:val="2"/>
          <w:u w:val="none"/>
          <w:lang w:eastAsia="zh-CN" w:bidi="hi-IN"/>
        </w:rPr>
        <w:t>L’</w:t>
      </w:r>
      <w:r>
        <w:rPr>
          <w:rStyle w:val="Rfrenceple"/>
          <w:rFonts w:eastAsia="Garamond" w:cs="Times New Roman"/>
          <w:b w:val="false"/>
          <w:bCs w:val="false"/>
          <w:iCs/>
          <w:caps w:val="false"/>
          <w:smallCaps w:val="false"/>
          <w:color w:val="000000"/>
          <w:kern w:val="2"/>
          <w:u w:val="none"/>
          <w:lang w:eastAsia="zh-CN" w:bidi="hi-IN"/>
        </w:rPr>
        <w:t xml:space="preserve">Opérateur de versement </w:t>
      </w:r>
      <w:r>
        <w:rPr>
          <w:rStyle w:val="Rfrenceple"/>
          <w:rFonts w:eastAsia="Garamond" w:cs="Times New Roman"/>
          <w:b w:val="false"/>
          <w:bCs w:val="false"/>
          <w:iCs/>
          <w:caps w:val="false"/>
          <w:smallCaps w:val="false"/>
          <w:color w:val="000000"/>
          <w:kern w:val="2"/>
          <w:u w:val="none"/>
          <w:lang w:eastAsia="zh-CN" w:bidi="hi-IN"/>
        </w:rPr>
        <w:t>est l’</w:t>
      </w:r>
      <w:r>
        <w:rPr>
          <w:rStyle w:val="Rfrenceple"/>
          <w:rFonts w:eastAsia="Garamond" w:cs="Times New Roman"/>
          <w:b w:val="false"/>
          <w:bCs w:val="false"/>
          <w:iCs/>
          <w:caps w:val="false"/>
          <w:smallCaps w:val="false"/>
          <w:color w:val="000000"/>
          <w:kern w:val="2"/>
          <w:u w:val="none"/>
          <w:lang w:eastAsia="zh-CN" w:bidi="hi-IN"/>
        </w:rPr>
        <w:t>e</w:t>
      </w:r>
      <w:r>
        <w:rPr>
          <w:rStyle w:val="Rfrenceple"/>
          <w:rFonts w:eastAsia="Garamond" w:cs="Times New Roman"/>
          <w:b w:val="false"/>
          <w:bCs/>
          <w:iCs/>
          <w:caps w:val="false"/>
          <w:smallCaps w:val="false"/>
          <w:color w:val="000000"/>
          <w:kern w:val="2"/>
          <w:u w:val="none"/>
          <w:lang w:eastAsia="zh-CN" w:bidi="hi-IN"/>
        </w:rPr>
        <w:t>ntité chargée des opérations techniques de transfert des archives demandées par un Service versant, mais qui n'est ni le Service producteur ni le Service versant.</w:t>
      </w:r>
    </w:p>
    <w:p>
      <w:pPr>
        <w:pStyle w:val="Style31"/>
        <w:rPr/>
      </w:pPr>
      <w:r>
        <w:rPr>
          <w:rStyle w:val="Rfrenceple"/>
          <w:rFonts w:eastAsia="Garamond" w:cs="Times New Roman"/>
          <w:b w:val="false"/>
          <w:bCs/>
          <w:iCs/>
          <w:caps w:val="false"/>
          <w:smallCaps w:val="false"/>
          <w:color w:val="000000"/>
          <w:kern w:val="2"/>
          <w:u w:val="none"/>
          <w:lang w:eastAsia="zh-CN" w:bidi="hi-IN"/>
        </w:rPr>
        <w:t>Au sein de [</w:t>
      </w:r>
      <w:r>
        <w:rPr>
          <w:rStyle w:val="Rfrenceple"/>
          <w:rFonts w:eastAsia="Garamond" w:cs="Times New Roman"/>
          <w:b w:val="false"/>
          <w:bCs/>
          <w:i/>
          <w:iCs/>
          <w:caps w:val="false"/>
          <w:smallCaps w:val="false"/>
          <w:color w:val="000000"/>
          <w:kern w:val="2"/>
          <w:u w:val="none"/>
          <w:lang w:eastAsia="zh-CN" w:bidi="hi-IN"/>
        </w:rPr>
        <w:t>nom de la structure</w:t>
      </w:r>
      <w:r>
        <w:rPr>
          <w:rStyle w:val="Rfrenceple"/>
          <w:rFonts w:eastAsia="Garamond" w:cs="Times New Roman"/>
          <w:b w:val="false"/>
          <w:bCs/>
          <w:iCs/>
          <w:caps w:val="false"/>
          <w:smallCaps w:val="false"/>
          <w:color w:val="000000"/>
          <w:kern w:val="2"/>
          <w:u w:val="none"/>
          <w:lang w:eastAsia="zh-CN" w:bidi="hi-IN"/>
        </w:rPr>
        <w:t xml:space="preserve">], </w:t>
      </w:r>
      <w:r>
        <w:rPr>
          <w:rStyle w:val="Rfrenceple"/>
          <w:rFonts w:eastAsia="Garamond" w:cs="Times New Roman"/>
          <w:b w:val="false"/>
          <w:bCs/>
          <w:iCs/>
          <w:caps w:val="false"/>
          <w:smallCaps w:val="false"/>
          <w:color w:val="000000"/>
          <w:kern w:val="2"/>
          <w:u w:val="none"/>
          <w:lang w:eastAsia="zh-CN" w:bidi="hi-IN"/>
        </w:rPr>
        <w:t>l’Opérateur de versement est</w:t>
      </w:r>
      <w:r>
        <w:rPr>
          <w:rStyle w:val="Rfrenceple"/>
          <w:rFonts w:eastAsia="Garamond" w:cs="Times New Roman"/>
          <w:b w:val="false"/>
          <w:bCs/>
          <w:iCs/>
          <w:caps w:val="false"/>
          <w:smallCaps w:val="false"/>
          <w:color w:val="000000"/>
          <w:kern w:val="2"/>
          <w:u w:val="none"/>
          <w:lang w:eastAsia="zh-CN" w:bidi="hi-IN"/>
        </w:rPr>
        <w:t xml:space="preserve"> [</w:t>
      </w:r>
      <w:r>
        <w:rPr>
          <w:rStyle w:val="Rfrenceple"/>
          <w:rFonts w:eastAsia="Garamond" w:cs="Times New Roman"/>
          <w:b w:val="false"/>
          <w:bCs/>
          <w:i/>
          <w:iCs/>
          <w:caps w:val="false"/>
          <w:smallCaps w:val="false"/>
          <w:color w:val="000000"/>
          <w:kern w:val="2"/>
          <w:u w:val="none"/>
          <w:lang w:eastAsia="zh-CN" w:bidi="hi-IN"/>
        </w:rPr>
        <w:t>nom d</w:t>
      </w:r>
      <w:r>
        <w:rPr>
          <w:rStyle w:val="Rfrenceple"/>
          <w:rFonts w:eastAsia="Garamond" w:cs="Times New Roman"/>
          <w:b w:val="false"/>
          <w:bCs/>
          <w:i/>
          <w:iCs/>
          <w:caps w:val="false"/>
          <w:smallCaps w:val="false"/>
          <w:color w:val="000000"/>
          <w:kern w:val="2"/>
          <w:u w:val="none"/>
          <w:lang w:eastAsia="zh-CN" w:bidi="hi-IN"/>
        </w:rPr>
        <w:t>e l’</w:t>
      </w:r>
      <w:r>
        <w:rPr>
          <w:rStyle w:val="Rfrenceple"/>
          <w:rFonts w:eastAsia="Garamond" w:cs="Times New Roman"/>
          <w:b w:val="false"/>
          <w:bCs/>
          <w:i/>
          <w:iCs/>
          <w:caps w:val="false"/>
          <w:smallCaps w:val="false"/>
          <w:color w:val="000000"/>
          <w:kern w:val="2"/>
          <w:u w:val="none"/>
          <w:lang w:eastAsia="zh-CN" w:bidi="hi-IN"/>
        </w:rPr>
        <w:t xml:space="preserve">/des </w:t>
      </w:r>
      <w:r>
        <w:rPr>
          <w:rStyle w:val="Rfrenceple"/>
          <w:rFonts w:eastAsia="Garamond" w:cs="Times New Roman"/>
          <w:b w:val="false"/>
          <w:bCs/>
          <w:i/>
          <w:iCs/>
          <w:caps w:val="false"/>
          <w:smallCaps w:val="false"/>
          <w:color w:val="000000"/>
          <w:kern w:val="2"/>
          <w:u w:val="none"/>
          <w:lang w:eastAsia="zh-CN" w:bidi="hi-IN"/>
        </w:rPr>
        <w:t>Opérateur(s) de versement</w:t>
      </w:r>
      <w:r>
        <w:rPr>
          <w:rStyle w:val="Rfrenceple"/>
          <w:rFonts w:eastAsia="Garamond" w:cs="Times New Roman"/>
          <w:b w:val="false"/>
          <w:bCs/>
          <w:iCs/>
          <w:caps w:val="false"/>
          <w:smallCaps w:val="false"/>
          <w:color w:val="000000"/>
          <w:kern w:val="2"/>
          <w:u w:val="none"/>
          <w:lang w:eastAsia="zh-CN" w:bidi="hi-IN"/>
        </w:rPr>
        <w:t>].</w:t>
      </w:r>
      <w:r>
        <w:rPr>
          <w:rStyle w:val="Rfrenceple"/>
          <w:rFonts w:eastAsia="Garamond" w:cs="Times New Roman"/>
          <w:b w:val="false"/>
          <w:bCs/>
          <w:iCs/>
          <w:caps w:val="false"/>
          <w:smallCaps w:val="false"/>
          <w:color w:val="000000"/>
          <w:kern w:val="2"/>
          <w:u w:val="none"/>
          <w:lang w:eastAsia="zh-CN" w:bidi="hi-IN"/>
        </w:rPr>
        <w:t>]</w:t>
      </w:r>
    </w:p>
    <w:p>
      <w:pPr>
        <w:pStyle w:val="Titre4"/>
        <w:numPr>
          <w:ilvl w:val="3"/>
          <w:numId w:val="1"/>
        </w:numPr>
        <w:tabs>
          <w:tab w:val="left" w:pos="0" w:leader="none"/>
        </w:tabs>
        <w:ind w:start="1701" w:end="0" w:hanging="0"/>
        <w:rPr/>
      </w:pPr>
      <w:bookmarkStart w:id="57" w:name="__RefHeading___Toc10733_1000569294"/>
      <w:bookmarkEnd w:id="57"/>
      <w:r>
        <w:rPr>
          <w:rStyle w:val="Rfrenceple"/>
          <w:rFonts w:eastAsia="Garamond" w:cs="Times New Roman" w:ascii="Trebuchet MS" w:hAnsi="Trebuchet MS"/>
          <w:b w:val="false"/>
          <w:bCs w:val="false"/>
          <w:iCs/>
          <w:color w:val="000099"/>
          <w:kern w:val="2"/>
          <w:u w:val="none"/>
          <w:lang w:eastAsia="zh-CN" w:bidi="hi-IN"/>
        </w:rPr>
        <w:t>4.2.</w:t>
      </w:r>
      <w:r>
        <w:rPr>
          <w:rStyle w:val="Rfrenceple"/>
          <w:rFonts w:eastAsia="Garamond" w:cs="Times New Roman" w:ascii="Trebuchet MS" w:hAnsi="Trebuchet MS"/>
          <w:b w:val="false"/>
          <w:bCs w:val="false"/>
          <w:iCs/>
          <w:color w:val="000099"/>
          <w:kern w:val="2"/>
          <w:u w:val="none"/>
          <w:lang w:eastAsia="zh-CN" w:bidi="hi-IN"/>
        </w:rPr>
        <w:t>4</w:t>
      </w:r>
      <w:r>
        <w:rPr>
          <w:rStyle w:val="Rfrenceple"/>
          <w:rFonts w:eastAsia="Garamond" w:cs="Times New Roman" w:ascii="Trebuchet MS" w:hAnsi="Trebuchet MS"/>
          <w:b w:val="false"/>
          <w:bCs w:val="false"/>
          <w:iCs/>
          <w:color w:val="000099"/>
          <w:kern w:val="2"/>
          <w:u w:val="none"/>
          <w:lang w:eastAsia="zh-CN" w:bidi="hi-IN"/>
        </w:rPr>
        <w:t xml:space="preserve"> Le Service d’archives</w:t>
      </w:r>
    </w:p>
    <w:p>
      <w:pPr>
        <w:pStyle w:val="Style31"/>
        <w:rPr/>
      </w:pPr>
      <w:r>
        <w:rPr>
          <w:rStyle w:val="Rfrenceple"/>
          <w:b w:val="false"/>
          <w:bCs w:val="false"/>
          <w:caps w:val="false"/>
          <w:smallCaps w:val="false"/>
          <w:color w:val="000000"/>
        </w:rPr>
        <w:t>Le Service d’archives est l’entité de</w:t>
      </w:r>
      <w:r>
        <w:rPr>
          <w:rStyle w:val="Rfrenceple"/>
          <w:b w:val="false"/>
          <w:caps w:val="false"/>
          <w:smallCaps w:val="false"/>
          <w:color w:val="000000"/>
        </w:rPr>
        <w:t xml:space="preserve">stinataire du transfert </w:t>
      </w:r>
      <w:r>
        <w:rPr>
          <w:rStyle w:val="Rfrenceple"/>
          <w:b w:val="false"/>
          <w:caps w:val="false"/>
          <w:smallCaps w:val="false"/>
          <w:color w:val="000000"/>
        </w:rPr>
        <w:t>des archives</w:t>
      </w:r>
      <w:r>
        <w:rPr>
          <w:rStyle w:val="Rfrenceple"/>
          <w:b w:val="false"/>
          <w:caps w:val="false"/>
          <w:smallCaps w:val="false"/>
          <w:color w:val="000000"/>
        </w:rPr>
        <w:t xml:space="preserve"> et assurant la gestion des informations transférées par les Services </w:t>
      </w:r>
      <w:r>
        <w:rPr>
          <w:rStyle w:val="Rfrenceple"/>
          <w:b w:val="false"/>
          <w:caps w:val="false"/>
          <w:smallCaps w:val="false"/>
          <w:color w:val="000000"/>
        </w:rPr>
        <w:t xml:space="preserve">producteurs et </w:t>
      </w:r>
      <w:r>
        <w:rPr>
          <w:rStyle w:val="Rfrenceple"/>
          <w:b w:val="false"/>
          <w:caps w:val="false"/>
          <w:smallCaps w:val="false"/>
          <w:color w:val="000000"/>
        </w:rPr>
        <w:t>versants et destinées à être communiquées aux Demandeurs dans le respect des conditions légales, réglementaires e</w:t>
      </w:r>
      <w:r>
        <w:rPr>
          <w:rStyle w:val="Rfrenceple"/>
          <w:b w:val="false"/>
          <w:caps w:val="false"/>
          <w:smallCaps w:val="false"/>
          <w:color w:val="000000"/>
        </w:rPr>
        <w:t>t</w:t>
      </w:r>
      <w:r>
        <w:rPr>
          <w:rStyle w:val="Rfrenceple"/>
          <w:b w:val="false"/>
          <w:caps w:val="false"/>
          <w:smallCaps w:val="false"/>
          <w:color w:val="000000"/>
        </w:rPr>
        <w:t>/ou contractuelles.</w:t>
      </w:r>
    </w:p>
    <w:p>
      <w:pPr>
        <w:pStyle w:val="Style31"/>
        <w:rPr/>
      </w:pPr>
      <w:r>
        <w:rPr>
          <w:rStyle w:val="Rfrenceple"/>
          <w:b w:val="false"/>
          <w:caps w:val="false"/>
          <w:smallCaps w:val="false"/>
          <w:color w:val="000000"/>
        </w:rPr>
        <w:t>Dans le cadre de [</w:t>
      </w:r>
      <w:r>
        <w:rPr>
          <w:rStyle w:val="Rfrenceple"/>
          <w:b w:val="false"/>
          <w:i/>
          <w:iCs/>
          <w:caps w:val="false"/>
          <w:smallCaps w:val="false"/>
          <w:color w:val="000000"/>
        </w:rPr>
        <w:t>nom du SAE</w:t>
      </w:r>
      <w:r>
        <w:rPr>
          <w:rStyle w:val="Rfrenceple"/>
          <w:b w:val="false"/>
          <w:caps w:val="false"/>
          <w:smallCaps w:val="false"/>
          <w:color w:val="000000"/>
        </w:rPr>
        <w:t>]</w:t>
      </w:r>
      <w:r>
        <w:rPr>
          <w:rStyle w:val="Rfrenceple"/>
          <w:b w:val="false"/>
          <w:caps w:val="false"/>
          <w:smallCaps w:val="false"/>
          <w:color w:val="000000"/>
        </w:rPr>
        <w:t>, [</w:t>
      </w:r>
      <w:r>
        <w:rPr>
          <w:rStyle w:val="Rfrenceple"/>
          <w:b w:val="false"/>
          <w:i/>
          <w:iCs/>
          <w:caps w:val="false"/>
          <w:smallCaps w:val="false"/>
          <w:color w:val="000000"/>
        </w:rPr>
        <w:t xml:space="preserve">nom du </w:t>
      </w:r>
      <w:r>
        <w:rPr>
          <w:rStyle w:val="Rfrenceple"/>
          <w:b w:val="false"/>
          <w:i/>
          <w:iCs/>
          <w:caps w:val="false"/>
          <w:smallCaps w:val="false"/>
          <w:color w:val="000000"/>
        </w:rPr>
        <w:t>S</w:t>
      </w:r>
      <w:r>
        <w:rPr>
          <w:rStyle w:val="Rfrenceple"/>
          <w:b w:val="false"/>
          <w:i/>
          <w:iCs/>
          <w:caps w:val="false"/>
          <w:smallCaps w:val="false"/>
          <w:color w:val="000000"/>
        </w:rPr>
        <w:t xml:space="preserve">ervice </w:t>
      </w:r>
      <w:r>
        <w:rPr>
          <w:rStyle w:val="Rfrenceple"/>
          <w:b w:val="false"/>
          <w:i/>
          <w:iCs/>
          <w:caps w:val="false"/>
          <w:smallCaps w:val="false"/>
          <w:color w:val="000000"/>
        </w:rPr>
        <w:t>d’archives</w:t>
      </w:r>
      <w:r>
        <w:rPr>
          <w:rStyle w:val="Rfrenceple"/>
          <w:b w:val="false"/>
          <w:caps w:val="false"/>
          <w:smallCaps w:val="false"/>
          <w:color w:val="000000"/>
        </w:rPr>
        <w:t xml:space="preserve">] </w:t>
      </w:r>
      <w:r>
        <w:rPr>
          <w:rStyle w:val="Rfrenceple"/>
          <w:b w:val="false"/>
          <w:caps w:val="false"/>
          <w:smallCaps w:val="false"/>
          <w:color w:val="000000"/>
        </w:rPr>
        <w:t xml:space="preserve">est le Service d’archives. </w:t>
      </w:r>
      <w:r>
        <w:rPr>
          <w:rStyle w:val="Rfrenceple"/>
          <w:b w:val="false"/>
          <w:caps w:val="false"/>
          <w:smallCaps w:val="false"/>
          <w:color w:val="000000"/>
        </w:rPr>
        <w:t>Il jo</w:t>
      </w:r>
      <w:r>
        <w:rPr>
          <w:rStyle w:val="Rfrenceple"/>
          <w:b w:val="false"/>
          <w:caps w:val="false"/>
          <w:smallCaps w:val="false"/>
          <w:color w:val="000000"/>
        </w:rPr>
        <w:t>ue le rôle d’Autorité d’archivage</w:t>
      </w:r>
      <w:r>
        <w:rPr>
          <w:rStyle w:val="Rfrenceple"/>
          <w:rFonts w:eastAsia="Garamond" w:cs="Garamond"/>
          <w:b w:val="false"/>
          <w:bCs w:val="false"/>
          <w:i/>
          <w:iCs/>
          <w:caps w:val="false"/>
          <w:smallCaps w:val="false"/>
          <w:color w:val="000000"/>
        </w:rPr>
        <w:t xml:space="preserve"> </w:t>
      </w:r>
      <w:r>
        <w:rPr>
          <w:rStyle w:val="Rfrenceple"/>
          <w:rFonts w:eastAsia="Garamond" w:cs="Garamond"/>
          <w:b w:val="false"/>
          <w:bCs w:val="false"/>
          <w:i w:val="false"/>
          <w:iCs w:val="false"/>
          <w:caps w:val="false"/>
          <w:smallCaps w:val="false"/>
          <w:color w:val="000000"/>
        </w:rPr>
        <w:t xml:space="preserve">et détient à ce titre la </w:t>
      </w:r>
      <w:r>
        <w:rPr>
          <w:rStyle w:val="Rfrenceple"/>
          <w:rFonts w:eastAsia="Garamond" w:cs="Garamond"/>
          <w:b w:val="false"/>
          <w:bCs w:val="false"/>
          <w:i w:val="false"/>
          <w:iCs w:val="false"/>
          <w:caps w:val="false"/>
          <w:smallCaps w:val="false"/>
          <w:color w:val="000000"/>
          <w:kern w:val="2"/>
          <w:u w:val="none"/>
          <w:lang w:eastAsia="zh-CN" w:bidi="hi-IN"/>
        </w:rPr>
        <w:t xml:space="preserve">responsabilité des services fournis dans le cadre du SAE </w:t>
      </w:r>
      <w:r>
        <w:rPr>
          <w:rStyle w:val="Rfrenceple"/>
          <w:rFonts w:eastAsia="Garamond" w:cs="Garamond"/>
          <w:b w:val="false"/>
          <w:bCs w:val="false"/>
          <w:i w:val="false"/>
          <w:iCs w:val="false"/>
          <w:caps w:val="false"/>
          <w:smallCaps w:val="false"/>
          <w:color w:val="000000"/>
          <w:kern w:val="2"/>
          <w:u w:val="none"/>
          <w:lang w:eastAsia="zh-CN" w:bidi="hi-IN"/>
        </w:rPr>
        <w:t>et décrits à l’article 5 de la présente Politique d’archivage</w:t>
      </w:r>
      <w:r>
        <w:rPr>
          <w:rStyle w:val="Rfrenceple"/>
          <w:rFonts w:eastAsia="Garamond" w:cs="Garamond"/>
          <w:b w:val="false"/>
          <w:bCs w:val="false"/>
          <w:i w:val="false"/>
          <w:iCs w:val="false"/>
          <w:caps w:val="false"/>
          <w:smallCaps w:val="false"/>
          <w:color w:val="000000"/>
          <w:kern w:val="2"/>
          <w:u w:val="none"/>
          <w:lang w:eastAsia="zh-CN" w:bidi="hi-IN"/>
        </w:rPr>
        <w:t>.</w:t>
      </w:r>
    </w:p>
    <w:p>
      <w:pPr>
        <w:pStyle w:val="Titre4"/>
        <w:numPr>
          <w:ilvl w:val="3"/>
          <w:numId w:val="1"/>
        </w:numPr>
        <w:tabs>
          <w:tab w:val="left" w:pos="0" w:leader="none"/>
        </w:tabs>
        <w:ind w:start="1701" w:end="0" w:hanging="0"/>
        <w:rPr/>
      </w:pPr>
      <w:bookmarkStart w:id="58" w:name="__RefHeading___Toc10737_1000569294"/>
      <w:bookmarkEnd w:id="58"/>
      <w:r>
        <w:rPr>
          <w:rStyle w:val="Rfrenceple"/>
          <w:b w:val="false"/>
          <w:bCs w:val="false"/>
        </w:rPr>
        <w:t>4.2.5 Le Demandeur</w:t>
      </w:r>
    </w:p>
    <w:p>
      <w:pPr>
        <w:pStyle w:val="Style31"/>
        <w:rPr/>
      </w:pPr>
      <w:r>
        <w:rPr>
          <w:rStyle w:val="Rfrenceple"/>
          <w:b w:val="false"/>
          <w:bCs w:val="false"/>
          <w:caps w:val="false"/>
          <w:smallCaps w:val="false"/>
          <w:color w:val="000000"/>
        </w:rPr>
        <w:t xml:space="preserve">Le </w:t>
      </w:r>
      <w:r>
        <w:rPr>
          <w:rStyle w:val="Rfrenceple"/>
          <w:b w:val="false"/>
          <w:bCs w:val="false"/>
          <w:caps w:val="false"/>
          <w:smallCaps w:val="false"/>
          <w:color w:val="000000"/>
        </w:rPr>
        <w:t>Demandeur désigne t</w:t>
      </w:r>
      <w:r>
        <w:rPr>
          <w:rStyle w:val="Rfrenceple"/>
          <w:b w:val="false"/>
          <w:caps w:val="false"/>
          <w:smallCaps w:val="false"/>
          <w:color w:val="000000"/>
        </w:rPr>
        <w:t>oute personne physique ou morale qui souhaite consulter les informations conservées par le Service d’archives dans le respect des conditions légales, réglementaires ou contractuelles en vigueur.</w:t>
      </w:r>
    </w:p>
    <w:p>
      <w:pPr>
        <w:pStyle w:val="Style31"/>
        <w:rPr/>
      </w:pPr>
      <w:r>
        <w:rPr>
          <w:rStyle w:val="Rfrenceple"/>
          <w:rFonts w:eastAsia="Garamond" w:cs="Times New Roman"/>
          <w:b w:val="false"/>
          <w:bCs/>
          <w:iCs/>
          <w:caps w:val="false"/>
          <w:smallCaps w:val="false"/>
          <w:color w:val="000000"/>
          <w:kern w:val="2"/>
          <w:u w:val="none"/>
          <w:lang w:eastAsia="zh-CN" w:bidi="hi-IN"/>
        </w:rPr>
        <w:t>Dans le cadre de [</w:t>
      </w:r>
      <w:r>
        <w:rPr>
          <w:rStyle w:val="Rfrenceple"/>
          <w:rFonts w:eastAsia="Garamond" w:cs="Times New Roman"/>
          <w:b w:val="false"/>
          <w:bCs/>
          <w:i/>
          <w:iCs/>
          <w:caps w:val="false"/>
          <w:smallCaps w:val="false"/>
          <w:color w:val="000000"/>
          <w:kern w:val="2"/>
          <w:u w:val="none"/>
          <w:lang w:eastAsia="zh-CN" w:bidi="hi-IN"/>
        </w:rPr>
        <w:t>nom du SAE</w:t>
      </w:r>
      <w:r>
        <w:rPr>
          <w:rStyle w:val="Rfrenceple"/>
          <w:rFonts w:eastAsia="Garamond" w:cs="Times New Roman"/>
          <w:b w:val="false"/>
          <w:bCs/>
          <w:i/>
          <w:iCs/>
          <w:caps w:val="false"/>
          <w:smallCaps w:val="false"/>
          <w:color w:val="000000"/>
          <w:kern w:val="2"/>
          <w:u w:val="none"/>
          <w:lang w:eastAsia="zh-CN" w:bidi="hi-IN"/>
        </w:rPr>
        <w:t>]</w:t>
      </w:r>
      <w:r>
        <w:rPr>
          <w:rStyle w:val="Rfrenceple"/>
          <w:rFonts w:eastAsia="Garamond" w:cs="Times New Roman"/>
          <w:b w:val="false"/>
          <w:bCs/>
          <w:iCs/>
          <w:caps w:val="false"/>
          <w:smallCaps w:val="false"/>
          <w:color w:val="000000"/>
          <w:kern w:val="2"/>
          <w:u w:val="none"/>
          <w:lang w:eastAsia="zh-CN" w:bidi="hi-IN"/>
        </w:rPr>
        <w:t xml:space="preserve">, </w:t>
      </w:r>
      <w:r>
        <w:rPr>
          <w:rStyle w:val="Rfrenceple"/>
          <w:rFonts w:eastAsia="Garamond" w:cs="Times New Roman"/>
          <w:b w:val="false"/>
          <w:bCs/>
          <w:iCs/>
          <w:caps w:val="false"/>
          <w:smallCaps w:val="false"/>
          <w:color w:val="000000"/>
          <w:kern w:val="2"/>
          <w:u w:val="none"/>
          <w:lang w:eastAsia="zh-CN" w:bidi="hi-IN"/>
        </w:rPr>
        <w:t>les Demandeurs sont [</w:t>
      </w:r>
      <w:r>
        <w:rPr>
          <w:rStyle w:val="Rfrenceple"/>
          <w:rFonts w:eastAsia="Garamond" w:cs="Times New Roman"/>
          <w:b w:val="false"/>
          <w:bCs/>
          <w:i/>
          <w:iCs/>
          <w:caps w:val="false"/>
          <w:smallCaps w:val="false"/>
          <w:color w:val="000000"/>
          <w:kern w:val="2"/>
          <w:u w:val="none"/>
          <w:lang w:eastAsia="zh-CN" w:bidi="hi-IN"/>
        </w:rPr>
        <w:t xml:space="preserve">préciser </w:t>
      </w:r>
      <w:r>
        <w:rPr>
          <w:rStyle w:val="Rfrenceple"/>
          <w:rFonts w:eastAsia="Garamond" w:cs="Times New Roman"/>
          <w:b w:val="false"/>
          <w:bCs/>
          <w:i/>
          <w:iCs/>
          <w:caps w:val="false"/>
          <w:smallCaps w:val="false"/>
          <w:color w:val="000000"/>
          <w:kern w:val="2"/>
          <w:u w:val="none"/>
          <w:lang w:eastAsia="zh-CN" w:bidi="hi-IN"/>
        </w:rPr>
        <w:t>quelles</w:t>
      </w:r>
      <w:r>
        <w:rPr>
          <w:rStyle w:val="Rfrenceple"/>
          <w:rFonts w:eastAsia="Garamond" w:cs="Times New Roman"/>
          <w:b w:val="false"/>
          <w:bCs/>
          <w:i/>
          <w:iCs/>
          <w:caps w:val="false"/>
          <w:smallCaps w:val="false"/>
          <w:color w:val="000000"/>
          <w:kern w:val="2"/>
          <w:u w:val="none"/>
          <w:lang w:eastAsia="zh-CN" w:bidi="hi-IN"/>
        </w:rPr>
        <w:t xml:space="preserve"> sont les entités pouvant demander communication des archives</w:t>
      </w:r>
      <w:r>
        <w:rPr>
          <w:rStyle w:val="Rfrenceple"/>
          <w:rFonts w:eastAsia="Garamond" w:cs="Times New Roman"/>
          <w:b w:val="false"/>
          <w:bCs/>
          <w:iCs/>
          <w:caps w:val="false"/>
          <w:smallCaps w:val="false"/>
          <w:color w:val="000000"/>
          <w:kern w:val="2"/>
          <w:u w:val="none"/>
          <w:lang w:eastAsia="zh-CN" w:bidi="hi-IN"/>
        </w:rPr>
        <w:t>].</w:t>
      </w:r>
    </w:p>
    <w:p>
      <w:pPr>
        <w:pStyle w:val="Titre4"/>
        <w:numPr>
          <w:ilvl w:val="3"/>
          <w:numId w:val="1"/>
        </w:numPr>
        <w:tabs>
          <w:tab w:val="left" w:pos="0" w:leader="none"/>
        </w:tabs>
        <w:ind w:start="1701" w:end="0" w:hanging="0"/>
        <w:rPr/>
      </w:pPr>
      <w:bookmarkStart w:id="59" w:name="__RefHeading___Toc10739_1000569294"/>
      <w:bookmarkEnd w:id="59"/>
      <w:r>
        <w:rPr>
          <w:rStyle w:val="Rfrenceple"/>
          <w:rFonts w:eastAsia="Garamond" w:cs="Times New Roman" w:ascii="Trebuchet MS" w:hAnsi="Trebuchet MS"/>
          <w:b w:val="false"/>
          <w:bCs w:val="false"/>
          <w:iCs/>
          <w:color w:val="000099"/>
          <w:kern w:val="2"/>
          <w:u w:val="none"/>
          <w:lang w:eastAsia="zh-CN" w:bidi="hi-IN"/>
        </w:rPr>
        <w:t>4.2.</w:t>
      </w:r>
      <w:r>
        <w:rPr>
          <w:rStyle w:val="Rfrenceple"/>
          <w:rFonts w:eastAsia="Garamond" w:cs="Times New Roman" w:ascii="Trebuchet MS" w:hAnsi="Trebuchet MS"/>
          <w:b w:val="false"/>
          <w:bCs w:val="false"/>
          <w:iCs/>
          <w:color w:val="000099"/>
          <w:kern w:val="2"/>
          <w:u w:val="none"/>
          <w:lang w:eastAsia="zh-CN" w:bidi="hi-IN"/>
        </w:rPr>
        <w:t>6</w:t>
      </w:r>
      <w:r>
        <w:rPr>
          <w:rStyle w:val="Rfrenceple"/>
          <w:rFonts w:eastAsia="Garamond" w:cs="Times New Roman" w:ascii="Trebuchet MS" w:hAnsi="Trebuchet MS"/>
          <w:b w:val="false"/>
          <w:bCs w:val="false"/>
          <w:iCs/>
          <w:color w:val="000099"/>
          <w:kern w:val="2"/>
          <w:u w:val="none"/>
          <w:lang w:eastAsia="zh-CN" w:bidi="hi-IN"/>
        </w:rPr>
        <w:t xml:space="preserve"> </w:t>
      </w:r>
      <w:r>
        <w:rPr>
          <w:rStyle w:val="Rfrenceple"/>
          <w:rFonts w:eastAsia="Garamond" w:cs="Times New Roman" w:ascii="Trebuchet MS" w:hAnsi="Trebuchet MS"/>
          <w:b w:val="false"/>
          <w:bCs w:val="false"/>
          <w:iCs/>
          <w:color w:val="000099"/>
          <w:kern w:val="2"/>
          <w:u w:val="none"/>
          <w:lang w:eastAsia="zh-CN" w:bidi="hi-IN"/>
        </w:rPr>
        <w:t>Le Contrôle scientifique et technique</w:t>
      </w:r>
    </w:p>
    <w:p>
      <w:pPr>
        <w:pStyle w:val="Style31"/>
        <w:rPr/>
      </w:pPr>
      <w:r>
        <w:rPr>
          <w:rStyle w:val="Rfrenceple"/>
          <w:b w:val="false"/>
          <w:bCs w:val="false"/>
          <w:caps w:val="false"/>
          <w:smallCaps w:val="false"/>
          <w:color w:val="000000"/>
        </w:rPr>
        <w:t>L’</w:t>
      </w:r>
      <w:r>
        <w:rPr>
          <w:rStyle w:val="Rfrenceple"/>
          <w:b w:val="false"/>
          <w:bCs w:val="false"/>
          <w:caps w:val="false"/>
          <w:smallCaps w:val="false"/>
          <w:color w:val="000000"/>
        </w:rPr>
        <w:t>autorité en charge du contrôle scientifique et technique de l’État sur les archives publiques</w:t>
      </w:r>
      <w:r>
        <w:rPr>
          <w:rStyle w:val="Rfrenceple"/>
          <w:b w:val="false"/>
          <w:caps w:val="false"/>
          <w:smallCaps w:val="false"/>
          <w:color w:val="000000"/>
        </w:rPr>
        <w:t xml:space="preserve"> </w:t>
      </w:r>
      <w:r>
        <w:rPr>
          <w:rStyle w:val="Rfrenceple"/>
          <w:b w:val="false"/>
          <w:caps w:val="false"/>
          <w:smallCaps w:val="false"/>
          <w:color w:val="000000"/>
        </w:rPr>
        <w:t xml:space="preserve">audite et contrôle la conformité des services rendus par le SAE. </w:t>
      </w:r>
      <w:r>
        <w:rPr>
          <w:rStyle w:val="Rfrenceple"/>
          <w:b w:val="false"/>
          <w:caps w:val="false"/>
          <w:smallCaps w:val="false"/>
          <w:color w:val="000000"/>
        </w:rPr>
        <w:t>Elle</w:t>
      </w:r>
      <w:r>
        <w:rPr>
          <w:rStyle w:val="Rfrenceple"/>
          <w:b w:val="false"/>
          <w:caps w:val="false"/>
          <w:smallCaps w:val="false"/>
          <w:color w:val="000000"/>
        </w:rPr>
        <w:t xml:space="preserve"> a</w:t>
      </w:r>
      <w:r>
        <w:rPr>
          <w:rStyle w:val="Rfrenceple"/>
          <w:b w:val="false"/>
          <w:caps w:val="false"/>
          <w:smallCaps w:val="false"/>
          <w:color w:val="000000"/>
        </w:rPr>
        <w:t xml:space="preserve">utorise </w:t>
      </w:r>
      <w:r>
        <w:rPr>
          <w:rStyle w:val="Rfrenceple"/>
          <w:b w:val="false"/>
          <w:caps w:val="false"/>
          <w:smallCaps w:val="false"/>
          <w:color w:val="000000"/>
        </w:rPr>
        <w:t>également, le cas échéant,</w:t>
      </w:r>
      <w:r>
        <w:rPr>
          <w:rStyle w:val="Rfrenceple"/>
          <w:b w:val="false"/>
          <w:caps w:val="false"/>
          <w:smallCaps w:val="false"/>
          <w:color w:val="000000"/>
        </w:rPr>
        <w:t xml:space="preserve"> la </w:t>
      </w:r>
      <w:r>
        <w:rPr>
          <w:rStyle w:val="Rfrenceple"/>
          <w:b w:val="false"/>
          <w:caps w:val="false"/>
          <w:smallCaps w:val="false"/>
          <w:color w:val="000000"/>
        </w:rPr>
        <w:t>c</w:t>
      </w:r>
      <w:r>
        <w:rPr>
          <w:rStyle w:val="Rfrenceple"/>
          <w:b w:val="false"/>
          <w:caps w:val="false"/>
          <w:smallCaps w:val="false"/>
          <w:color w:val="000000"/>
        </w:rPr>
        <w:t>ommunication et l’</w:t>
      </w:r>
      <w:r>
        <w:rPr>
          <w:rStyle w:val="Rfrenceple"/>
          <w:b w:val="false"/>
          <w:caps w:val="false"/>
          <w:smallCaps w:val="false"/>
          <w:color w:val="000000"/>
        </w:rPr>
        <w:t>é</w:t>
      </w:r>
      <w:r>
        <w:rPr>
          <w:rStyle w:val="Rfrenceple"/>
          <w:b w:val="false"/>
          <w:caps w:val="false"/>
          <w:smallCaps w:val="false"/>
          <w:color w:val="000000"/>
        </w:rPr>
        <w:t xml:space="preserve">limination </w:t>
      </w:r>
      <w:r>
        <w:rPr>
          <w:rStyle w:val="Rfrenceple"/>
          <w:b w:val="false"/>
          <w:caps w:val="false"/>
          <w:smallCaps w:val="false"/>
          <w:color w:val="000000"/>
        </w:rPr>
        <w:t>des archives</w:t>
      </w:r>
      <w:r>
        <w:rPr>
          <w:rStyle w:val="Rfrenceple"/>
          <w:b w:val="false"/>
          <w:caps w:val="false"/>
          <w:smallCaps w:val="false"/>
          <w:color w:val="000000"/>
        </w:rPr>
        <w:t xml:space="preserve">. </w:t>
      </w:r>
    </w:p>
    <w:p>
      <w:pPr>
        <w:pStyle w:val="Style31"/>
        <w:rPr/>
      </w:pPr>
      <w:r>
        <w:rPr>
          <w:rStyle w:val="Rfrenceple"/>
          <w:rFonts w:eastAsia="Garamond" w:cs="Times New Roman"/>
          <w:b w:val="false"/>
          <w:bCs/>
          <w:iCs/>
          <w:caps w:val="false"/>
          <w:smallCaps w:val="false"/>
          <w:color w:val="000000"/>
          <w:kern w:val="2"/>
          <w:u w:val="none"/>
          <w:lang w:eastAsia="zh-CN" w:bidi="hi-IN"/>
        </w:rPr>
        <w:t>Dans le cadre de [</w:t>
      </w:r>
      <w:r>
        <w:rPr>
          <w:rStyle w:val="Rfrenceple"/>
          <w:rFonts w:eastAsia="Garamond" w:cs="Times New Roman"/>
          <w:b w:val="false"/>
          <w:bCs/>
          <w:i/>
          <w:iCs/>
          <w:caps w:val="false"/>
          <w:smallCaps w:val="false"/>
          <w:color w:val="000000"/>
          <w:kern w:val="2"/>
          <w:u w:val="none"/>
          <w:lang w:eastAsia="zh-CN" w:bidi="hi-IN"/>
        </w:rPr>
        <w:t>nom du SAE</w:t>
      </w:r>
      <w:r>
        <w:rPr>
          <w:rStyle w:val="Rfrenceple"/>
          <w:rFonts w:eastAsia="Garamond" w:cs="Times New Roman"/>
          <w:b w:val="false"/>
          <w:bCs/>
          <w:iCs/>
          <w:caps w:val="false"/>
          <w:smallCaps w:val="false"/>
          <w:color w:val="000000"/>
          <w:kern w:val="2"/>
          <w:u w:val="none"/>
          <w:lang w:eastAsia="zh-CN" w:bidi="hi-IN"/>
        </w:rPr>
        <w:t xml:space="preserve">], </w:t>
      </w:r>
      <w:r>
        <w:rPr>
          <w:rStyle w:val="Rfrenceple"/>
          <w:rFonts w:eastAsia="Garamond" w:cs="Times New Roman"/>
          <w:b w:val="false"/>
          <w:bCs/>
          <w:iCs/>
          <w:caps w:val="false"/>
          <w:smallCaps w:val="false"/>
          <w:color w:val="000000"/>
          <w:kern w:val="2"/>
          <w:u w:val="none"/>
          <w:lang w:eastAsia="zh-CN" w:bidi="hi-IN"/>
        </w:rPr>
        <w:t>l</w:t>
      </w:r>
      <w:r>
        <w:rPr>
          <w:rStyle w:val="Rfrenceple"/>
          <w:rFonts w:eastAsia="Garamond" w:cs="Times New Roman"/>
          <w:b w:val="false"/>
          <w:bCs w:val="false"/>
          <w:iCs/>
          <w:caps w:val="false"/>
          <w:smallCaps w:val="false"/>
          <w:color w:val="000000"/>
          <w:kern w:val="2"/>
          <w:u w:val="none"/>
          <w:lang w:eastAsia="zh-CN" w:bidi="hi-IN"/>
        </w:rPr>
        <w:t xml:space="preserve">'autorité </w:t>
      </w:r>
      <w:r>
        <w:rPr>
          <w:rStyle w:val="Rfrenceple"/>
          <w:rFonts w:eastAsia="Garamond" w:cs="Times New Roman"/>
          <w:b w:val="false"/>
          <w:bCs/>
          <w:iCs/>
          <w:caps w:val="false"/>
          <w:smallCaps w:val="false"/>
          <w:color w:val="000000"/>
          <w:kern w:val="2"/>
          <w:u w:val="none"/>
          <w:lang w:eastAsia="zh-CN" w:bidi="hi-IN"/>
        </w:rPr>
        <w:t>chargé</w:t>
      </w:r>
      <w:r>
        <w:rPr>
          <w:rStyle w:val="Rfrenceple"/>
          <w:rFonts w:eastAsia="Garamond" w:cs="Times New Roman"/>
          <w:b w:val="false"/>
          <w:bCs/>
          <w:iCs/>
          <w:caps w:val="false"/>
          <w:smallCaps w:val="false"/>
          <w:color w:val="000000"/>
          <w:kern w:val="2"/>
          <w:u w:val="none"/>
          <w:lang w:eastAsia="zh-CN" w:bidi="hi-IN"/>
        </w:rPr>
        <w:t>e</w:t>
      </w:r>
      <w:r>
        <w:rPr>
          <w:rStyle w:val="Rfrenceple"/>
          <w:rFonts w:eastAsia="Garamond" w:cs="Times New Roman"/>
          <w:b w:val="false"/>
          <w:bCs/>
          <w:iCs/>
          <w:caps w:val="false"/>
          <w:smallCaps w:val="false"/>
          <w:color w:val="000000"/>
          <w:kern w:val="2"/>
          <w:u w:val="none"/>
          <w:lang w:eastAsia="zh-CN" w:bidi="hi-IN"/>
        </w:rPr>
        <w:t xml:space="preserve"> du contrôle scientifique et technique sur les archives publiques, est [</w:t>
      </w:r>
      <w:r>
        <w:rPr>
          <w:rStyle w:val="Rfrenceple"/>
          <w:rFonts w:eastAsia="Garamond" w:cs="Times New Roman"/>
          <w:b w:val="false"/>
          <w:bCs/>
          <w:i/>
          <w:iCs/>
          <w:caps w:val="false"/>
          <w:smallCaps w:val="false"/>
          <w:color w:val="000000"/>
          <w:kern w:val="2"/>
          <w:u w:val="none"/>
          <w:lang w:eastAsia="zh-CN" w:bidi="hi-IN"/>
        </w:rPr>
        <w:t xml:space="preserve">préciser le nom </w:t>
      </w:r>
      <w:r>
        <w:rPr>
          <w:rStyle w:val="Rfrenceple"/>
          <w:rFonts w:eastAsia="Garamond" w:cs="Times New Roman"/>
          <w:b w:val="false"/>
          <w:bCs/>
          <w:i/>
          <w:iCs/>
          <w:caps w:val="false"/>
          <w:smallCaps w:val="false"/>
          <w:color w:val="000000"/>
          <w:kern w:val="2"/>
          <w:u w:val="none"/>
          <w:lang w:eastAsia="zh-CN" w:bidi="hi-IN"/>
        </w:rPr>
        <w:t>de la personne en charge du contrôle scientifique et technique</w:t>
      </w:r>
      <w:r>
        <w:rPr>
          <w:rStyle w:val="Rfrenceple"/>
          <w:rFonts w:eastAsia="Garamond" w:cs="Times New Roman"/>
          <w:b w:val="false"/>
          <w:bCs/>
          <w:iCs/>
          <w:caps w:val="false"/>
          <w:smallCaps w:val="false"/>
          <w:color w:val="000000"/>
          <w:kern w:val="2"/>
          <w:u w:val="none"/>
          <w:lang w:eastAsia="zh-CN" w:bidi="hi-IN"/>
        </w:rPr>
        <w:t>].</w:t>
      </w:r>
    </w:p>
    <w:p>
      <w:pPr>
        <w:pStyle w:val="Titre3"/>
        <w:numPr>
          <w:ilvl w:val="2"/>
          <w:numId w:val="1"/>
        </w:numPr>
        <w:tabs>
          <w:tab w:val="left" w:pos="0" w:leader="none"/>
        </w:tabs>
        <w:ind w:start="709" w:end="0" w:hanging="0"/>
        <w:rPr/>
      </w:pPr>
      <w:bookmarkStart w:id="60" w:name="__RefHeading___Toc10741_1000569294"/>
      <w:bookmarkEnd w:id="60"/>
      <w:r>
        <w:rPr>
          <w:rStyle w:val="Rfrenceple"/>
          <w:color w:val="000099"/>
        </w:rPr>
        <w:t>4.3</w:t>
      </w:r>
      <w:bookmarkStart w:id="61" w:name="_Toc479592134"/>
      <w:bookmarkStart w:id="62" w:name="_Toc479583895"/>
      <w:bookmarkStart w:id="63" w:name="_Toc478062646"/>
      <w:r>
        <w:rPr>
          <w:rStyle w:val="Rfrenceple"/>
          <w:color w:val="000099"/>
        </w:rPr>
        <w:t xml:space="preserve"> </w:t>
      </w:r>
      <w:bookmarkEnd w:id="61"/>
      <w:bookmarkEnd w:id="62"/>
      <w:bookmarkEnd w:id="63"/>
      <w:r>
        <w:rPr>
          <w:rStyle w:val="Rfrenceple"/>
          <w:color w:val="000099"/>
        </w:rPr>
        <w:t>Compétences et formation des intervenants</w:t>
      </w:r>
    </w:p>
    <w:p>
      <w:pPr>
        <w:pStyle w:val="Style31"/>
        <w:rPr>
          <w:b w:val="false"/>
          <w:b w:val="false"/>
          <w:bCs w:val="false"/>
          <w:caps w:val="false"/>
          <w:smallCaps w:val="false"/>
          <w:color w:val="000000"/>
          <w:u w:val="none"/>
        </w:rPr>
      </w:pPr>
      <w:r>
        <w:rPr>
          <w:b w:val="false"/>
          <w:bCs w:val="false"/>
          <w:caps w:val="false"/>
          <w:smallCaps w:val="false"/>
          <w:color w:val="000000"/>
          <w:u w:val="none"/>
        </w:rPr>
        <w:t xml:space="preserve">Chaque intervenant dans le </w:t>
      </w:r>
      <w:r>
        <w:rPr>
          <w:b w:val="false"/>
          <w:bCs w:val="false"/>
          <w:caps w:val="false"/>
          <w:smallCaps w:val="false"/>
          <w:color w:val="000000"/>
          <w:u w:val="none"/>
        </w:rPr>
        <w:t>SAE</w:t>
      </w:r>
      <w:r>
        <w:rPr>
          <w:b w:val="false"/>
          <w:bCs w:val="false"/>
          <w:caps w:val="false"/>
          <w:smallCaps w:val="false"/>
          <w:color w:val="000000"/>
          <w:u w:val="none"/>
        </w:rPr>
        <w:t xml:space="preserve"> est formé aux opérations qu'il aura à mener. Cette formation est régulièrement mise en jour, en fonction des évolutions d</w:t>
      </w:r>
      <w:r>
        <w:rPr>
          <w:b w:val="false"/>
          <w:bCs w:val="false"/>
          <w:caps w:val="false"/>
          <w:smallCaps w:val="false"/>
          <w:color w:val="000000"/>
          <w:u w:val="none"/>
        </w:rPr>
        <w:t>u</w:t>
      </w:r>
      <w:r>
        <w:rPr>
          <w:b w:val="false"/>
          <w:bCs w:val="false"/>
          <w:caps w:val="false"/>
          <w:smallCaps w:val="false"/>
          <w:color w:val="000000"/>
          <w:u w:val="none"/>
        </w:rPr>
        <w:t xml:space="preserve"> système et des procédures.</w:t>
      </w:r>
    </w:p>
    <w:p>
      <w:pPr>
        <w:pStyle w:val="Style31"/>
        <w:rPr>
          <w:b w:val="false"/>
          <w:b w:val="false"/>
          <w:bCs w:val="false"/>
          <w:caps w:val="false"/>
          <w:smallCaps w:val="false"/>
          <w:color w:val="000000"/>
          <w:u w:val="none"/>
        </w:rPr>
      </w:pPr>
      <w:r>
        <w:rPr>
          <w:b w:val="false"/>
          <w:bCs w:val="false"/>
          <w:caps w:val="false"/>
          <w:smallCaps w:val="false"/>
          <w:color w:val="000000"/>
          <w:u w:val="none"/>
        </w:rPr>
        <w:t xml:space="preserve">Les fonctions des personnes intervenant dans le </w:t>
      </w:r>
      <w:r>
        <w:rPr>
          <w:b w:val="false"/>
          <w:bCs w:val="false"/>
          <w:caps w:val="false"/>
          <w:smallCaps w:val="false"/>
          <w:color w:val="000000"/>
          <w:u w:val="none"/>
        </w:rPr>
        <w:t>SAE</w:t>
      </w:r>
      <w:r>
        <w:rPr>
          <w:b w:val="false"/>
          <w:bCs w:val="false"/>
          <w:caps w:val="false"/>
          <w:smallCaps w:val="false"/>
          <w:color w:val="000000"/>
          <w:u w:val="none"/>
        </w:rPr>
        <w:t xml:space="preserve"> sont décrites dans des fiches de poste </w:t>
      </w:r>
      <w:r>
        <w:rPr>
          <w:b w:val="false"/>
          <w:bCs w:val="false"/>
          <w:caps w:val="false"/>
          <w:smallCaps w:val="false"/>
          <w:color w:val="000000"/>
          <w:u w:val="none"/>
        </w:rPr>
        <w:t>validées par les parties et régulièrement mises à jour</w:t>
      </w:r>
      <w:r>
        <w:rPr>
          <w:b w:val="false"/>
          <w:bCs w:val="false"/>
          <w:caps w:val="false"/>
          <w:smallCaps w:val="false"/>
          <w:color w:val="000000"/>
          <w:u w:val="none"/>
        </w:rPr>
        <w:t>.</w:t>
      </w:r>
    </w:p>
    <w:p>
      <w:pPr>
        <w:pStyle w:val="Style31"/>
        <w:rPr/>
      </w:pPr>
      <w:r>
        <w:rPr>
          <w:b w:val="false"/>
          <w:bCs w:val="false"/>
          <w:caps w:val="false"/>
          <w:smallCaps w:val="false"/>
          <w:color w:val="000000"/>
          <w:u w:val="none"/>
        </w:rPr>
        <w:t xml:space="preserve">Des habilitations nominatives sont délivrées au personnel intervenant pour le compte de l’Autorité d’archivage </w:t>
      </w:r>
      <w:r>
        <w:rPr>
          <w:rStyle w:val="Policepardfaut"/>
          <w:b w:val="false"/>
          <w:bCs w:val="false"/>
          <w:i/>
          <w:iCs/>
          <w:caps w:val="false"/>
          <w:smallCaps w:val="false"/>
          <w:color w:val="000000"/>
          <w:u w:val="none"/>
        </w:rPr>
        <w:t>[préciser si des habilitations sont aussi délivrées à l’Autorité juridique et à l’Opérateur d’archivage].</w:t>
      </w:r>
    </w:p>
    <w:p>
      <w:pPr>
        <w:pStyle w:val="Style31"/>
        <w:rPr/>
      </w:pPr>
      <w:r>
        <w:rPr>
          <w:rStyle w:val="Rfrenceintense"/>
          <w:b w:val="false"/>
          <w:bCs w:val="false"/>
          <w:caps w:val="false"/>
          <w:smallCaps w:val="false"/>
          <w:color w:val="000000"/>
          <w:u w:val="none"/>
        </w:rPr>
        <w:t xml:space="preserve">Tous les intervenants </w:t>
      </w:r>
      <w:r>
        <w:rPr>
          <w:rStyle w:val="Rfrenceintense"/>
          <w:b w:val="false"/>
          <w:bCs w:val="false"/>
          <w:caps w:val="false"/>
          <w:smallCaps w:val="false"/>
          <w:color w:val="000000"/>
          <w:u w:val="none"/>
        </w:rPr>
        <w:t>du SAE</w:t>
      </w:r>
      <w:r>
        <w:rPr>
          <w:rStyle w:val="Rfrenceintense"/>
          <w:b w:val="false"/>
          <w:bCs w:val="false"/>
          <w:caps w:val="false"/>
          <w:smallCaps w:val="false"/>
          <w:color w:val="000000"/>
          <w:u w:val="none"/>
        </w:rPr>
        <w:t xml:space="preserve"> doivent respecter la confidentialité des informations dont ils pourraient avoir connaissance dans ce cadre.</w:t>
      </w:r>
    </w:p>
    <w:p>
      <w:pPr>
        <w:pStyle w:val="Style31"/>
        <w:rPr>
          <w:rStyle w:val="Rfrenceintense"/>
          <w:b w:val="false"/>
          <w:b w:val="false"/>
          <w:bCs w:val="false"/>
          <w:caps w:val="false"/>
          <w:smallCaps w:val="false"/>
          <w:color w:val="000000"/>
          <w:u w:val="none"/>
        </w:rPr>
      </w:pPr>
      <w:r>
        <w:rPr/>
      </w:r>
    </w:p>
    <w:p>
      <w:pPr>
        <w:pStyle w:val="Titre2"/>
        <w:numPr>
          <w:ilvl w:val="1"/>
          <w:numId w:val="1"/>
        </w:numPr>
        <w:tabs>
          <w:tab w:val="left" w:pos="0" w:leader="none"/>
        </w:tabs>
        <w:spacing w:before="0" w:after="240"/>
        <w:ind w:start="709" w:end="0" w:hanging="0"/>
        <w:jc w:val="both"/>
        <w:rPr/>
      </w:pPr>
      <w:bookmarkStart w:id="64" w:name="__RefHeading___Toc10743_1000569294"/>
      <w:bookmarkEnd w:id="64"/>
      <w:r>
        <w:rPr>
          <w:rStyle w:val="Titredulivre"/>
          <w:color w:val="000099"/>
        </w:rPr>
        <w:t xml:space="preserve">Article </w:t>
      </w:r>
      <w:bookmarkStart w:id="65" w:name="_Toc479583896"/>
      <w:bookmarkStart w:id="66" w:name="_Toc479592135"/>
      <w:bookmarkStart w:id="67" w:name="_Toc478062647"/>
      <w:r>
        <w:rPr>
          <w:rStyle w:val="Titredulivre"/>
          <w:color w:val="000099"/>
        </w:rPr>
        <w:t xml:space="preserve">5 </w:t>
      </w:r>
      <w:r>
        <w:rPr>
          <w:rStyle w:val="Titredulivre"/>
          <w:color w:val="000099"/>
        </w:rPr>
        <w:t xml:space="preserve">- </w:t>
      </w:r>
      <w:r>
        <w:rPr>
          <w:rStyle w:val="Titredulivre"/>
          <w:color w:val="000099"/>
        </w:rPr>
        <w:t xml:space="preserve">Services fournis par </w:t>
      </w:r>
      <w:bookmarkEnd w:id="65"/>
      <w:bookmarkEnd w:id="66"/>
      <w:bookmarkEnd w:id="67"/>
      <w:r>
        <w:rPr>
          <w:rStyle w:val="Titredulivre"/>
          <w:color w:val="000099"/>
        </w:rPr>
        <w:t>l’Autorité d’archivage</w:t>
      </w:r>
    </w:p>
    <w:p>
      <w:pPr>
        <w:pStyle w:val="Style31"/>
        <w:rPr/>
      </w:pPr>
      <w:r>
        <w:rPr>
          <w:rStyle w:val="Rfrenceple"/>
          <w:b w:val="false"/>
          <w:bCs w:val="false"/>
          <w:caps w:val="false"/>
          <w:smallCaps w:val="false"/>
        </w:rPr>
        <w:t>Le Système d’archivage électronique [</w:t>
      </w:r>
      <w:r>
        <w:rPr>
          <w:rStyle w:val="Rfrenceple"/>
          <w:b w:val="false"/>
          <w:bCs w:val="false"/>
          <w:i/>
          <w:iCs/>
          <w:caps w:val="false"/>
          <w:smallCaps w:val="false"/>
        </w:rPr>
        <w:t>nom du SAE</w:t>
      </w:r>
      <w:r>
        <w:rPr>
          <w:rStyle w:val="Rfrenceple"/>
          <w:b w:val="false"/>
          <w:bCs w:val="false"/>
          <w:caps w:val="false"/>
          <w:smallCaps w:val="false"/>
        </w:rPr>
        <w:t xml:space="preserve">] repose sur </w:t>
      </w:r>
      <w:r>
        <w:rPr>
          <w:rStyle w:val="Rfrenceple"/>
          <w:b w:val="false"/>
          <w:bCs w:val="false"/>
          <w:caps w:val="false"/>
          <w:smallCaps w:val="false"/>
        </w:rPr>
        <w:t>des</w:t>
      </w:r>
      <w:r>
        <w:rPr>
          <w:rStyle w:val="Rfrenceple"/>
          <w:b w:val="false"/>
          <w:bCs w:val="false"/>
          <w:caps w:val="false"/>
          <w:smallCaps w:val="false"/>
        </w:rPr>
        <w:t xml:space="preserve"> processus fonctionnels, techniques et organisationnels qui permettent à l’Autorité d’archivage de rendre </w:t>
      </w:r>
      <w:r>
        <w:rPr>
          <w:rStyle w:val="Rfrenceple"/>
          <w:b w:val="false"/>
          <w:bCs w:val="false"/>
          <w:caps w:val="false"/>
          <w:smallCaps w:val="false"/>
        </w:rPr>
        <w:t>des</w:t>
      </w:r>
      <w:r>
        <w:rPr>
          <w:rStyle w:val="Rfrenceple"/>
          <w:b w:val="false"/>
          <w:bCs w:val="false"/>
          <w:caps w:val="false"/>
          <w:smallCaps w:val="false"/>
        </w:rPr>
        <w:t xml:space="preserve"> services aux différents acteurs décrits à l’article 4.</w:t>
      </w:r>
    </w:p>
    <w:p>
      <w:pPr>
        <w:pStyle w:val="Style31"/>
        <w:rPr/>
      </w:pPr>
      <w:r>
        <w:rPr>
          <w:rStyle w:val="Rfrenceple"/>
          <w:rFonts w:eastAsia="Calibri" w:cs="Times New Roman"/>
          <w:b w:val="false"/>
          <w:bCs w:val="false"/>
          <w:caps w:val="false"/>
          <w:smallCaps w:val="false"/>
        </w:rPr>
        <w:t xml:space="preserve">Le degré d’engagement </w:t>
      </w:r>
      <w:r>
        <w:rPr>
          <w:rStyle w:val="Rfrenceple"/>
          <w:rFonts w:eastAsia="Calibri" w:cs="Times New Roman"/>
          <w:b w:val="false"/>
          <w:bCs w:val="false"/>
          <w:caps w:val="false"/>
          <w:smallCaps w:val="false"/>
        </w:rPr>
        <w:t>- ou niveau de service -</w:t>
      </w:r>
      <w:r>
        <w:rPr>
          <w:rStyle w:val="Rfrenceple"/>
          <w:rFonts w:eastAsia="Calibri" w:cs="Times New Roman"/>
          <w:b w:val="false"/>
          <w:bCs w:val="false"/>
          <w:caps w:val="false"/>
          <w:smallCaps w:val="false"/>
        </w:rPr>
        <w:t xml:space="preserve"> </w:t>
      </w:r>
      <w:r>
        <w:rPr>
          <w:rStyle w:val="Rfrenceple"/>
          <w:rFonts w:eastAsia="Calibri" w:cs="Times New Roman"/>
          <w:b w:val="false"/>
          <w:bCs w:val="false"/>
          <w:caps w:val="false"/>
          <w:smallCaps w:val="false"/>
        </w:rPr>
        <w:t>de l’Autorité d’archivage par rapport à la fourniture de chacun de ces services</w:t>
      </w:r>
      <w:r>
        <w:rPr>
          <w:rStyle w:val="Rfrenceple"/>
          <w:rFonts w:eastAsia="Calibri" w:cs="Times New Roman"/>
          <w:b w:val="false"/>
          <w:bCs w:val="false"/>
          <w:caps w:val="false"/>
          <w:smallCaps w:val="false"/>
        </w:rPr>
        <w:t xml:space="preserve"> </w:t>
      </w:r>
      <w:r>
        <w:rPr>
          <w:rStyle w:val="Rfrenceple"/>
          <w:rFonts w:eastAsia="Calibri" w:cs="Times New Roman"/>
          <w:b w:val="false"/>
          <w:bCs w:val="false"/>
          <w:caps w:val="false"/>
          <w:smallCaps w:val="false"/>
        </w:rPr>
        <w:t>est défini au regard de critères de</w:t>
      </w:r>
      <w:r>
        <w:rPr>
          <w:rStyle w:val="Rfrenceple"/>
          <w:rFonts w:eastAsia="Calibri" w:cs="Times New Roman"/>
          <w:b w:val="false"/>
          <w:bCs w:val="false"/>
          <w:caps w:val="false"/>
          <w:smallCaps w:val="false"/>
        </w:rPr>
        <w:t xml:space="preserve"> disponibilité, </w:t>
      </w:r>
      <w:r>
        <w:rPr>
          <w:rStyle w:val="Rfrenceple"/>
          <w:rFonts w:eastAsia="Calibri" w:cs="Times New Roman"/>
          <w:b w:val="false"/>
          <w:bCs w:val="false"/>
          <w:caps w:val="false"/>
          <w:smallCaps w:val="false"/>
        </w:rPr>
        <w:t>d’</w:t>
      </w:r>
      <w:r>
        <w:rPr>
          <w:rStyle w:val="Rfrenceple"/>
          <w:rFonts w:eastAsia="Calibri" w:cs="Times New Roman"/>
          <w:b w:val="false"/>
          <w:bCs w:val="false"/>
          <w:caps w:val="false"/>
          <w:smallCaps w:val="false"/>
        </w:rPr>
        <w:t xml:space="preserve">intégrité, </w:t>
      </w:r>
      <w:r>
        <w:rPr>
          <w:rStyle w:val="Rfrenceple"/>
          <w:rFonts w:eastAsia="Calibri" w:cs="Times New Roman"/>
          <w:b w:val="false"/>
          <w:bCs w:val="false"/>
          <w:caps w:val="false"/>
          <w:smallCaps w:val="false"/>
        </w:rPr>
        <w:t xml:space="preserve">de </w:t>
      </w:r>
      <w:r>
        <w:rPr>
          <w:rStyle w:val="Rfrenceple"/>
          <w:rFonts w:eastAsia="Calibri" w:cs="Times New Roman"/>
          <w:b w:val="false"/>
          <w:bCs w:val="false"/>
          <w:caps w:val="false"/>
          <w:smallCaps w:val="false"/>
        </w:rPr>
        <w:t>confidentialité</w:t>
      </w:r>
      <w:r>
        <w:rPr>
          <w:rStyle w:val="Rfrenceple"/>
          <w:rFonts w:eastAsia="Calibri" w:cs="Times New Roman"/>
          <w:b w:val="false"/>
          <w:bCs w:val="false"/>
          <w:caps w:val="false"/>
          <w:smallCaps w:val="false"/>
        </w:rPr>
        <w:t xml:space="preserve"> et d’intégrité. Les niveaux de services sont</w:t>
      </w:r>
      <w:r>
        <w:rPr>
          <w:rStyle w:val="Rfrenceple"/>
          <w:rFonts w:eastAsia="Calibri" w:cs="Times New Roman"/>
          <w:b w:val="false"/>
          <w:bCs w:val="false"/>
          <w:caps w:val="false"/>
          <w:smallCaps w:val="false"/>
        </w:rPr>
        <w:t xml:space="preserve"> </w:t>
      </w:r>
      <w:r>
        <w:rPr>
          <w:rStyle w:val="Rfrenceple"/>
          <w:rFonts w:eastAsia="Calibri" w:cs="Times New Roman"/>
          <w:b w:val="false"/>
          <w:bCs w:val="false"/>
          <w:caps w:val="false"/>
          <w:smallCaps w:val="false"/>
        </w:rPr>
        <w:t>précisés à l’article 6.</w:t>
      </w:r>
    </w:p>
    <w:p>
      <w:pPr>
        <w:pStyle w:val="Titre3"/>
        <w:numPr>
          <w:ilvl w:val="2"/>
          <w:numId w:val="1"/>
        </w:numPr>
        <w:tabs>
          <w:tab w:val="left" w:pos="0" w:leader="none"/>
        </w:tabs>
        <w:ind w:start="709" w:end="0" w:hanging="0"/>
        <w:rPr/>
      </w:pPr>
      <w:bookmarkStart w:id="68" w:name="__RefHeading___Toc10745_1000569294"/>
      <w:bookmarkEnd w:id="68"/>
      <w:r>
        <w:rPr>
          <w:rStyle w:val="Rfrenceple"/>
          <w:color w:val="000099"/>
        </w:rPr>
        <w:t>5</w:t>
      </w:r>
      <w:bookmarkStart w:id="69" w:name="_Toc478062648"/>
      <w:bookmarkStart w:id="70" w:name="_Toc479583897"/>
      <w:bookmarkStart w:id="71" w:name="_Toc479592136"/>
      <w:r>
        <w:rPr>
          <w:rStyle w:val="Rfrenceple"/>
          <w:color w:val="000099"/>
        </w:rPr>
        <w:t>.1 Contrôle des versements</w:t>
      </w:r>
      <w:bookmarkEnd w:id="69"/>
      <w:bookmarkEnd w:id="70"/>
      <w:bookmarkEnd w:id="71"/>
    </w:p>
    <w:p>
      <w:pPr>
        <w:pStyle w:val="Style31"/>
        <w:rPr/>
      </w:pPr>
      <w:r>
        <w:rPr/>
        <w:t>Tous les versements réalisés dans le SAE [</w:t>
      </w:r>
      <w:r>
        <w:rPr>
          <w:i/>
          <w:iCs/>
        </w:rPr>
        <w:t>nom du SAE</w:t>
      </w:r>
      <w:r>
        <w:rPr/>
        <w:t>] doivent disposer d’un bordereau de versement conforme au Standard d’échange de données pour l’archivage (SEDA) selon les modalités définies dans un Contrat de versement.</w:t>
      </w:r>
    </w:p>
    <w:p>
      <w:pPr>
        <w:pStyle w:val="Style31"/>
        <w:rPr/>
      </w:pPr>
      <w:r>
        <w:rPr/>
        <w:t>Un</w:t>
      </w:r>
      <w:r>
        <w:rPr/>
        <w:t xml:space="preserve"> contrôle des versements </w:t>
      </w:r>
      <w:r>
        <w:rPr/>
        <w:t xml:space="preserve">est effectué à l’entrée du SAE et repose sur un </w:t>
      </w:r>
      <w:r>
        <w:rPr/>
        <w:t xml:space="preserve">ensemble de mécanismes </w:t>
      </w:r>
      <w:r>
        <w:rPr/>
        <w:t>automatiques</w:t>
      </w:r>
      <w:r>
        <w:rPr/>
        <w:t xml:space="preserve">, dans les conditions définies par la Déclaration des pratiques d’archivage. </w:t>
      </w:r>
      <w:r>
        <w:rPr/>
        <w:t xml:space="preserve">Le cas échéant, le contrôle se base également sur le profil d’archivage défini dans le Contrat de versement. </w:t>
      </w:r>
      <w:r>
        <w:rPr/>
        <w:t xml:space="preserve">La réalisation et le résultat des contrôles font l’objet d’un enregistrement </w:t>
      </w:r>
      <w:r>
        <w:rPr/>
        <w:t>dans le journal de l’application et dans celui du cycle de vie des archives.</w:t>
      </w:r>
    </w:p>
    <w:p>
      <w:pPr>
        <w:pStyle w:val="Style31"/>
        <w:rPr/>
      </w:pPr>
      <w:r>
        <w:rPr/>
        <w:t>Les formats acceptés par le SAE sont les suivants : [</w:t>
      </w:r>
      <w:r>
        <w:rPr>
          <w:i/>
          <w:iCs/>
        </w:rPr>
        <w:t>préciser la liste des formats acceptés en entrée</w:t>
      </w:r>
      <w:r>
        <w:rPr/>
        <w:t xml:space="preserve">]. Lorsqu’un document </w:t>
      </w:r>
      <w:r>
        <w:rPr/>
        <w:t>a un</w:t>
      </w:r>
      <w:r>
        <w:rPr/>
        <w:t xml:space="preserve"> format ne figur</w:t>
      </w:r>
      <w:r>
        <w:rPr/>
        <w:t>ant</w:t>
      </w:r>
      <w:r>
        <w:rPr/>
        <w:t xml:space="preserve"> pas dans cette liste, </w:t>
      </w:r>
      <w:r>
        <w:rPr/>
        <w:t>[</w:t>
      </w:r>
      <w:r>
        <w:rPr/>
        <w:t>il est rejeté / il est systématiquement converti au format [</w:t>
      </w:r>
      <w:r>
        <w:rPr>
          <w:i/>
          <w:iCs/>
        </w:rPr>
        <w:t>préciser le format de conversion</w:t>
      </w:r>
      <w:r>
        <w:rPr/>
        <w:t>]</w:t>
      </w:r>
      <w:r>
        <w:rPr/>
        <w:t>]</w:t>
      </w:r>
      <w:r>
        <w:rPr/>
        <w:t xml:space="preserve">. La version initiale du document est alors </w:t>
      </w:r>
      <w:r>
        <w:rPr/>
        <w:t>[</w:t>
      </w:r>
      <w:r>
        <w:rPr/>
        <w:t xml:space="preserve">restituée au </w:t>
      </w:r>
      <w:r>
        <w:rPr/>
        <w:t>S</w:t>
      </w:r>
      <w:r>
        <w:rPr/>
        <w:t>ervice versant / éliminée / conservée dans le SAE sans garantie de pérennisation</w:t>
      </w:r>
      <w:r>
        <w:rPr/>
        <w:t>]</w:t>
      </w:r>
      <w:r>
        <w:rPr/>
        <w:t>.</w:t>
      </w:r>
    </w:p>
    <w:p>
      <w:pPr>
        <w:pStyle w:val="Titre3"/>
        <w:numPr>
          <w:ilvl w:val="2"/>
          <w:numId w:val="1"/>
        </w:numPr>
        <w:tabs>
          <w:tab w:val="left" w:pos="0" w:leader="none"/>
        </w:tabs>
        <w:ind w:start="709" w:end="0" w:hanging="0"/>
        <w:rPr/>
      </w:pPr>
      <w:bookmarkStart w:id="72" w:name="__RefHeading___Toc10747_1000569294"/>
      <w:bookmarkEnd w:id="72"/>
      <w:r>
        <w:rPr>
          <w:rStyle w:val="Rfrenceple"/>
          <w:color w:val="000099"/>
        </w:rPr>
        <w:t>5</w:t>
      </w:r>
      <w:bookmarkStart w:id="73" w:name="_Toc479592137"/>
      <w:bookmarkStart w:id="74" w:name="_Toc479583898"/>
      <w:bookmarkStart w:id="75" w:name="_Toc478062649"/>
      <w:r>
        <w:rPr>
          <w:rStyle w:val="Rfrenceple"/>
          <w:color w:val="000099"/>
        </w:rPr>
        <w:t xml:space="preserve">.2 Prise en charge </w:t>
      </w:r>
      <w:r>
        <w:rPr>
          <w:rStyle w:val="Rfrenceple"/>
          <w:color w:val="000099"/>
        </w:rPr>
        <w:t>des</w:t>
      </w:r>
      <w:r>
        <w:rPr>
          <w:rStyle w:val="Rfrenceple"/>
          <w:color w:val="000099"/>
        </w:rPr>
        <w:t xml:space="preserve"> versement</w:t>
      </w:r>
      <w:bookmarkEnd w:id="73"/>
      <w:bookmarkEnd w:id="74"/>
      <w:bookmarkEnd w:id="75"/>
      <w:r>
        <w:rPr>
          <w:rStyle w:val="Rfrenceple"/>
          <w:color w:val="000099"/>
        </w:rPr>
        <w:t>s</w:t>
      </w:r>
    </w:p>
    <w:p>
      <w:pPr>
        <w:pStyle w:val="Style31"/>
        <w:spacing w:before="0" w:after="29"/>
        <w:rPr/>
      </w:pPr>
      <w:r>
        <w:rPr/>
        <w:t xml:space="preserve">La prise en charge des versements consiste </w:t>
      </w:r>
      <w:r>
        <w:rPr/>
        <w:t>en</w:t>
      </w:r>
      <w:r>
        <w:rPr/>
        <w:t> :</w:t>
      </w:r>
    </w:p>
    <w:p>
      <w:pPr>
        <w:pStyle w:val="Style31"/>
        <w:numPr>
          <w:ilvl w:val="0"/>
          <w:numId w:val="4"/>
        </w:numPr>
        <w:spacing w:before="0" w:after="29"/>
        <w:rPr/>
      </w:pPr>
      <w:r>
        <w:rPr/>
        <w:t>l</w:t>
      </w:r>
      <w:r>
        <w:rPr/>
        <w:t xml:space="preserve">’écriture des fichiers sur les </w:t>
      </w:r>
      <w:r>
        <w:rPr/>
        <w:t>espaces</w:t>
      </w:r>
      <w:r>
        <w:rPr/>
        <w:t xml:space="preserve"> de stockage </w:t>
      </w:r>
      <w:r>
        <w:rPr/>
        <w:t>définis au 5.3.1</w:t>
      </w:r>
      <w:r>
        <w:rPr/>
        <w:t>,</w:t>
      </w:r>
    </w:p>
    <w:p>
      <w:pPr>
        <w:pStyle w:val="Style31"/>
        <w:numPr>
          <w:ilvl w:val="0"/>
          <w:numId w:val="4"/>
        </w:numPr>
        <w:spacing w:before="0" w:after="29"/>
        <w:rPr/>
      </w:pPr>
      <w:r>
        <w:rPr/>
        <w:t>l</w:t>
      </w:r>
      <w:r>
        <w:rPr/>
        <w:t xml:space="preserve">a mise à jour des référentiels </w:t>
      </w:r>
      <w:r>
        <w:rPr/>
        <w:t xml:space="preserve">du SAE </w:t>
      </w:r>
      <w:r>
        <w:rPr/>
        <w:t xml:space="preserve">avec les métadonnées </w:t>
      </w:r>
      <w:r>
        <w:rPr/>
        <w:t>du versement</w:t>
      </w:r>
      <w:r>
        <w:rPr/>
        <w:t>.</w:t>
      </w:r>
    </w:p>
    <w:p>
      <w:pPr>
        <w:pStyle w:val="Style31"/>
        <w:rPr/>
      </w:pPr>
      <w:r>
        <w:rPr/>
        <w:t xml:space="preserve">A l’issue des contrôles </w:t>
      </w:r>
      <w:r>
        <w:rPr/>
        <w:t>visés au 5.1 et de ces deux opérations</w:t>
      </w:r>
      <w:r>
        <w:rPr/>
        <w:t xml:space="preserve">, un accusé de réception ou de refus de prise en charge du versement est systématiquement délivré par </w:t>
      </w:r>
      <w:r>
        <w:rPr/>
        <w:t>l’Autorité d’archivage</w:t>
      </w:r>
      <w:r>
        <w:rPr/>
        <w:t xml:space="preserve"> </w:t>
      </w:r>
      <w:r>
        <w:rPr/>
        <w:t>à l’Autorité juridique</w:t>
      </w:r>
      <w:r>
        <w:rPr>
          <w:rStyle w:val="Policepardfaut"/>
          <w:i/>
        </w:rPr>
        <w:t>.</w:t>
      </w:r>
    </w:p>
    <w:p>
      <w:pPr>
        <w:pStyle w:val="Style31"/>
        <w:rPr/>
      </w:pPr>
      <w:r>
        <w:rPr>
          <w:rStyle w:val="Rfrenceple"/>
          <w:b w:val="false"/>
          <w:bCs w:val="false"/>
          <w:caps w:val="false"/>
          <w:smallCaps w:val="false"/>
        </w:rPr>
        <w:t>La prise en charge fait l’objet d’un enregistrement dans le journal du cycle de vie des archives.</w:t>
      </w:r>
    </w:p>
    <w:p>
      <w:pPr>
        <w:pStyle w:val="Titre3"/>
        <w:numPr>
          <w:ilvl w:val="2"/>
          <w:numId w:val="1"/>
        </w:numPr>
        <w:tabs>
          <w:tab w:val="left" w:pos="0" w:leader="none"/>
        </w:tabs>
        <w:ind w:start="709" w:end="0" w:hanging="0"/>
        <w:rPr/>
      </w:pPr>
      <w:bookmarkStart w:id="76" w:name="__RefHeading___Toc10749_1000569294"/>
      <w:bookmarkEnd w:id="76"/>
      <w:r>
        <w:rPr>
          <w:rStyle w:val="Rfrenceple"/>
          <w:color w:val="000099"/>
        </w:rPr>
        <w:t>5</w:t>
      </w:r>
      <w:bookmarkStart w:id="77" w:name="_Toc479592138"/>
      <w:bookmarkStart w:id="78" w:name="_Toc479583899"/>
      <w:bookmarkStart w:id="79" w:name="_Toc478062650"/>
      <w:r>
        <w:rPr>
          <w:rStyle w:val="Rfrenceple"/>
          <w:color w:val="000099"/>
        </w:rPr>
        <w:t>.3 Conservation des archives</w:t>
      </w:r>
      <w:bookmarkEnd w:id="77"/>
      <w:bookmarkEnd w:id="78"/>
      <w:bookmarkEnd w:id="79"/>
    </w:p>
    <w:p>
      <w:pPr>
        <w:pStyle w:val="Style31"/>
        <w:rPr/>
      </w:pPr>
      <w:r>
        <w:rPr/>
        <w:t xml:space="preserve">Ce service consiste à garantir la pérennité et l’intégrité de l’ensemble des archives prises en charge par </w:t>
      </w:r>
      <w:r>
        <w:rPr/>
        <w:t>le SAE en mettant en œuvre les actions définies ci-après.</w:t>
      </w:r>
    </w:p>
    <w:p>
      <w:pPr>
        <w:pStyle w:val="Titre4"/>
        <w:numPr>
          <w:ilvl w:val="3"/>
          <w:numId w:val="1"/>
        </w:numPr>
        <w:tabs>
          <w:tab w:val="left" w:pos="0" w:leader="none"/>
        </w:tabs>
        <w:ind w:start="1701" w:end="0" w:hanging="0"/>
        <w:rPr/>
      </w:pPr>
      <w:bookmarkStart w:id="80" w:name="__RefHeading___Toc10751_1000569294"/>
      <w:bookmarkEnd w:id="80"/>
      <w:r>
        <w:rPr/>
        <w:t>5.3.1 C</w:t>
      </w:r>
      <w:r>
        <w:rPr/>
        <w:t>onservation sécurisée des archives par réplication des données sur des sites distants</w:t>
      </w:r>
    </w:p>
    <w:p>
      <w:pPr>
        <w:pStyle w:val="Style31"/>
        <w:rPr/>
      </w:pPr>
      <w:r>
        <w:rPr>
          <w:rStyle w:val="Rfrenceintense"/>
          <w:b w:val="false"/>
          <w:bCs w:val="false"/>
          <w:caps w:val="false"/>
          <w:smallCaps w:val="false"/>
          <w:color w:val="000000"/>
          <w:spacing w:val="0"/>
          <w:u w:val="none"/>
        </w:rPr>
        <w:t xml:space="preserve">L’infrastructure de stockage </w:t>
      </w:r>
      <w:r>
        <w:rPr>
          <w:rStyle w:val="Rfrenceintense"/>
          <w:b w:val="false"/>
          <w:bCs w:val="false"/>
          <w:caps w:val="false"/>
          <w:smallCaps w:val="false"/>
          <w:color w:val="000000"/>
          <w:spacing w:val="0"/>
          <w:u w:val="none"/>
        </w:rPr>
        <w:t>du SAE [</w:t>
      </w:r>
      <w:r>
        <w:rPr>
          <w:rStyle w:val="Rfrenceintense"/>
          <w:b w:val="false"/>
          <w:bCs w:val="false"/>
          <w:i/>
          <w:iCs/>
          <w:caps w:val="false"/>
          <w:smallCaps w:val="false"/>
          <w:color w:val="000000"/>
          <w:spacing w:val="0"/>
          <w:u w:val="none"/>
        </w:rPr>
        <w:t>nom du SAE</w:t>
      </w:r>
      <w:r>
        <w:rPr>
          <w:rStyle w:val="Rfrenceintense"/>
          <w:b w:val="false"/>
          <w:bCs w:val="false"/>
          <w:caps w:val="false"/>
          <w:smallCaps w:val="false"/>
          <w:color w:val="000000"/>
          <w:spacing w:val="0"/>
          <w:u w:val="none"/>
        </w:rPr>
        <w:t xml:space="preserve">] </w:t>
      </w:r>
      <w:r>
        <w:rPr>
          <w:rStyle w:val="Rfrenceintense"/>
          <w:b w:val="false"/>
          <w:bCs w:val="false"/>
          <w:caps w:val="false"/>
          <w:smallCaps w:val="false"/>
          <w:color w:val="000000"/>
          <w:spacing w:val="0"/>
          <w:u w:val="none"/>
        </w:rPr>
        <w:t xml:space="preserve">s’appuie sur une redondance des équipements, </w:t>
      </w:r>
      <w:r>
        <w:rPr>
          <w:rStyle w:val="Rfrenceintense"/>
          <w:b w:val="false"/>
          <w:bCs w:val="false"/>
          <w:caps w:val="false"/>
          <w:smallCaps w:val="false"/>
          <w:color w:val="000000"/>
          <w:spacing w:val="0"/>
          <w:u w:val="none"/>
        </w:rPr>
        <w:t>d’une part</w:t>
      </w:r>
      <w:r>
        <w:rPr>
          <w:rStyle w:val="Rfrenceintense"/>
          <w:b w:val="false"/>
          <w:bCs w:val="false"/>
          <w:caps w:val="false"/>
          <w:smallCaps w:val="false"/>
          <w:color w:val="000000"/>
          <w:spacing w:val="0"/>
          <w:u w:val="none"/>
        </w:rPr>
        <w:t xml:space="preserve"> à l’intérieur </w:t>
      </w:r>
      <w:r>
        <w:rPr>
          <w:rStyle w:val="Rfrenceintense"/>
          <w:b w:val="false"/>
          <w:bCs w:val="false"/>
          <w:caps w:val="false"/>
          <w:smallCaps w:val="false"/>
          <w:color w:val="000000"/>
          <w:spacing w:val="0"/>
          <w:u w:val="none"/>
        </w:rPr>
        <w:t>du site principal [</w:t>
      </w:r>
      <w:r>
        <w:rPr>
          <w:rStyle w:val="Rfrenceintense"/>
          <w:b w:val="false"/>
          <w:bCs w:val="false"/>
          <w:i/>
          <w:iCs/>
          <w:caps w:val="false"/>
          <w:smallCaps w:val="false"/>
          <w:color w:val="000000"/>
          <w:spacing w:val="0"/>
          <w:u w:val="none"/>
        </w:rPr>
        <w:t xml:space="preserve">nom </w:t>
      </w:r>
      <w:r>
        <w:rPr>
          <w:rStyle w:val="Rfrenceintense"/>
          <w:b w:val="false"/>
          <w:bCs w:val="false"/>
          <w:i/>
          <w:iCs/>
          <w:caps w:val="false"/>
          <w:smallCaps w:val="false"/>
          <w:color w:val="000000"/>
          <w:spacing w:val="0"/>
          <w:u w:val="none"/>
        </w:rPr>
        <w:t xml:space="preserve">et adresse </w:t>
      </w:r>
      <w:r>
        <w:rPr>
          <w:rStyle w:val="Rfrenceintense"/>
          <w:b w:val="false"/>
          <w:bCs w:val="false"/>
          <w:i/>
          <w:iCs/>
          <w:caps w:val="false"/>
          <w:smallCaps w:val="false"/>
          <w:color w:val="000000"/>
          <w:spacing w:val="0"/>
          <w:u w:val="none"/>
        </w:rPr>
        <w:t>du site principal</w:t>
      </w:r>
      <w:r>
        <w:rPr>
          <w:rStyle w:val="Rfrenceintense"/>
          <w:b w:val="false"/>
          <w:bCs w:val="false"/>
          <w:caps w:val="false"/>
          <w:smallCaps w:val="false"/>
          <w:color w:val="000000"/>
          <w:spacing w:val="0"/>
          <w:u w:val="none"/>
        </w:rPr>
        <w:t>]</w:t>
      </w:r>
      <w:r>
        <w:rPr>
          <w:rStyle w:val="Rfrenceintense"/>
          <w:b w:val="false"/>
          <w:bCs w:val="false"/>
          <w:caps w:val="false"/>
          <w:smallCaps w:val="false"/>
          <w:color w:val="000000"/>
          <w:spacing w:val="0"/>
          <w:u w:val="none"/>
        </w:rPr>
        <w:t xml:space="preserve"> et </w:t>
      </w:r>
      <w:r>
        <w:rPr>
          <w:rStyle w:val="Rfrenceintense"/>
          <w:b w:val="false"/>
          <w:bCs w:val="false"/>
          <w:caps w:val="false"/>
          <w:smallCaps w:val="false"/>
          <w:color w:val="000000"/>
          <w:spacing w:val="0"/>
          <w:u w:val="none"/>
        </w:rPr>
        <w:t>d’autre part par</w:t>
      </w:r>
      <w:r>
        <w:rPr>
          <w:rStyle w:val="Rfrenceintense"/>
          <w:b w:val="false"/>
          <w:bCs w:val="false"/>
          <w:caps w:val="false"/>
          <w:smallCaps w:val="false"/>
          <w:color w:val="000000"/>
          <w:spacing w:val="0"/>
          <w:u w:val="none"/>
        </w:rPr>
        <w:t xml:space="preserve"> réplication sur </w:t>
      </w:r>
      <w:r>
        <w:rPr>
          <w:rStyle w:val="Rfrenceintense"/>
          <w:b w:val="false"/>
          <w:bCs w:val="false"/>
          <w:caps w:val="false"/>
          <w:smallCaps w:val="false"/>
          <w:color w:val="000000"/>
          <w:spacing w:val="0"/>
          <w:u w:val="none"/>
        </w:rPr>
        <w:t>[</w:t>
      </w:r>
      <w:r>
        <w:rPr>
          <w:rStyle w:val="Rfrenceintense"/>
          <w:b w:val="false"/>
          <w:bCs w:val="false"/>
          <w:i/>
          <w:iCs/>
          <w:caps w:val="false"/>
          <w:smallCaps w:val="false"/>
          <w:color w:val="000000"/>
          <w:spacing w:val="0"/>
          <w:u w:val="none"/>
        </w:rPr>
        <w:t>nombre</w:t>
      </w:r>
      <w:r>
        <w:rPr>
          <w:rStyle w:val="Rfrenceintense"/>
          <w:b w:val="false"/>
          <w:bCs w:val="false"/>
          <w:caps w:val="false"/>
          <w:smallCaps w:val="false"/>
          <w:color w:val="000000"/>
          <w:spacing w:val="0"/>
          <w:u w:val="none"/>
        </w:rPr>
        <w:t>]</w:t>
      </w:r>
      <w:r>
        <w:rPr>
          <w:rStyle w:val="Rfrenceintense"/>
          <w:b w:val="false"/>
          <w:bCs w:val="false"/>
          <w:caps w:val="false"/>
          <w:smallCaps w:val="false"/>
          <w:color w:val="000000"/>
          <w:spacing w:val="0"/>
          <w:u w:val="none"/>
        </w:rPr>
        <w:t xml:space="preserve"> sites </w:t>
      </w:r>
      <w:r>
        <w:rPr>
          <w:rStyle w:val="Rfrenceintense"/>
          <w:b w:val="false"/>
          <w:bCs w:val="false"/>
          <w:caps w:val="false"/>
          <w:smallCaps w:val="false"/>
          <w:color w:val="000000"/>
          <w:spacing w:val="0"/>
          <w:u w:val="none"/>
        </w:rPr>
        <w:t>distants</w:t>
      </w:r>
      <w:r>
        <w:rPr>
          <w:rStyle w:val="Rfrenceintense"/>
          <w:b w:val="false"/>
          <w:bCs w:val="false"/>
          <w:caps w:val="false"/>
          <w:smallCaps w:val="false"/>
          <w:color w:val="000000"/>
          <w:spacing w:val="0"/>
          <w:u w:val="none"/>
        </w:rPr>
        <w:t xml:space="preserve"> </w:t>
      </w:r>
      <w:r>
        <w:rPr>
          <w:rStyle w:val="Rfrenceintense"/>
          <w:b w:val="false"/>
          <w:bCs w:val="false"/>
          <w:i w:val="false"/>
          <w:iCs w:val="false"/>
          <w:caps w:val="false"/>
          <w:smallCaps w:val="false"/>
          <w:color w:val="000000"/>
          <w:spacing w:val="0"/>
          <w:u w:val="none"/>
        </w:rPr>
        <w:t>[</w:t>
      </w:r>
      <w:r>
        <w:rPr>
          <w:rStyle w:val="Rfrenceintense"/>
          <w:b w:val="false"/>
          <w:bCs w:val="false"/>
          <w:i/>
          <w:iCs/>
          <w:caps w:val="false"/>
          <w:smallCaps w:val="false"/>
          <w:color w:val="000000"/>
          <w:spacing w:val="0"/>
          <w:u w:val="none"/>
        </w:rPr>
        <w:t xml:space="preserve">nom </w:t>
      </w:r>
      <w:r>
        <w:rPr>
          <w:rStyle w:val="Rfrenceintense"/>
          <w:b w:val="false"/>
          <w:bCs w:val="false"/>
          <w:i/>
          <w:iCs/>
          <w:caps w:val="false"/>
          <w:smallCaps w:val="false"/>
          <w:color w:val="000000"/>
          <w:spacing w:val="0"/>
          <w:u w:val="none"/>
        </w:rPr>
        <w:t xml:space="preserve">et adresse </w:t>
      </w:r>
      <w:r>
        <w:rPr>
          <w:rStyle w:val="Rfrenceintense"/>
          <w:b w:val="false"/>
          <w:bCs w:val="false"/>
          <w:i/>
          <w:iCs/>
          <w:caps w:val="false"/>
          <w:smallCaps w:val="false"/>
          <w:color w:val="000000"/>
          <w:spacing w:val="0"/>
          <w:u w:val="none"/>
        </w:rPr>
        <w:t>de chacun des sites et distance par rapport au site principal</w:t>
      </w:r>
      <w:r>
        <w:rPr>
          <w:rStyle w:val="Rfrenceintense"/>
          <w:b w:val="false"/>
          <w:bCs w:val="false"/>
          <w:i w:val="false"/>
          <w:iCs w:val="false"/>
          <w:caps w:val="false"/>
          <w:smallCaps w:val="false"/>
          <w:color w:val="000000"/>
          <w:spacing w:val="0"/>
          <w:u w:val="none"/>
        </w:rPr>
        <w:t>]</w:t>
      </w:r>
      <w:r>
        <w:rPr>
          <w:rStyle w:val="Rfrenceintense"/>
          <w:b w:val="false"/>
          <w:bCs w:val="false"/>
          <w:caps w:val="false"/>
          <w:smallCaps w:val="false"/>
          <w:color w:val="000000"/>
          <w:spacing w:val="0"/>
          <w:u w:val="none"/>
        </w:rPr>
        <w:t>.</w:t>
      </w:r>
    </w:p>
    <w:p>
      <w:pPr>
        <w:pStyle w:val="Style31"/>
        <w:rPr/>
      </w:pPr>
      <w:r>
        <w:rPr>
          <w:rStyle w:val="Rfrenceintense"/>
          <w:b w:val="false"/>
          <w:bCs w:val="false"/>
          <w:caps w:val="false"/>
          <w:smallCaps w:val="false"/>
          <w:color w:val="000000"/>
          <w:spacing w:val="0"/>
          <w:u w:val="none"/>
        </w:rPr>
        <w:t>Les données sont sauvegardées chaque jour par sauvegarde différentielle et [</w:t>
      </w:r>
      <w:r>
        <w:rPr>
          <w:rStyle w:val="Rfrenceintense"/>
          <w:b w:val="false"/>
          <w:bCs w:val="false"/>
          <w:i/>
          <w:caps w:val="false"/>
          <w:smallCaps w:val="false"/>
          <w:color w:val="000000"/>
          <w:spacing w:val="0"/>
          <w:u w:val="none"/>
        </w:rPr>
        <w:t>préciser ici la périodicité</w:t>
      </w:r>
      <w:r>
        <w:rPr>
          <w:rStyle w:val="Rfrenceintense"/>
          <w:b w:val="false"/>
          <w:bCs w:val="false"/>
          <w:caps w:val="false"/>
          <w:smallCaps w:val="false"/>
          <w:color w:val="000000"/>
          <w:spacing w:val="0"/>
          <w:u w:val="none"/>
        </w:rPr>
        <w:t>] par sauvegarde complète. L’accès et la manipulation des supports de sauvegarde sont réservés aux seules personnes autorisées.</w:t>
      </w:r>
    </w:p>
    <w:p>
      <w:pPr>
        <w:pStyle w:val="Titre4"/>
        <w:numPr>
          <w:ilvl w:val="3"/>
          <w:numId w:val="1"/>
        </w:numPr>
        <w:tabs>
          <w:tab w:val="left" w:pos="0" w:leader="none"/>
        </w:tabs>
        <w:ind w:start="1701" w:end="0" w:hanging="0"/>
        <w:rPr/>
      </w:pPr>
      <w:bookmarkStart w:id="81" w:name="__RefHeading___Toc10753_1000569294"/>
      <w:bookmarkEnd w:id="81"/>
      <w:r>
        <w:rPr/>
        <w:t>5.3.2 D</w:t>
      </w:r>
      <w:r>
        <w:rPr/>
        <w:t>éfinition, mise en œuvre et documentation des règles de contrôle d</w:t>
      </w:r>
      <w:r>
        <w:rPr/>
        <w:t>e l’intégrité</w:t>
      </w:r>
      <w:r>
        <w:rPr/>
        <w:t xml:space="preserve"> des fichiers</w:t>
      </w:r>
    </w:p>
    <w:p>
      <w:pPr>
        <w:pStyle w:val="Style31"/>
        <w:rPr/>
      </w:pPr>
      <w:r>
        <w:rPr/>
        <w:t>Le contrôle d’intégrité basé sur l’empreinte des documents a lieu à plusieurs niveaux du processus d’archivage :</w:t>
      </w:r>
    </w:p>
    <w:p>
      <w:pPr>
        <w:pStyle w:val="Style31"/>
        <w:numPr>
          <w:ilvl w:val="0"/>
          <w:numId w:val="5"/>
        </w:numPr>
        <w:rPr/>
      </w:pPr>
      <w:r>
        <w:rPr/>
        <w:t>a</w:t>
      </w:r>
      <w:r>
        <w:rPr/>
        <w:t xml:space="preserve">u moment du versement afin de s’assurer que les </w:t>
      </w:r>
      <w:r>
        <w:rPr/>
        <w:t>archives versées</w:t>
      </w:r>
      <w:r>
        <w:rPr/>
        <w:t xml:space="preserve"> sont bien </w:t>
      </w:r>
      <w:r>
        <w:rPr/>
        <w:t>celles</w:t>
      </w:r>
      <w:r>
        <w:rPr/>
        <w:t xml:space="preserve"> envoyé</w:t>
      </w:r>
      <w:r>
        <w:rPr/>
        <w:t>e</w:t>
      </w:r>
      <w:r>
        <w:rPr/>
        <w:t xml:space="preserve">s par le Service versant. Si </w:t>
      </w:r>
      <w:r>
        <w:rPr/>
        <w:t>certains documents font</w:t>
      </w:r>
      <w:r>
        <w:rPr/>
        <w:t xml:space="preserve"> l'objet d'une signature électronique,</w:t>
      </w:r>
      <w:r>
        <w:rPr/>
        <w:t xml:space="preserve"> </w:t>
      </w:r>
      <w:r>
        <w:rPr/>
        <w:t>[</w:t>
      </w:r>
      <w:r>
        <w:rPr/>
        <w:t xml:space="preserve">une vérification de cette signature est effectuée </w:t>
      </w:r>
      <w:r>
        <w:rPr/>
        <w:t>par le SAE / la vérification de la signature est à la charge du Service producteur] ;</w:t>
      </w:r>
    </w:p>
    <w:p>
      <w:pPr>
        <w:pStyle w:val="Style31"/>
        <w:numPr>
          <w:ilvl w:val="0"/>
          <w:numId w:val="5"/>
        </w:numPr>
        <w:rPr/>
      </w:pPr>
      <w:r>
        <w:rPr>
          <w:rStyle w:val="Rfrenceintense"/>
          <w:rFonts w:eastAsia="Garamond" w:cs="Garamond"/>
          <w:b w:val="false"/>
          <w:caps w:val="false"/>
          <w:smallCaps w:val="false"/>
          <w:color w:val="auto"/>
          <w:spacing w:val="0"/>
          <w:szCs w:val="24"/>
          <w:u w:val="none"/>
        </w:rPr>
        <w:t>t</w:t>
      </w:r>
      <w:r>
        <w:rPr>
          <w:rStyle w:val="Rfrenceintense"/>
          <w:rFonts w:eastAsia="Garamond" w:cs="Garamond"/>
          <w:b w:val="false"/>
          <w:caps w:val="false"/>
          <w:smallCaps w:val="false"/>
          <w:color w:val="auto"/>
          <w:spacing w:val="0"/>
          <w:szCs w:val="24"/>
          <w:u w:val="none"/>
        </w:rPr>
        <w:t xml:space="preserve">out au long de la conservation des archives, par sondage </w:t>
      </w:r>
      <w:r>
        <w:rPr>
          <w:rStyle w:val="Rfrenceintense"/>
          <w:rFonts w:eastAsia="Garamond" w:cs="Garamond"/>
          <w:b w:val="false"/>
          <w:caps w:val="false"/>
          <w:smallCaps w:val="false"/>
          <w:color w:val="auto"/>
          <w:spacing w:val="0"/>
          <w:szCs w:val="24"/>
          <w:u w:val="none"/>
        </w:rPr>
        <w:t>régulier [</w:t>
      </w:r>
      <w:r>
        <w:rPr>
          <w:rStyle w:val="Rfrenceintense"/>
          <w:rFonts w:eastAsia="Garamond" w:cs="Garamond"/>
          <w:b w:val="false"/>
          <w:i/>
          <w:iCs/>
          <w:caps w:val="false"/>
          <w:smallCaps w:val="false"/>
          <w:color w:val="auto"/>
          <w:spacing w:val="0"/>
          <w:szCs w:val="24"/>
          <w:u w:val="none"/>
        </w:rPr>
        <w:t>préciser la fréquence des sondages</w:t>
      </w:r>
      <w:r>
        <w:rPr>
          <w:rStyle w:val="Rfrenceintense"/>
          <w:rFonts w:eastAsia="Garamond" w:cs="Garamond"/>
          <w:b w:val="false"/>
          <w:caps w:val="false"/>
          <w:smallCaps w:val="false"/>
          <w:color w:val="auto"/>
          <w:spacing w:val="0"/>
          <w:szCs w:val="24"/>
          <w:u w:val="none"/>
        </w:rPr>
        <w:t>]</w:t>
      </w:r>
      <w:r>
        <w:rPr>
          <w:rStyle w:val="Policepardfaut"/>
          <w:rFonts w:eastAsia="Garamond" w:cs="Garamond"/>
          <w:b w:val="false"/>
          <w:i/>
          <w:iCs/>
          <w:caps w:val="false"/>
          <w:smallCaps w:val="false"/>
          <w:color w:val="auto"/>
          <w:spacing w:val="0"/>
          <w:szCs w:val="24"/>
          <w:u w:val="none"/>
        </w:rPr>
        <w:t>.</w:t>
      </w:r>
    </w:p>
    <w:p>
      <w:pPr>
        <w:pStyle w:val="Titre4"/>
        <w:numPr>
          <w:ilvl w:val="3"/>
          <w:numId w:val="1"/>
        </w:numPr>
        <w:tabs>
          <w:tab w:val="left" w:pos="0" w:leader="none"/>
        </w:tabs>
        <w:ind w:start="1701" w:end="0" w:hanging="0"/>
        <w:rPr/>
      </w:pPr>
      <w:bookmarkStart w:id="82" w:name="__RefHeading___Toc10755_1000569294"/>
      <w:bookmarkEnd w:id="82"/>
      <w:r>
        <w:rPr/>
        <w:t>5.3.3 D</w:t>
      </w:r>
      <w:r>
        <w:rPr/>
        <w:t>éfinition, mise en œuvre et documentation des règles de surveillance de l’obsolescence des formats</w:t>
      </w:r>
    </w:p>
    <w:p>
      <w:pPr>
        <w:pStyle w:val="Style31"/>
        <w:numPr>
          <w:ilvl w:val="0"/>
          <w:numId w:val="0"/>
        </w:numPr>
        <w:suppressAutoHyphens w:val="true"/>
        <w:bidi w:val="0"/>
        <w:ind w:start="2526" w:end="0" w:hanging="0"/>
        <w:jc w:val="both"/>
        <w:rPr/>
      </w:pPr>
      <w:r>
        <w:rPr>
          <w:rStyle w:val="Rfrenceintense"/>
          <w:rFonts w:eastAsia="Garamond" w:cs="Garamond"/>
          <w:b w:val="false"/>
          <w:caps w:val="false"/>
          <w:smallCaps w:val="false"/>
          <w:color w:val="auto"/>
          <w:spacing w:val="0"/>
          <w:szCs w:val="24"/>
          <w:u w:val="none"/>
        </w:rPr>
        <w:t>[</w:t>
      </w:r>
      <w:r>
        <w:rPr>
          <w:rStyle w:val="Rfrenceintense"/>
          <w:rFonts w:eastAsia="Garamond" w:cs="Garamond"/>
          <w:b w:val="false"/>
          <w:i/>
          <w:iCs/>
          <w:caps w:val="false"/>
          <w:smallCaps w:val="false"/>
          <w:color w:val="auto"/>
          <w:spacing w:val="0"/>
          <w:szCs w:val="24"/>
          <w:u w:val="none"/>
        </w:rPr>
        <w:t>Nom du Service d’archives</w:t>
      </w:r>
      <w:r>
        <w:rPr>
          <w:rStyle w:val="Rfrenceintense"/>
          <w:rFonts w:eastAsia="Garamond" w:cs="Garamond"/>
          <w:b w:val="false"/>
          <w:caps w:val="false"/>
          <w:smallCaps w:val="false"/>
          <w:color w:val="auto"/>
          <w:spacing w:val="0"/>
          <w:szCs w:val="24"/>
          <w:u w:val="none"/>
        </w:rPr>
        <w:t>] effectue une veille régulière sur l’obsolescence des formats de fichier au moyen de [</w:t>
      </w:r>
      <w:r>
        <w:rPr>
          <w:rStyle w:val="Rfrenceintense"/>
          <w:rFonts w:eastAsia="Garamond" w:cs="Garamond"/>
          <w:b w:val="false"/>
          <w:i/>
          <w:iCs/>
          <w:caps w:val="false"/>
          <w:smallCaps w:val="false"/>
          <w:color w:val="auto"/>
          <w:spacing w:val="0"/>
          <w:szCs w:val="24"/>
          <w:u w:val="none"/>
        </w:rPr>
        <w:t>préciser les outils et procédures de veille</w:t>
      </w:r>
      <w:r>
        <w:rPr>
          <w:rStyle w:val="Rfrenceintense"/>
          <w:rFonts w:eastAsia="Garamond" w:cs="Garamond"/>
          <w:b w:val="false"/>
          <w:caps w:val="false"/>
          <w:smallCaps w:val="false"/>
          <w:color w:val="auto"/>
          <w:spacing w:val="0"/>
          <w:szCs w:val="24"/>
          <w:u w:val="none"/>
        </w:rPr>
        <w:t>].</w:t>
      </w:r>
      <w:r>
        <w:br w:type="page"/>
      </w:r>
    </w:p>
    <w:p>
      <w:pPr>
        <w:pStyle w:val="Titre4"/>
        <w:numPr>
          <w:ilvl w:val="3"/>
          <w:numId w:val="1"/>
        </w:numPr>
        <w:tabs>
          <w:tab w:val="left" w:pos="0" w:leader="none"/>
        </w:tabs>
        <w:ind w:start="1701" w:end="0" w:hanging="0"/>
        <w:rPr/>
      </w:pPr>
      <w:bookmarkStart w:id="83" w:name="__RefHeading___Toc10757_1000569294"/>
      <w:bookmarkEnd w:id="83"/>
      <w:r>
        <w:rPr/>
        <w:t>5.3.4 D</w:t>
      </w:r>
      <w:r>
        <w:rPr/>
        <w:t>éfinition, mise en œuvre et documentation des règles de surveillance de l’obsolescence des supports</w:t>
      </w:r>
    </w:p>
    <w:p>
      <w:pPr>
        <w:pStyle w:val="Style31"/>
        <w:numPr>
          <w:ilvl w:val="0"/>
          <w:numId w:val="0"/>
        </w:numPr>
        <w:suppressAutoHyphens w:val="true"/>
        <w:bidi w:val="0"/>
        <w:ind w:start="2469" w:end="0" w:hanging="0"/>
        <w:jc w:val="both"/>
        <w:rPr/>
      </w:pPr>
      <w:r>
        <w:rPr>
          <w:rStyle w:val="Rfrenceintense"/>
          <w:rFonts w:eastAsia="Garamond" w:cs="Garamond"/>
          <w:b w:val="false"/>
          <w:caps w:val="false"/>
          <w:smallCaps w:val="false"/>
          <w:color w:val="auto"/>
          <w:spacing w:val="0"/>
          <w:szCs w:val="24"/>
          <w:u w:val="none"/>
        </w:rPr>
        <w:t>[</w:t>
      </w:r>
      <w:r>
        <w:rPr>
          <w:rStyle w:val="Rfrenceintense"/>
          <w:rFonts w:eastAsia="Garamond" w:cs="Garamond"/>
          <w:b w:val="false"/>
          <w:i/>
          <w:iCs/>
          <w:caps w:val="false"/>
          <w:smallCaps w:val="false"/>
          <w:color w:val="auto"/>
          <w:spacing w:val="0"/>
          <w:szCs w:val="24"/>
          <w:u w:val="none"/>
        </w:rPr>
        <w:t>Nom du Service d’archives / nom de l’Opérateur d’archivage le cas échéant</w:t>
      </w:r>
      <w:r>
        <w:rPr>
          <w:rStyle w:val="Rfrenceintense"/>
          <w:rFonts w:eastAsia="Garamond" w:cs="Garamond"/>
          <w:b w:val="false"/>
          <w:caps w:val="false"/>
          <w:smallCaps w:val="false"/>
          <w:color w:val="auto"/>
          <w:spacing w:val="0"/>
          <w:szCs w:val="24"/>
          <w:u w:val="none"/>
        </w:rPr>
        <w:t xml:space="preserve">] met en place des mécanismes de contrôle régulier des supports </w:t>
      </w:r>
      <w:r>
        <w:rPr>
          <w:rStyle w:val="Rfrenceintense"/>
          <w:rFonts w:eastAsia="Garamond" w:cs="Garamond"/>
          <w:b w:val="false"/>
          <w:caps w:val="false"/>
          <w:smallCaps w:val="false"/>
          <w:color w:val="auto"/>
          <w:spacing w:val="0"/>
          <w:szCs w:val="24"/>
          <w:u w:val="none"/>
        </w:rPr>
        <w:t>[</w:t>
      </w:r>
      <w:r>
        <w:rPr>
          <w:rStyle w:val="Rfrenceintense"/>
          <w:rFonts w:eastAsia="Garamond" w:cs="Garamond"/>
          <w:b w:val="false"/>
          <w:i/>
          <w:iCs/>
          <w:caps w:val="false"/>
          <w:smallCaps w:val="false"/>
          <w:color w:val="auto"/>
          <w:spacing w:val="0"/>
          <w:szCs w:val="24"/>
          <w:u w:val="none"/>
        </w:rPr>
        <w:t>préciser la nature et la fréquence des contrôles</w:t>
      </w:r>
      <w:r>
        <w:rPr>
          <w:rStyle w:val="Rfrenceintense"/>
          <w:rFonts w:eastAsia="Garamond" w:cs="Garamond"/>
          <w:b w:val="false"/>
          <w:caps w:val="false"/>
          <w:smallCaps w:val="false"/>
          <w:color w:val="auto"/>
          <w:spacing w:val="0"/>
          <w:szCs w:val="24"/>
          <w:u w:val="none"/>
        </w:rPr>
        <w:t>]</w:t>
      </w:r>
      <w:r>
        <w:rPr>
          <w:rStyle w:val="Rfrenceintense"/>
          <w:rFonts w:eastAsia="Garamond" w:cs="Garamond"/>
          <w:b w:val="false"/>
          <w:caps w:val="false"/>
          <w:smallCaps w:val="false"/>
          <w:color w:val="auto"/>
          <w:spacing w:val="0"/>
          <w:szCs w:val="24"/>
          <w:u w:val="none"/>
        </w:rPr>
        <w:t>.</w:t>
      </w:r>
    </w:p>
    <w:p>
      <w:pPr>
        <w:pStyle w:val="Titre4"/>
        <w:numPr>
          <w:ilvl w:val="3"/>
          <w:numId w:val="1"/>
        </w:numPr>
        <w:tabs>
          <w:tab w:val="left" w:pos="0" w:leader="none"/>
        </w:tabs>
        <w:ind w:start="1701" w:end="0" w:hanging="0"/>
        <w:rPr/>
      </w:pPr>
      <w:bookmarkStart w:id="84" w:name="__RefHeading___Toc7632_1888894366"/>
      <w:bookmarkEnd w:id="84"/>
      <w:r>
        <w:rPr/>
        <w:t>5.3.5 P</w:t>
      </w:r>
      <w:r>
        <w:rPr/>
        <w:t xml:space="preserve">lanification </w:t>
      </w:r>
      <w:r>
        <w:rPr/>
        <w:t xml:space="preserve">régulière </w:t>
      </w:r>
      <w:r>
        <w:rPr/>
        <w:t xml:space="preserve">d’opérations de </w:t>
      </w:r>
      <w:r>
        <w:rPr/>
        <w:t>conversions</w:t>
      </w:r>
      <w:r>
        <w:rPr/>
        <w:t xml:space="preserve"> de </w:t>
      </w:r>
      <w:r>
        <w:rPr/>
        <w:t>formats</w:t>
      </w:r>
    </w:p>
    <w:p>
      <w:pPr>
        <w:pStyle w:val="Style31"/>
        <w:numPr>
          <w:ilvl w:val="0"/>
          <w:numId w:val="0"/>
        </w:numPr>
        <w:suppressAutoHyphens w:val="true"/>
        <w:bidi w:val="0"/>
        <w:ind w:start="1749" w:end="0" w:hanging="0"/>
        <w:jc w:val="both"/>
        <w:rPr/>
      </w:pPr>
      <w:r>
        <w:rPr/>
        <w:t xml:space="preserve">Lorsqu’un format est identifié comme obsolète, </w:t>
      </w:r>
      <w:r>
        <w:rPr/>
        <w:t>[</w:t>
      </w:r>
      <w:r>
        <w:rPr>
          <w:i/>
          <w:iCs/>
        </w:rPr>
        <w:t>nom du Service d’archives</w:t>
      </w:r>
      <w:r>
        <w:rPr/>
        <w:t>]</w:t>
      </w:r>
      <w:r>
        <w:rPr/>
        <w:t xml:space="preserve"> propose à l’Autorité juridique de convertir les fichiers conservés sous ce format dans un </w:t>
      </w:r>
      <w:r>
        <w:rPr/>
        <w:t xml:space="preserve">nouveau format à même de garantir la lisibilité de ces fichiers dans le temps. </w:t>
      </w:r>
      <w:r>
        <w:rPr/>
        <w:t>Le SAE conserve alors la version initiale du fichier ainsi que sa version convertie.</w:t>
      </w:r>
    </w:p>
    <w:p>
      <w:pPr>
        <w:pStyle w:val="Style31"/>
        <w:rPr/>
      </w:pPr>
      <w:r>
        <w:rPr/>
        <w:t>Les conversions de format font l’objet d’un enregistrement dans le journal du cycle de vie des archives.</w:t>
      </w:r>
    </w:p>
    <w:p>
      <w:pPr>
        <w:pStyle w:val="Titre4"/>
        <w:numPr>
          <w:ilvl w:val="3"/>
          <w:numId w:val="1"/>
        </w:numPr>
        <w:tabs>
          <w:tab w:val="left" w:pos="0" w:leader="none"/>
        </w:tabs>
        <w:ind w:start="1701" w:end="0" w:hanging="0"/>
        <w:rPr/>
      </w:pPr>
      <w:bookmarkStart w:id="85" w:name="__RefHeading___Toc10761_1000569294"/>
      <w:bookmarkEnd w:id="85"/>
      <w:r>
        <w:rPr/>
        <w:t>5.3.6 P</w:t>
      </w:r>
      <w:r>
        <w:rPr/>
        <w:t xml:space="preserve">lanification </w:t>
      </w:r>
      <w:r>
        <w:rPr/>
        <w:t xml:space="preserve">régulière </w:t>
      </w:r>
      <w:r>
        <w:rPr/>
        <w:t xml:space="preserve">d’opérations de </w:t>
      </w:r>
      <w:r>
        <w:rPr/>
        <w:t>migrations</w:t>
      </w:r>
      <w:r>
        <w:rPr/>
        <w:t xml:space="preserve"> de </w:t>
      </w:r>
      <w:r>
        <w:rPr/>
        <w:t>supports</w:t>
      </w:r>
    </w:p>
    <w:p>
      <w:pPr>
        <w:pStyle w:val="Style31"/>
        <w:rPr/>
      </w:pPr>
      <w:r>
        <w:rPr>
          <w:rStyle w:val="Rfrenceintense"/>
          <w:b w:val="false"/>
          <w:bCs w:val="false"/>
          <w:caps w:val="false"/>
          <w:smallCaps w:val="false"/>
          <w:color w:val="000000"/>
          <w:u w:val="none"/>
        </w:rPr>
        <w:t xml:space="preserve">Lorsqu’un support de stockage est identifié comme obsolète par </w:t>
      </w:r>
      <w:r>
        <w:rPr>
          <w:rStyle w:val="Rfrenceintense"/>
          <w:b w:val="false"/>
          <w:bCs w:val="false"/>
          <w:caps w:val="false"/>
          <w:smallCaps w:val="false"/>
          <w:color w:val="000000"/>
          <w:u w:val="none"/>
        </w:rPr>
        <w:t>[</w:t>
      </w:r>
      <w:r>
        <w:rPr>
          <w:rStyle w:val="Rfrenceintense"/>
          <w:b w:val="false"/>
          <w:bCs w:val="false"/>
          <w:i/>
          <w:iCs/>
          <w:caps w:val="false"/>
          <w:smallCaps w:val="false"/>
          <w:color w:val="000000"/>
          <w:u w:val="none"/>
        </w:rPr>
        <w:t>nom du Service d’archives</w:t>
      </w:r>
      <w:r>
        <w:rPr>
          <w:rStyle w:val="Rfrenceintense"/>
          <w:b w:val="false"/>
          <w:bCs w:val="false"/>
          <w:caps w:val="false"/>
          <w:smallCaps w:val="false"/>
          <w:color w:val="000000"/>
          <w:u w:val="none"/>
        </w:rPr>
        <w:t>]</w:t>
      </w:r>
      <w:r>
        <w:rPr>
          <w:rStyle w:val="Rfrenceintense"/>
          <w:b w:val="false"/>
          <w:bCs w:val="false"/>
          <w:caps w:val="false"/>
          <w:smallCaps w:val="false"/>
          <w:color w:val="000000"/>
          <w:u w:val="none"/>
        </w:rPr>
        <w:t xml:space="preserve">, </w:t>
      </w:r>
      <w:r>
        <w:rPr>
          <w:rStyle w:val="Rfrenceintense"/>
          <w:b w:val="false"/>
          <w:bCs w:val="false"/>
          <w:caps w:val="false"/>
          <w:smallCaps w:val="false"/>
          <w:color w:val="000000"/>
          <w:u w:val="none"/>
        </w:rPr>
        <w:t>celui</w:t>
      </w:r>
      <w:r>
        <w:rPr>
          <w:rStyle w:val="Rfrenceintense"/>
          <w:b w:val="false"/>
          <w:bCs w:val="false"/>
          <w:caps w:val="false"/>
          <w:smallCaps w:val="false"/>
          <w:color w:val="000000"/>
          <w:u w:val="none"/>
        </w:rPr>
        <w:t>-ci procède à la migration de ces supports vers de nouveaux supports.</w:t>
      </w:r>
    </w:p>
    <w:p>
      <w:pPr>
        <w:pStyle w:val="Style31"/>
        <w:rPr/>
      </w:pPr>
      <w:r>
        <w:rPr>
          <w:rStyle w:val="Rfrenceintense"/>
          <w:b w:val="false"/>
          <w:bCs w:val="false"/>
          <w:caps w:val="false"/>
          <w:smallCaps w:val="false"/>
          <w:color w:val="000000"/>
          <w:u w:val="none"/>
        </w:rPr>
        <w:t xml:space="preserve">Cette migration a lieu sans interruption de service. </w:t>
      </w:r>
      <w:r>
        <w:rPr>
          <w:rStyle w:val="Rfrenceintense"/>
          <w:b w:val="false"/>
          <w:bCs w:val="false"/>
          <w:caps w:val="false"/>
          <w:smallCaps w:val="false"/>
          <w:color w:val="000000"/>
          <w:u w:val="none"/>
        </w:rPr>
        <w:t>Les anciens supports sont détruits dans des conditions sécurisées.</w:t>
      </w:r>
    </w:p>
    <w:p>
      <w:pPr>
        <w:pStyle w:val="Titre3"/>
        <w:numPr>
          <w:ilvl w:val="2"/>
          <w:numId w:val="1"/>
        </w:numPr>
        <w:tabs>
          <w:tab w:val="left" w:pos="0" w:leader="none"/>
        </w:tabs>
        <w:ind w:start="709" w:end="0" w:hanging="0"/>
        <w:rPr/>
      </w:pPr>
      <w:bookmarkStart w:id="86" w:name="__RefHeading___Toc10763_1000569294"/>
      <w:bookmarkEnd w:id="86"/>
      <w:r>
        <w:rPr>
          <w:rStyle w:val="Rfrenceple"/>
          <w:color w:val="000099"/>
        </w:rPr>
        <w:t>5.4</w:t>
      </w:r>
      <w:bookmarkStart w:id="87" w:name="_Toc479583900"/>
      <w:bookmarkStart w:id="88" w:name="_Toc478062651"/>
      <w:bookmarkStart w:id="89" w:name="_Toc479592139"/>
      <w:r>
        <w:rPr>
          <w:rStyle w:val="Rfrenceple"/>
          <w:color w:val="000099"/>
        </w:rPr>
        <w:t xml:space="preserve"> Gestion du cycle de vie des archives</w:t>
      </w:r>
      <w:bookmarkEnd w:id="87"/>
      <w:bookmarkEnd w:id="88"/>
      <w:bookmarkEnd w:id="89"/>
    </w:p>
    <w:p>
      <w:pPr>
        <w:pStyle w:val="Style31"/>
        <w:rPr/>
      </w:pPr>
      <w:r>
        <w:rPr/>
        <w:t>La gestion du cycle de vie des archives consiste en :</w:t>
      </w:r>
    </w:p>
    <w:p>
      <w:pPr>
        <w:pStyle w:val="Style31"/>
        <w:numPr>
          <w:ilvl w:val="0"/>
          <w:numId w:val="7"/>
        </w:numPr>
        <w:rPr/>
      </w:pPr>
      <w:r>
        <w:rPr/>
        <w:t>l</w:t>
      </w:r>
      <w:r>
        <w:rPr/>
        <w:t xml:space="preserve">a mise à jour (modification, suppression) des métadonnées </w:t>
      </w:r>
      <w:r>
        <w:rPr/>
        <w:t xml:space="preserve">de gestion des archives (durée d’utilité courante, durée d’utilité administrative, sort final, communicabilité, etc.) </w:t>
      </w:r>
      <w:r>
        <w:rPr/>
        <w:t>associées aux archives prises en charge ;</w:t>
      </w:r>
    </w:p>
    <w:p>
      <w:pPr>
        <w:pStyle w:val="Style31"/>
        <w:numPr>
          <w:ilvl w:val="0"/>
          <w:numId w:val="7"/>
        </w:numPr>
        <w:rPr/>
      </w:pPr>
      <w:r>
        <w:rPr/>
        <w:t>l</w:t>
      </w:r>
      <w:r>
        <w:rPr/>
        <w:t xml:space="preserve">a mise en œuvre, </w:t>
      </w:r>
      <w:r>
        <w:rPr/>
        <w:t>à l’issue de la durée d’utilité administrative,</w:t>
      </w:r>
      <w:r>
        <w:rPr/>
        <w:t xml:space="preserve"> du sort final </w:t>
      </w:r>
      <w:r>
        <w:rPr/>
        <w:t xml:space="preserve">(conservation </w:t>
      </w:r>
      <w:r>
        <w:rPr/>
        <w:t>ou</w:t>
      </w:r>
      <w:r>
        <w:rPr/>
        <w:t xml:space="preserve"> élimination)</w:t>
      </w:r>
      <w:r>
        <w:rPr/>
        <w:t xml:space="preserve"> des archives prises en</w:t>
      </w:r>
      <w:r>
        <w:rPr/>
        <w:t xml:space="preserve"> charge, dans le respect de la législation et de la réglementation en vigueur pour les archives publiques, </w:t>
      </w:r>
      <w:r>
        <w:rPr/>
        <w:t>ou la révision de la durée d’utilité administrative</w:t>
      </w:r>
      <w:r>
        <w:rPr/>
        <w:t>.</w:t>
      </w:r>
    </w:p>
    <w:p>
      <w:pPr>
        <w:pStyle w:val="Style31"/>
        <w:numPr>
          <w:ilvl w:val="0"/>
          <w:numId w:val="0"/>
        </w:numPr>
        <w:suppressAutoHyphens w:val="true"/>
        <w:bidi w:val="0"/>
        <w:ind w:start="1806" w:end="0" w:hanging="0"/>
        <w:jc w:val="both"/>
        <w:rPr/>
      </w:pPr>
      <w:r>
        <w:rPr/>
        <w:t>Les modifications des métadonnées font l’objet d’un enregistrement dans le journal du cycle de vie des archives.</w:t>
      </w:r>
    </w:p>
    <w:p>
      <w:pPr>
        <w:pStyle w:val="Style31"/>
        <w:rPr/>
      </w:pPr>
      <w:r>
        <w:rPr/>
        <w:t xml:space="preserve">L’opération </w:t>
      </w:r>
      <w:r>
        <w:rPr/>
        <w:t>d’élimination des archives</w:t>
      </w:r>
      <w:r>
        <w:rPr/>
        <w:t xml:space="preserve"> ne peut avoir lieu qu’après validation par </w:t>
      </w:r>
      <w:r>
        <w:rPr/>
        <w:t xml:space="preserve">le Service producteur et </w:t>
      </w:r>
      <w:r>
        <w:rPr/>
        <w:t xml:space="preserve">par </w:t>
      </w:r>
      <w:r>
        <w:rPr/>
        <w:t>l'</w:t>
      </w:r>
      <w:r>
        <w:rPr/>
        <w:t>A</w:t>
      </w:r>
      <w:r>
        <w:rPr/>
        <w:t xml:space="preserve">utorité </w:t>
      </w:r>
      <w:r>
        <w:rPr/>
        <w:t>de contrôle</w:t>
      </w:r>
      <w:r>
        <w:rPr/>
        <w:t xml:space="preserve">. Elle a pour effet de rendre totalement et définitivement inaccessibles les documents, y compris </w:t>
      </w:r>
      <w:r>
        <w:br w:type="page"/>
      </w:r>
    </w:p>
    <w:p>
      <w:pPr>
        <w:pStyle w:val="Style31"/>
        <w:rPr/>
      </w:pPr>
      <w:r>
        <w:rPr/>
        <w:t>leurs métadonnées et les enregistrements associés. La suppression concerne l’ensemble des fichiers y compris les sauvegardes et peut donner lieu, à la demande d</w:t>
      </w:r>
      <w:r>
        <w:rPr/>
        <w:t>u Service producteur</w:t>
      </w:r>
      <w:r>
        <w:rPr/>
        <w:t xml:space="preserve">, à la fourniture d’un certificat de destruction. Les suppressions font l’objet d’un enregistrement dans le journal </w:t>
      </w:r>
      <w:r>
        <w:rPr/>
        <w:t>de l’application</w:t>
      </w:r>
      <w:r>
        <w:rPr/>
        <w:t>.</w:t>
      </w:r>
    </w:p>
    <w:p>
      <w:pPr>
        <w:pStyle w:val="Titre3"/>
        <w:numPr>
          <w:ilvl w:val="2"/>
          <w:numId w:val="1"/>
        </w:numPr>
        <w:tabs>
          <w:tab w:val="left" w:pos="0" w:leader="none"/>
        </w:tabs>
        <w:ind w:start="709" w:end="0" w:hanging="0"/>
        <w:rPr/>
      </w:pPr>
      <w:bookmarkStart w:id="90" w:name="__RefHeading___Toc10765_1000569294"/>
      <w:bookmarkEnd w:id="90"/>
      <w:r>
        <w:rPr>
          <w:rStyle w:val="Rfrenceple"/>
          <w:color w:val="000099"/>
        </w:rPr>
        <w:t>5.5</w:t>
      </w:r>
      <w:r>
        <w:rPr>
          <w:rStyle w:val="Rfrenceple"/>
          <w:color w:val="000099"/>
        </w:rPr>
        <w:t xml:space="preserve"> </w:t>
      </w:r>
      <w:r>
        <w:rPr>
          <w:rStyle w:val="Rfrenceple"/>
          <w:color w:val="000099"/>
        </w:rPr>
        <w:t>Accès aux archives conservées dans le SAE</w:t>
      </w:r>
    </w:p>
    <w:p>
      <w:pPr>
        <w:pStyle w:val="Style31"/>
        <w:rPr/>
      </w:pPr>
      <w:r>
        <w:rPr/>
        <w:t xml:space="preserve">Ce service permet </w:t>
      </w:r>
      <w:r>
        <w:rPr/>
        <w:t>au Demandeur</w:t>
      </w:r>
      <w:r>
        <w:rPr/>
        <w:t xml:space="preserve"> autorisé d’</w:t>
      </w:r>
      <w:r>
        <w:rPr/>
        <w:t xml:space="preserve">effectuer des recherches dans le SAE afin de retrouver une information puis </w:t>
      </w:r>
      <w:r>
        <w:rPr/>
        <w:t>d’accéder au document archivé.</w:t>
      </w:r>
    </w:p>
    <w:p>
      <w:pPr>
        <w:pStyle w:val="Style31"/>
        <w:rPr/>
      </w:pPr>
      <w:r>
        <w:rPr>
          <w:rStyle w:val="Policepardfaut"/>
          <w:i/>
        </w:rPr>
        <w:t>[</w:t>
      </w:r>
      <w:r>
        <w:rPr>
          <w:rStyle w:val="Policepardfaut"/>
          <w:i/>
        </w:rPr>
        <w:t xml:space="preserve">Préciser ici </w:t>
      </w:r>
      <w:r>
        <w:rPr>
          <w:rStyle w:val="Policepardfaut"/>
          <w:i/>
        </w:rPr>
        <w:t xml:space="preserve">les </w:t>
      </w:r>
      <w:r>
        <w:rPr>
          <w:rStyle w:val="Policepardfaut"/>
          <w:i/>
        </w:rPr>
        <w:t>modalités de recherche et de consultation des documents</w:t>
      </w:r>
      <w:r>
        <w:rPr>
          <w:rStyle w:val="Policepardfaut"/>
          <w:i/>
        </w:rPr>
        <w:t xml:space="preserve"> </w:t>
      </w:r>
      <w:r>
        <w:rPr>
          <w:rStyle w:val="Policepardfaut"/>
          <w:i/>
        </w:rPr>
        <w:t>conservés dans le SAE, proposées en standard</w:t>
      </w:r>
      <w:r>
        <w:rPr>
          <w:rStyle w:val="Policepardfaut"/>
          <w:i/>
        </w:rPr>
        <w:t xml:space="preserve"> : </w:t>
      </w:r>
      <w:r>
        <w:rPr>
          <w:rStyle w:val="Policepardfaut"/>
          <w:i/>
        </w:rPr>
        <w:t xml:space="preserve">outil utilisé </w:t>
      </w:r>
      <w:r>
        <w:rPr>
          <w:rStyle w:val="Policepardfaut"/>
          <w:i/>
        </w:rPr>
        <w:t>(application métier / système d’information archivistique / SAE</w:t>
      </w:r>
      <w:r>
        <w:rPr>
          <w:rStyle w:val="Policepardfaut"/>
          <w:i/>
        </w:rPr>
        <w:t>)</w:t>
      </w:r>
      <w:r>
        <w:rPr>
          <w:rStyle w:val="Policepardfaut"/>
          <w:i/>
        </w:rPr>
        <w:t xml:space="preserve">, </w:t>
      </w:r>
      <w:r>
        <w:rPr>
          <w:rStyle w:val="Policepardfaut"/>
          <w:i/>
        </w:rPr>
        <w:t>format et modalités de communication des documents</w:t>
      </w:r>
      <w:r>
        <w:rPr>
          <w:rStyle w:val="Policepardfaut"/>
          <w:i/>
        </w:rPr>
        <w:t xml:space="preserve">, </w:t>
      </w:r>
      <w:r>
        <w:rPr>
          <w:rStyle w:val="Policepardfaut"/>
          <w:i/>
        </w:rPr>
        <w:t>délais de mise à disposition...</w:t>
      </w:r>
      <w:r>
        <w:rPr>
          <w:rStyle w:val="Policepardfaut"/>
          <w:i/>
        </w:rPr>
        <w:t>].</w:t>
      </w:r>
    </w:p>
    <w:p>
      <w:pPr>
        <w:pStyle w:val="Style31"/>
        <w:rPr/>
      </w:pPr>
      <w:r>
        <w:rPr/>
        <w:t>L’Autorité d’archivage vérifie :</w:t>
      </w:r>
    </w:p>
    <w:p>
      <w:pPr>
        <w:pStyle w:val="Style31"/>
        <w:numPr>
          <w:ilvl w:val="0"/>
          <w:numId w:val="6"/>
        </w:numPr>
        <w:rPr/>
      </w:pPr>
      <w:r>
        <w:rPr/>
        <w:t>l</w:t>
      </w:r>
      <w:r>
        <w:rPr/>
        <w:t>es habilitations des utilisateurs à rechercher des informations et à accéder aux archives ;</w:t>
      </w:r>
    </w:p>
    <w:p>
      <w:pPr>
        <w:pStyle w:val="Style31"/>
        <w:numPr>
          <w:ilvl w:val="0"/>
          <w:numId w:val="6"/>
        </w:numPr>
        <w:rPr/>
      </w:pPr>
      <w:r>
        <w:rPr/>
        <w:t>l</w:t>
      </w:r>
      <w:r>
        <w:rPr/>
        <w:t>a communicabilité des documents ;</w:t>
      </w:r>
    </w:p>
    <w:p>
      <w:pPr>
        <w:pStyle w:val="Style31"/>
        <w:numPr>
          <w:ilvl w:val="0"/>
          <w:numId w:val="6"/>
        </w:numPr>
        <w:rPr/>
      </w:pPr>
      <w:r>
        <w:rPr/>
        <w:t>l</w:t>
      </w:r>
      <w:r>
        <w:rPr/>
        <w:t xml:space="preserve">’intégrité des documents </w:t>
      </w:r>
      <w:r>
        <w:rPr/>
        <w:t>au moment de la communication</w:t>
      </w:r>
      <w:r>
        <w:rPr/>
        <w:t>.</w:t>
      </w:r>
    </w:p>
    <w:p>
      <w:pPr>
        <w:pStyle w:val="Style31"/>
        <w:rPr/>
      </w:pPr>
      <w:r>
        <w:rPr/>
        <w:t>[</w:t>
      </w:r>
      <w:r>
        <w:rPr>
          <w:i/>
          <w:iCs/>
        </w:rPr>
        <w:t>Dans le cas où le SAE enregistre les événements de consultation, indiquer une phrase du type :</w:t>
      </w:r>
    </w:p>
    <w:p>
      <w:pPr>
        <w:pStyle w:val="Style31"/>
        <w:rPr/>
      </w:pPr>
      <w:r>
        <w:rPr/>
        <w:t xml:space="preserve">La consultation des archives fait l’objet d’un enregistrement </w:t>
      </w:r>
      <w:r>
        <w:rPr/>
        <w:t>dans le journal d</w:t>
      </w:r>
      <w:r>
        <w:rPr>
          <w:i w:val="false"/>
          <w:iCs w:val="false"/>
        </w:rPr>
        <w:t>e l’application</w:t>
      </w:r>
      <w:r>
        <w:rPr>
          <w:rStyle w:val="Policepardfaut"/>
          <w:i w:val="false"/>
          <w:iCs w:val="false"/>
        </w:rPr>
        <w:t>.</w:t>
      </w:r>
      <w:r>
        <w:rPr>
          <w:rStyle w:val="Policepardfaut"/>
          <w:i w:val="false"/>
          <w:iCs w:val="false"/>
        </w:rPr>
        <w:t>]</w:t>
      </w:r>
    </w:p>
    <w:p>
      <w:pPr>
        <w:pStyle w:val="Titre3"/>
        <w:numPr>
          <w:ilvl w:val="2"/>
          <w:numId w:val="1"/>
        </w:numPr>
        <w:tabs>
          <w:tab w:val="left" w:pos="0" w:leader="none"/>
        </w:tabs>
        <w:ind w:start="709" w:end="0" w:hanging="0"/>
        <w:rPr/>
      </w:pPr>
      <w:bookmarkStart w:id="91" w:name="__RefHeading___Toc10767_1000569294"/>
      <w:bookmarkEnd w:id="91"/>
      <w:r>
        <w:rPr>
          <w:rStyle w:val="Rfrenceple"/>
          <w:color w:val="000099"/>
        </w:rPr>
        <w:t>5.6</w:t>
      </w:r>
      <w:bookmarkStart w:id="92" w:name="_Toc479583902"/>
      <w:bookmarkStart w:id="93" w:name="_Toc478062653"/>
      <w:bookmarkStart w:id="94" w:name="_Toc479592141"/>
      <w:r>
        <w:rPr>
          <w:rStyle w:val="Rfrenceple"/>
          <w:color w:val="000099"/>
        </w:rPr>
        <w:t xml:space="preserve"> Restitution des archives</w:t>
      </w:r>
      <w:bookmarkEnd w:id="92"/>
      <w:bookmarkEnd w:id="93"/>
      <w:bookmarkEnd w:id="94"/>
    </w:p>
    <w:p>
      <w:pPr>
        <w:pStyle w:val="Style31"/>
        <w:rPr/>
      </w:pPr>
      <w:r>
        <w:rPr/>
        <w:t>Quelle qu’en soit la cause, les archives (y compris les métadonnées) pourront, à la demande de l’Autorité juridique, lui être restituées. La restitution sera suivie de la destruction des archives (y compris les métadonnées) par l’Opérateur d’Archivage et lib</w:t>
      </w:r>
      <w:r>
        <w:rPr/>
        <w:t>é</w:t>
      </w:r>
      <w:r>
        <w:rPr/>
        <w:t>rera l’Autorité d’archivage de sa responsabilité.</w:t>
      </w:r>
    </w:p>
    <w:p>
      <w:pPr>
        <w:pStyle w:val="Style31"/>
        <w:rPr/>
      </w:pPr>
      <w:r>
        <w:rPr/>
        <w:t>Les opérations de restitution des archives font l’objet d’un enregistrement dans le journal du cycle de vie des archives.</w:t>
      </w:r>
    </w:p>
    <w:p>
      <w:pPr>
        <w:pStyle w:val="Style31"/>
        <w:rPr/>
      </w:pPr>
      <w:r>
        <w:rPr/>
        <w:t>Les archives sont restituée</w:t>
      </w:r>
      <w:r>
        <w:rPr/>
        <w:t xml:space="preserve">s selon des modalités conformes au SEDA. </w:t>
      </w:r>
      <w:r>
        <w:rPr/>
        <w:t>C</w:t>
      </w:r>
      <w:r>
        <w:rPr/>
        <w:t xml:space="preserve">es modalités et </w:t>
      </w:r>
      <w:r>
        <w:rPr/>
        <w:t xml:space="preserve">les </w:t>
      </w:r>
      <w:r>
        <w:rPr/>
        <w:t>supports de restitution des archives sont précisées dans le Contrat de service, conclu entre [</w:t>
      </w:r>
      <w:r>
        <w:rPr>
          <w:i/>
          <w:iCs/>
        </w:rPr>
        <w:t xml:space="preserve">nom de </w:t>
      </w:r>
      <w:r>
        <w:rPr>
          <w:i/>
          <w:iCs/>
        </w:rPr>
        <w:t>l’Autorité juridique</w:t>
      </w:r>
      <w:r>
        <w:rPr/>
        <w:t>]</w:t>
      </w:r>
      <w:r>
        <w:rPr/>
        <w:t xml:space="preserve"> et </w:t>
      </w:r>
      <w:r>
        <w:rPr/>
        <w:t>[</w:t>
      </w:r>
      <w:r>
        <w:rPr>
          <w:i/>
          <w:iCs/>
        </w:rPr>
        <w:t xml:space="preserve">nom de </w:t>
      </w:r>
      <w:r>
        <w:rPr>
          <w:i/>
          <w:iCs/>
        </w:rPr>
        <w:t>l’Autorité d’archivage</w:t>
      </w:r>
      <w:r>
        <w:rPr/>
        <w:t>]</w:t>
      </w:r>
      <w:r>
        <w:rPr/>
        <w:t>.</w:t>
      </w:r>
    </w:p>
    <w:p>
      <w:pPr>
        <w:pStyle w:val="Titre2"/>
        <w:numPr>
          <w:ilvl w:val="1"/>
          <w:numId w:val="1"/>
        </w:numPr>
        <w:tabs>
          <w:tab w:val="left" w:pos="0" w:leader="none"/>
        </w:tabs>
        <w:ind w:start="709" w:end="0" w:hanging="0"/>
        <w:rPr/>
      </w:pPr>
      <w:bookmarkStart w:id="95" w:name="__RefHeading___Toc10769_1000569294"/>
      <w:bookmarkEnd w:id="95"/>
      <w:r>
        <w:rPr/>
        <w:t>Article 6 – Engagements de service</w:t>
      </w:r>
    </w:p>
    <w:p>
      <w:pPr>
        <w:pStyle w:val="Style31"/>
        <w:rPr/>
      </w:pPr>
      <w:r>
        <w:rPr>
          <w:rStyle w:val="Rfrenceple"/>
          <w:b w:val="false"/>
          <w:bCs w:val="false"/>
          <w:caps w:val="false"/>
          <w:smallCaps w:val="false"/>
          <w:color w:val="000000"/>
        </w:rPr>
        <w:t xml:space="preserve">Cet article définit, pour chacun des critères de disponibilité, d’intégrité, de traçabilité, de sécurité et de confidentialité, les engagements de </w:t>
      </w:r>
      <w:r>
        <w:rPr>
          <w:rStyle w:val="Rfrenceple"/>
          <w:b w:val="false"/>
          <w:bCs w:val="false"/>
          <w:caps w:val="false"/>
          <w:smallCaps w:val="false"/>
          <w:color w:val="000000"/>
        </w:rPr>
        <w:t>[</w:t>
      </w:r>
      <w:r>
        <w:rPr>
          <w:rStyle w:val="Rfrenceple"/>
          <w:b w:val="false"/>
          <w:bCs w:val="false"/>
          <w:i/>
          <w:iCs/>
          <w:caps w:val="false"/>
          <w:smallCaps w:val="false"/>
          <w:color w:val="000000"/>
        </w:rPr>
        <w:t>nom du Service d’archives</w:t>
      </w:r>
      <w:r>
        <w:rPr>
          <w:rStyle w:val="Rfrenceple"/>
          <w:b w:val="false"/>
          <w:bCs w:val="false"/>
          <w:caps w:val="false"/>
          <w:smallCaps w:val="false"/>
          <w:color w:val="000000"/>
        </w:rPr>
        <w:t>]</w:t>
      </w:r>
      <w:r>
        <w:rPr>
          <w:rStyle w:val="Rfrenceple"/>
          <w:b w:val="false"/>
          <w:bCs w:val="false"/>
          <w:caps w:val="false"/>
          <w:smallCaps w:val="false"/>
          <w:color w:val="000000"/>
        </w:rPr>
        <w:t xml:space="preserve">. Des dispositions particulières </w:t>
      </w:r>
      <w:r>
        <w:rPr>
          <w:rStyle w:val="Rfrenceple"/>
          <w:b w:val="false"/>
          <w:bCs w:val="false"/>
          <w:caps w:val="false"/>
          <w:smallCaps w:val="false"/>
          <w:color w:val="000000"/>
        </w:rPr>
        <w:t xml:space="preserve">à un Service producteur utilisateur du service </w:t>
      </w:r>
      <w:r>
        <w:rPr>
          <w:rStyle w:val="Rfrenceple"/>
          <w:b w:val="false"/>
          <w:bCs w:val="false"/>
          <w:caps w:val="false"/>
          <w:smallCaps w:val="false"/>
          <w:color w:val="000000"/>
        </w:rPr>
        <w:t>peuvent être conclues dans les Contrats de service.</w:t>
      </w:r>
    </w:p>
    <w:p>
      <w:pPr>
        <w:pStyle w:val="Titre3"/>
        <w:numPr>
          <w:ilvl w:val="2"/>
          <w:numId w:val="1"/>
        </w:numPr>
        <w:tabs>
          <w:tab w:val="left" w:pos="0" w:leader="none"/>
        </w:tabs>
        <w:ind w:start="709" w:end="0" w:hanging="0"/>
        <w:rPr/>
      </w:pPr>
      <w:bookmarkStart w:id="96" w:name="__RefHeading___Toc10771_1000569294"/>
      <w:bookmarkEnd w:id="96"/>
      <w:r>
        <w:rPr>
          <w:rStyle w:val="Rfrenceple"/>
          <w:rFonts w:eastAsia="Garamond" w:cs="Times New Roman" w:ascii="Trebuchet MS" w:hAnsi="Trebuchet MS"/>
          <w:bCs/>
          <w:iCs/>
          <w:color w:val="000099"/>
          <w:kern w:val="2"/>
          <w:u w:val="none"/>
          <w:lang w:eastAsia="zh-CN" w:bidi="hi-IN"/>
        </w:rPr>
        <w:t xml:space="preserve">6.1 Disponibilité </w:t>
      </w:r>
      <w:r>
        <w:rPr>
          <w:rStyle w:val="Rfrenceple"/>
          <w:rFonts w:eastAsia="Garamond" w:cs="Times New Roman" w:ascii="Trebuchet MS" w:hAnsi="Trebuchet MS"/>
          <w:bCs/>
          <w:iCs/>
          <w:color w:val="000099"/>
          <w:kern w:val="2"/>
          <w:u w:val="none"/>
          <w:lang w:eastAsia="zh-CN" w:bidi="hi-IN"/>
        </w:rPr>
        <w:t>du SAE et des informations qu’il conserve</w:t>
      </w:r>
    </w:p>
    <w:p>
      <w:pPr>
        <w:pStyle w:val="Style31"/>
        <w:rPr/>
      </w:pPr>
      <w:r>
        <w:rPr>
          <w:rStyle w:val="Rfrenceple"/>
          <w:b w:val="false"/>
          <w:bCs w:val="false"/>
          <w:caps w:val="false"/>
          <w:smallCaps w:val="false"/>
        </w:rPr>
        <w:t>On entend par disponibilité le fait, pour les utilisateurs du SAE, de pouvoir accéder</w:t>
      </w:r>
      <w:r>
        <w:rPr>
          <w:rStyle w:val="Rfrenceple"/>
          <w:b w:val="false"/>
          <w:bCs w:val="false"/>
          <w:caps w:val="false"/>
          <w:smallCaps w:val="false"/>
        </w:rPr>
        <w:t xml:space="preserve"> au moment voulu </w:t>
      </w:r>
      <w:r>
        <w:rPr>
          <w:rStyle w:val="Rfrenceple"/>
          <w:b w:val="false"/>
          <w:bCs w:val="false"/>
          <w:caps w:val="false"/>
          <w:smallCaps w:val="false"/>
        </w:rPr>
        <w:t>aux</w:t>
      </w:r>
      <w:r>
        <w:rPr>
          <w:rStyle w:val="Rfrenceple"/>
          <w:b w:val="false"/>
          <w:bCs w:val="false"/>
          <w:caps w:val="false"/>
          <w:smallCaps w:val="false"/>
        </w:rPr>
        <w:t xml:space="preserve"> données et </w:t>
      </w:r>
      <w:r>
        <w:rPr>
          <w:rStyle w:val="Rfrenceple"/>
          <w:b w:val="false"/>
          <w:bCs w:val="false"/>
          <w:caps w:val="false"/>
          <w:smallCaps w:val="false"/>
        </w:rPr>
        <w:t>aux</w:t>
      </w:r>
      <w:r>
        <w:rPr>
          <w:rStyle w:val="Rfrenceple"/>
          <w:b w:val="false"/>
          <w:bCs w:val="false"/>
          <w:caps w:val="false"/>
          <w:smallCaps w:val="false"/>
        </w:rPr>
        <w:t xml:space="preserve"> fonction</w:t>
      </w:r>
      <w:r>
        <w:rPr>
          <w:rStyle w:val="Rfrenceple"/>
          <w:b w:val="false"/>
          <w:bCs w:val="false"/>
          <w:caps w:val="false"/>
          <w:smallCaps w:val="false"/>
        </w:rPr>
        <w:t>nalités du système.</w:t>
      </w:r>
    </w:p>
    <w:p>
      <w:pPr>
        <w:pStyle w:val="Style31"/>
        <w:rPr/>
      </w:pPr>
      <w:r>
        <w:rPr>
          <w:rStyle w:val="Rfrenceple"/>
          <w:b w:val="false"/>
          <w:bCs w:val="false"/>
          <w:caps w:val="false"/>
          <w:smallCaps w:val="false"/>
        </w:rPr>
        <w:t>Dans le cadre du SAE [</w:t>
      </w:r>
      <w:r>
        <w:rPr>
          <w:rStyle w:val="Rfrenceple"/>
          <w:b w:val="false"/>
          <w:bCs w:val="false"/>
          <w:i/>
          <w:iCs/>
          <w:caps w:val="false"/>
          <w:smallCaps w:val="false"/>
        </w:rPr>
        <w:t>nom du SAE</w:t>
      </w:r>
      <w:r>
        <w:rPr>
          <w:rStyle w:val="Rfrenceple"/>
          <w:b w:val="false"/>
          <w:bCs w:val="false"/>
          <w:caps w:val="false"/>
          <w:smallCaps w:val="false"/>
        </w:rPr>
        <w:t xml:space="preserve">], </w:t>
      </w:r>
      <w:r>
        <w:rPr>
          <w:rStyle w:val="Rfrenceple"/>
          <w:b w:val="false"/>
          <w:bCs w:val="false"/>
          <w:caps w:val="false"/>
          <w:smallCaps w:val="false"/>
        </w:rPr>
        <w:t>l’engagement de service en matière de disponibilité est [</w:t>
      </w:r>
      <w:r>
        <w:rPr>
          <w:rStyle w:val="Rfrenceple"/>
          <w:b w:val="false"/>
          <w:bCs w:val="false"/>
          <w:i/>
          <w:iCs/>
          <w:caps w:val="false"/>
          <w:smallCaps w:val="false"/>
        </w:rPr>
        <w:t>faible / moyen / fort / maximum</w:t>
      </w:r>
      <w:r>
        <w:rPr>
          <w:rStyle w:val="Rfrenceple"/>
          <w:b w:val="false"/>
          <w:bCs w:val="false"/>
          <w:caps w:val="false"/>
          <w:smallCaps w:val="false"/>
        </w:rPr>
        <w:t>], ce qui signifie que [</w:t>
      </w:r>
      <w:r>
        <w:rPr>
          <w:rStyle w:val="Rfrenceple"/>
          <w:b w:val="false"/>
          <w:bCs w:val="false"/>
          <w:i/>
          <w:iCs/>
          <w:caps w:val="false"/>
          <w:smallCaps w:val="false"/>
        </w:rPr>
        <w:t>préciser les engagements : taux d’interruption, délais de réponse du système</w:t>
      </w:r>
      <w:r>
        <w:rPr>
          <w:rStyle w:val="Rfrenceple"/>
          <w:b w:val="false"/>
          <w:bCs w:val="false"/>
          <w:caps w:val="false"/>
          <w:smallCaps w:val="false"/>
        </w:rPr>
        <w:t>].</w:t>
      </w:r>
    </w:p>
    <w:p>
      <w:pPr>
        <w:pStyle w:val="Style31"/>
        <w:rPr/>
      </w:pPr>
      <w:r>
        <w:rPr>
          <w:rStyle w:val="Rfrenceple"/>
          <w:b w:val="false"/>
          <w:bCs w:val="false"/>
          <w:caps w:val="false"/>
          <w:smallCaps w:val="false"/>
          <w:color w:val="000000"/>
        </w:rPr>
        <w:t xml:space="preserve">Des </w:t>
      </w:r>
      <w:r>
        <w:rPr>
          <w:rStyle w:val="Rfrenceple"/>
          <w:b w:val="false"/>
          <w:bCs w:val="false"/>
          <w:caps w:val="false"/>
          <w:smallCaps w:val="false"/>
          <w:color w:val="000000"/>
        </w:rPr>
        <w:t>délais particuliers sont fixés pour les cas suivants</w:t>
      </w:r>
      <w:r>
        <w:rPr>
          <w:rStyle w:val="Rfrenceple"/>
          <w:b w:val="false"/>
          <w:bCs w:val="false"/>
          <w:caps w:val="false"/>
          <w:smallCaps w:val="false"/>
          <w:color w:val="000000"/>
        </w:rPr>
        <w:t> :</w:t>
      </w:r>
    </w:p>
    <w:p>
      <w:pPr>
        <w:pStyle w:val="Style31"/>
        <w:numPr>
          <w:ilvl w:val="0"/>
          <w:numId w:val="8"/>
        </w:numPr>
        <w:rPr/>
      </w:pPr>
      <w:r>
        <w:rPr>
          <w:rStyle w:val="Rfrenceple"/>
          <w:b w:val="false"/>
          <w:bCs w:val="false"/>
          <w:caps w:val="false"/>
          <w:smallCaps w:val="false"/>
        </w:rPr>
        <w:t>d</w:t>
      </w:r>
      <w:r>
        <w:rPr>
          <w:rStyle w:val="Rfrenceple"/>
          <w:b w:val="false"/>
          <w:bCs w:val="false"/>
          <w:caps w:val="false"/>
          <w:smallCaps w:val="false"/>
        </w:rPr>
        <w:t>élai maximum pour délivrer l’accusé de réception de prise en charge d’un versement : [</w:t>
      </w:r>
      <w:r>
        <w:rPr>
          <w:rStyle w:val="Rfrenceple"/>
          <w:b w:val="false"/>
          <w:bCs w:val="false"/>
          <w:i/>
          <w:iCs/>
          <w:caps w:val="false"/>
          <w:smallCaps w:val="false"/>
        </w:rPr>
        <w:t>indiquer le délai</w:t>
      </w:r>
      <w:r>
        <w:rPr>
          <w:rStyle w:val="Rfrenceple"/>
          <w:b w:val="false"/>
          <w:bCs w:val="false"/>
          <w:caps w:val="false"/>
          <w:smallCaps w:val="false"/>
        </w:rPr>
        <w:t>] ;</w:t>
      </w:r>
    </w:p>
    <w:p>
      <w:pPr>
        <w:pStyle w:val="Style31"/>
        <w:numPr>
          <w:ilvl w:val="0"/>
          <w:numId w:val="8"/>
        </w:numPr>
        <w:rPr/>
      </w:pPr>
      <w:r>
        <w:rPr>
          <w:rStyle w:val="Rfrenceple"/>
          <w:b w:val="false"/>
          <w:bCs w:val="false"/>
          <w:caps w:val="false"/>
          <w:smallCaps w:val="false"/>
        </w:rPr>
        <w:t>d</w:t>
      </w:r>
      <w:r>
        <w:rPr>
          <w:rStyle w:val="Rfrenceple"/>
          <w:b w:val="false"/>
          <w:bCs w:val="false"/>
          <w:caps w:val="false"/>
          <w:smallCaps w:val="false"/>
        </w:rPr>
        <w:t xml:space="preserve">élai maximum de mise à disposition </w:t>
      </w:r>
      <w:r>
        <w:rPr>
          <w:rStyle w:val="Rfrenceple"/>
          <w:b w:val="false"/>
          <w:bCs w:val="false"/>
          <w:caps w:val="false"/>
          <w:smallCaps w:val="false"/>
        </w:rPr>
        <w:t>des documents</w:t>
      </w:r>
      <w:r>
        <w:rPr>
          <w:rStyle w:val="Rfrenceple"/>
          <w:b w:val="false"/>
          <w:bCs w:val="false"/>
          <w:caps w:val="false"/>
          <w:smallCaps w:val="false"/>
        </w:rPr>
        <w:t xml:space="preserve"> pour consultation : [</w:t>
      </w:r>
      <w:r>
        <w:rPr>
          <w:rStyle w:val="Rfrenceple"/>
          <w:b w:val="false"/>
          <w:bCs w:val="false"/>
          <w:i/>
          <w:iCs/>
          <w:caps w:val="false"/>
          <w:smallCaps w:val="false"/>
        </w:rPr>
        <w:t>indiquer le délai</w:t>
      </w:r>
      <w:r>
        <w:rPr>
          <w:rStyle w:val="Rfrenceple"/>
          <w:b w:val="false"/>
          <w:bCs w:val="false"/>
          <w:caps w:val="false"/>
          <w:smallCaps w:val="false"/>
        </w:rPr>
        <w:t>] ;</w:t>
      </w:r>
    </w:p>
    <w:p>
      <w:pPr>
        <w:pStyle w:val="Style31"/>
        <w:numPr>
          <w:ilvl w:val="0"/>
          <w:numId w:val="8"/>
        </w:numPr>
        <w:rPr/>
      </w:pPr>
      <w:r>
        <w:rPr>
          <w:rStyle w:val="Rfrenceple"/>
          <w:b w:val="false"/>
          <w:bCs w:val="false"/>
          <w:caps w:val="false"/>
          <w:smallCaps w:val="false"/>
        </w:rPr>
        <w:t>d</w:t>
      </w:r>
      <w:r>
        <w:rPr>
          <w:rStyle w:val="Rfrenceple"/>
          <w:b w:val="false"/>
          <w:bCs w:val="false"/>
          <w:caps w:val="false"/>
          <w:smallCaps w:val="false"/>
        </w:rPr>
        <w:t xml:space="preserve">élai maximum de mise à disposition </w:t>
      </w:r>
      <w:r>
        <w:rPr>
          <w:rStyle w:val="Rfrenceple"/>
          <w:b w:val="false"/>
          <w:bCs w:val="false"/>
          <w:caps w:val="false"/>
          <w:smallCaps w:val="false"/>
        </w:rPr>
        <w:t>des documents</w:t>
      </w:r>
      <w:r>
        <w:rPr>
          <w:rStyle w:val="Rfrenceple"/>
          <w:b w:val="false"/>
          <w:bCs w:val="false"/>
          <w:caps w:val="false"/>
          <w:smallCaps w:val="false"/>
        </w:rPr>
        <w:t xml:space="preserve"> pour </w:t>
      </w:r>
      <w:r>
        <w:rPr>
          <w:rStyle w:val="Rfrenceple"/>
          <w:b w:val="false"/>
          <w:bCs w:val="false"/>
          <w:caps w:val="false"/>
          <w:smallCaps w:val="false"/>
        </w:rPr>
        <w:t>restitution</w:t>
      </w:r>
      <w:r>
        <w:rPr>
          <w:rStyle w:val="Rfrenceple"/>
          <w:b w:val="false"/>
          <w:bCs w:val="false"/>
          <w:caps w:val="false"/>
          <w:smallCaps w:val="false"/>
        </w:rPr>
        <w:t>: [</w:t>
      </w:r>
      <w:r>
        <w:rPr>
          <w:rStyle w:val="Rfrenceple"/>
          <w:b w:val="false"/>
          <w:bCs w:val="false"/>
          <w:i/>
          <w:iCs/>
          <w:caps w:val="false"/>
          <w:smallCaps w:val="false"/>
        </w:rPr>
        <w:t>indiquer le délai</w:t>
      </w:r>
      <w:r>
        <w:rPr>
          <w:rStyle w:val="Rfrenceple"/>
          <w:b w:val="false"/>
          <w:bCs w:val="false"/>
          <w:caps w:val="false"/>
          <w:smallCaps w:val="false"/>
        </w:rPr>
        <w:t>].</w:t>
      </w:r>
    </w:p>
    <w:p>
      <w:pPr>
        <w:pStyle w:val="Titre3"/>
        <w:numPr>
          <w:ilvl w:val="2"/>
          <w:numId w:val="1"/>
        </w:numPr>
        <w:tabs>
          <w:tab w:val="left" w:pos="0" w:leader="none"/>
        </w:tabs>
        <w:ind w:start="709" w:end="0" w:hanging="0"/>
        <w:rPr/>
      </w:pPr>
      <w:bookmarkStart w:id="97" w:name="__RefHeading___Toc10773_1000569294"/>
      <w:bookmarkEnd w:id="97"/>
      <w:r>
        <w:rPr>
          <w:rStyle w:val="Rfrenceple"/>
          <w:rFonts w:eastAsia="Garamond" w:cs="Times New Roman" w:ascii="Trebuchet MS" w:hAnsi="Trebuchet MS"/>
          <w:bCs/>
          <w:iCs/>
          <w:color w:val="000099"/>
          <w:kern w:val="2"/>
          <w:u w:val="none"/>
          <w:lang w:eastAsia="zh-CN" w:bidi="hi-IN"/>
        </w:rPr>
        <w:t xml:space="preserve">6.2 Intégrité </w:t>
      </w:r>
      <w:r>
        <w:rPr>
          <w:rStyle w:val="Rfrenceple"/>
          <w:rFonts w:eastAsia="Garamond" w:cs="Times New Roman" w:ascii="Trebuchet MS" w:hAnsi="Trebuchet MS"/>
          <w:bCs/>
          <w:iCs/>
          <w:color w:val="000099"/>
          <w:kern w:val="2"/>
          <w:u w:val="none"/>
          <w:lang w:eastAsia="zh-CN" w:bidi="hi-IN"/>
        </w:rPr>
        <w:t>des informations conservées par le SAE</w:t>
      </w:r>
    </w:p>
    <w:p>
      <w:pPr>
        <w:pStyle w:val="Style31"/>
        <w:rPr/>
      </w:pPr>
      <w:r>
        <w:rPr>
          <w:rStyle w:val="Rfrenceple"/>
          <w:b w:val="false"/>
          <w:bCs w:val="false"/>
          <w:caps w:val="false"/>
          <w:smallCaps w:val="false"/>
        </w:rPr>
        <w:t>L’intégrité est la c</w:t>
      </w:r>
      <w:r>
        <w:rPr>
          <w:rStyle w:val="Rfrenceple"/>
          <w:b w:val="false"/>
          <w:bCs w:val="false"/>
          <w:caps w:val="false"/>
          <w:smallCaps w:val="false"/>
        </w:rPr>
        <w:t>aractéristique d’une information qui n’a subi aucune altération ou modification intentionnelle ou accidentelle.</w:t>
      </w:r>
    </w:p>
    <w:p>
      <w:pPr>
        <w:pStyle w:val="Style31"/>
        <w:rPr/>
      </w:pPr>
      <w:r>
        <w:rPr>
          <w:rStyle w:val="Rfrenceple"/>
          <w:b w:val="false"/>
          <w:bCs w:val="false"/>
          <w:caps w:val="false"/>
          <w:smallCaps w:val="false"/>
        </w:rPr>
        <w:t>Le SAE [</w:t>
      </w:r>
      <w:r>
        <w:rPr>
          <w:rStyle w:val="Rfrenceple"/>
          <w:b w:val="false"/>
          <w:bCs w:val="false"/>
          <w:i/>
          <w:iCs/>
          <w:caps w:val="false"/>
          <w:smallCaps w:val="false"/>
        </w:rPr>
        <w:t>nom du SAE</w:t>
      </w:r>
      <w:r>
        <w:rPr>
          <w:rStyle w:val="Rfrenceple"/>
          <w:b w:val="false"/>
          <w:bCs w:val="false"/>
          <w:caps w:val="false"/>
          <w:smallCaps w:val="false"/>
        </w:rPr>
        <w:t>] garantit l’intégrité de l’ensemble des informations qu’il conserve. Cette garantie repose sur un mécanisme de prise et de vérification d’empreintes, régulières et systématiques.</w:t>
      </w:r>
    </w:p>
    <w:p>
      <w:pPr>
        <w:pStyle w:val="Style31"/>
        <w:rPr/>
      </w:pPr>
      <w:r>
        <w:rPr>
          <w:rStyle w:val="Rfrenceple"/>
          <w:b w:val="false"/>
          <w:bCs w:val="false"/>
          <w:caps w:val="false"/>
          <w:smallCaps w:val="false"/>
        </w:rPr>
        <w:t xml:space="preserve">Dans le cas où une alerte relative à la perte d’intégrité d’un document est émise par le système, </w:t>
      </w:r>
      <w:r>
        <w:rPr>
          <w:rStyle w:val="Rfrenceple"/>
          <w:b w:val="false"/>
          <w:bCs w:val="false"/>
          <w:caps w:val="false"/>
          <w:smallCaps w:val="false"/>
        </w:rPr>
        <w:t>[</w:t>
      </w:r>
      <w:r>
        <w:rPr>
          <w:rStyle w:val="Rfrenceple"/>
          <w:b w:val="false"/>
          <w:bCs w:val="false"/>
          <w:i/>
          <w:iCs/>
          <w:caps w:val="false"/>
          <w:smallCaps w:val="false"/>
        </w:rPr>
        <w:t>nom du Service d’archives</w:t>
      </w:r>
      <w:r>
        <w:rPr>
          <w:rStyle w:val="Rfrenceple"/>
          <w:b w:val="false"/>
          <w:bCs w:val="false"/>
          <w:caps w:val="false"/>
          <w:smallCaps w:val="false"/>
        </w:rPr>
        <w:t>]</w:t>
      </w:r>
      <w:r>
        <w:rPr>
          <w:rStyle w:val="Rfrenceple"/>
          <w:b w:val="false"/>
          <w:bCs w:val="false"/>
          <w:caps w:val="false"/>
          <w:smallCaps w:val="false"/>
        </w:rPr>
        <w:t xml:space="preserve"> est tenu d’en informer immédiatement l’Autorité juridique.</w:t>
      </w:r>
    </w:p>
    <w:p>
      <w:pPr>
        <w:pStyle w:val="Style31"/>
        <w:rPr>
          <w:rStyle w:val="Rfrenceple"/>
          <w:b w:val="false"/>
          <w:b w:val="false"/>
          <w:bCs w:val="false"/>
          <w:caps w:val="false"/>
          <w:smallCaps w:val="false"/>
        </w:rPr>
      </w:pPr>
      <w:r>
        <w:rPr/>
      </w:r>
      <w:r>
        <w:br w:type="page"/>
      </w:r>
    </w:p>
    <w:p>
      <w:pPr>
        <w:pStyle w:val="Titre3"/>
        <w:numPr>
          <w:ilvl w:val="2"/>
          <w:numId w:val="1"/>
        </w:numPr>
        <w:tabs>
          <w:tab w:val="left" w:pos="0" w:leader="none"/>
        </w:tabs>
        <w:ind w:start="709" w:end="0" w:hanging="0"/>
        <w:rPr/>
      </w:pPr>
      <w:bookmarkStart w:id="98" w:name="__RefHeading___Toc10775_1000569294"/>
      <w:bookmarkEnd w:id="98"/>
      <w:r>
        <w:rPr>
          <w:rStyle w:val="Rfrenceple"/>
          <w:color w:val="000099"/>
        </w:rPr>
        <w:t>6</w:t>
      </w:r>
      <w:r>
        <w:rPr>
          <w:rStyle w:val="Rfrenceple"/>
          <w:color w:val="000099"/>
        </w:rPr>
        <w:t>.</w:t>
      </w:r>
      <w:r>
        <w:rPr>
          <w:rStyle w:val="Rfrenceple"/>
          <w:color w:val="000099"/>
        </w:rPr>
        <w:t>3</w:t>
      </w:r>
      <w:bookmarkStart w:id="99" w:name="_Toc479583903"/>
      <w:bookmarkStart w:id="100" w:name="_Toc478062654"/>
      <w:bookmarkStart w:id="101" w:name="_Toc479592142"/>
      <w:r>
        <w:rPr>
          <w:rStyle w:val="Rfrenceple"/>
          <w:color w:val="000099"/>
        </w:rPr>
        <w:t xml:space="preserve"> Traçabilité des opérations</w:t>
      </w:r>
      <w:bookmarkEnd w:id="99"/>
      <w:bookmarkEnd w:id="100"/>
      <w:bookmarkEnd w:id="101"/>
      <w:r>
        <w:rPr>
          <w:rStyle w:val="Rfrenceple"/>
          <w:color w:val="000099"/>
        </w:rPr>
        <w:t xml:space="preserve">, </w:t>
      </w:r>
      <w:r>
        <w:rPr>
          <w:rStyle w:val="Rfrenceple"/>
          <w:color w:val="000099"/>
        </w:rPr>
        <w:t>journaux</w:t>
      </w:r>
    </w:p>
    <w:p>
      <w:pPr>
        <w:pStyle w:val="Style31"/>
        <w:numPr>
          <w:ilvl w:val="0"/>
          <w:numId w:val="0"/>
        </w:numPr>
        <w:suppressAutoHyphens w:val="true"/>
        <w:bidi w:val="0"/>
        <w:ind w:start="1749" w:end="0" w:hanging="0"/>
        <w:jc w:val="both"/>
        <w:rPr/>
      </w:pPr>
      <w:r>
        <w:rPr/>
        <w:t>L’ensemble des opérations effectuées au sein du SAE est enregistré et tracé au sein de journaux qui sont eux-mêmes archivés dans le système.</w:t>
      </w:r>
    </w:p>
    <w:p>
      <w:pPr>
        <w:pStyle w:val="Style31"/>
        <w:rPr/>
      </w:pPr>
      <w:r>
        <w:rPr/>
        <w:t xml:space="preserve">Afin de constituer un ensemble de données à la fois suffisantes et cohérentes en matière de traçabilité, deux grands types d’événements sont enregistrés </w:t>
      </w:r>
      <w:r>
        <w:rPr/>
        <w:t>par le SAE</w:t>
      </w:r>
      <w:r>
        <w:rPr/>
        <w:t> :</w:t>
      </w:r>
    </w:p>
    <w:p>
      <w:pPr>
        <w:pStyle w:val="Style31"/>
        <w:numPr>
          <w:ilvl w:val="0"/>
          <w:numId w:val="6"/>
        </w:numPr>
        <w:rPr/>
      </w:pPr>
      <w:r>
        <w:rPr/>
        <w:t>l</w:t>
      </w:r>
      <w:r>
        <w:rPr/>
        <w:t xml:space="preserve">es événements </w:t>
      </w:r>
      <w:r>
        <w:rPr/>
        <w:t>ayant trait à</w:t>
      </w:r>
      <w:r>
        <w:rPr/>
        <w:t xml:space="preserve"> l’exploitation du système </w:t>
      </w:r>
      <w:r>
        <w:rPr/>
        <w:t>(logs de connexion, communications, etc.) dans le journal de l’application</w:t>
      </w:r>
      <w:r>
        <w:rPr/>
        <w:t> </w:t>
      </w:r>
      <w:r>
        <w:rPr>
          <w:rStyle w:val="Policepardfaut"/>
          <w:rFonts w:cs="Calibri"/>
        </w:rPr>
        <w:t>;</w:t>
      </w:r>
    </w:p>
    <w:p>
      <w:pPr>
        <w:pStyle w:val="Style31"/>
        <w:numPr>
          <w:ilvl w:val="0"/>
          <w:numId w:val="6"/>
        </w:numPr>
        <w:rPr/>
      </w:pPr>
      <w:r>
        <w:rPr/>
        <w:t>l</w:t>
      </w:r>
      <w:r>
        <w:rPr/>
        <w:t xml:space="preserve">es événements qui affectent les </w:t>
      </w:r>
      <w:r>
        <w:rPr/>
        <w:t>archives elles-mêmes (contrôles au moment du versement, migration de format, modification de métadonnées, etc.) dans le journal du cycle de vie.</w:t>
      </w:r>
    </w:p>
    <w:p>
      <w:pPr>
        <w:pStyle w:val="Titre4"/>
        <w:numPr>
          <w:ilvl w:val="3"/>
          <w:numId w:val="1"/>
        </w:numPr>
        <w:tabs>
          <w:tab w:val="left" w:pos="0" w:leader="none"/>
        </w:tabs>
        <w:ind w:start="1701" w:end="0" w:hanging="0"/>
        <w:rPr/>
      </w:pPr>
      <w:bookmarkStart w:id="102" w:name="__RefHeading___Toc10777_1000569294"/>
      <w:bookmarkEnd w:id="102"/>
      <w:r>
        <w:rPr/>
        <w:t>6.3.1. Intégrité des journaux</w:t>
      </w:r>
    </w:p>
    <w:p>
      <w:pPr>
        <w:pStyle w:val="Style31"/>
        <w:rPr/>
      </w:pPr>
      <w:r>
        <w:rPr/>
        <w:t>Le</w:t>
      </w:r>
      <w:r>
        <w:rPr/>
        <w:t>s</w:t>
      </w:r>
      <w:r>
        <w:rPr/>
        <w:t xml:space="preserve"> journa</w:t>
      </w:r>
      <w:r>
        <w:rPr/>
        <w:t>ux</w:t>
      </w:r>
      <w:r>
        <w:rPr/>
        <w:t xml:space="preserve"> </w:t>
      </w:r>
      <w:r>
        <w:rPr/>
        <w:t>sont</w:t>
      </w:r>
      <w:r>
        <w:rPr/>
        <w:t xml:space="preserve"> </w:t>
      </w:r>
      <w:r>
        <w:rPr/>
        <w:t>conservés dans les mêmes conditions de sécurité et d’intégrité que les archives auxquelles ils se rapportent. Il sont</w:t>
      </w:r>
      <w:r>
        <w:rPr/>
        <w:t xml:space="preserve"> horodaté</w:t>
      </w:r>
      <w:r>
        <w:rPr/>
        <w:t>s</w:t>
      </w:r>
      <w:r>
        <w:rPr/>
        <w:t xml:space="preserve"> une fois par jour, y compris en cas d’absence d’activité, et la continuité de la journalisation est assurée par un mécanisme de chaînage des journaux, conforme aux règles de l’art. </w:t>
      </w:r>
    </w:p>
    <w:p>
      <w:pPr>
        <w:pStyle w:val="Titre4"/>
        <w:numPr>
          <w:ilvl w:val="3"/>
          <w:numId w:val="1"/>
        </w:numPr>
        <w:tabs>
          <w:tab w:val="left" w:pos="0" w:leader="none"/>
        </w:tabs>
        <w:ind w:start="1701" w:end="0" w:hanging="0"/>
        <w:rPr/>
      </w:pPr>
      <w:bookmarkStart w:id="103" w:name="__RefHeading___Toc10779_1000569294"/>
      <w:bookmarkEnd w:id="103"/>
      <w:r>
        <w:rPr/>
        <w:t>6.3.2.</w:t>
      </w:r>
      <w:r>
        <w:rPr/>
        <w:t xml:space="preserve"> Conservation des journaux</w:t>
      </w:r>
    </w:p>
    <w:p>
      <w:pPr>
        <w:pStyle w:val="Style31"/>
        <w:rPr/>
      </w:pPr>
      <w:r>
        <w:rPr/>
        <w:t xml:space="preserve">Le </w:t>
      </w:r>
      <w:r>
        <w:rPr/>
        <w:t>journal de l’application est c</w:t>
      </w:r>
      <w:r>
        <w:rPr/>
        <w:t>onservé pendan</w:t>
      </w:r>
      <w:r>
        <w:rPr>
          <w:i w:val="false"/>
          <w:iCs w:val="false"/>
        </w:rPr>
        <w:t xml:space="preserve">t </w:t>
      </w:r>
      <w:r>
        <w:rPr>
          <w:rStyle w:val="Policepardfaut"/>
          <w:i w:val="false"/>
          <w:iCs w:val="false"/>
        </w:rPr>
        <w:t>toute la durée de vie du système.</w:t>
      </w:r>
    </w:p>
    <w:p>
      <w:pPr>
        <w:pStyle w:val="Style31"/>
        <w:rPr/>
      </w:pPr>
      <w:r>
        <w:rPr>
          <w:rStyle w:val="Policepardfaut"/>
          <w:i w:val="false"/>
          <w:iCs w:val="false"/>
        </w:rPr>
        <w:t>Le journa</w:t>
      </w:r>
      <w:r>
        <w:rPr>
          <w:rStyle w:val="Policepardfaut"/>
          <w:i w:val="false"/>
          <w:iCs w:val="false"/>
        </w:rPr>
        <w:t>l du cycle de vie est</w:t>
      </w:r>
      <w:r>
        <w:rPr>
          <w:rStyle w:val="Policepardfaut"/>
          <w:i w:val="false"/>
          <w:iCs w:val="false"/>
        </w:rPr>
        <w:t xml:space="preserve"> conservé pendant toute la durée de vie des archives. </w:t>
      </w:r>
      <w:r>
        <w:rPr>
          <w:rStyle w:val="Policepardfaut"/>
          <w:i w:val="false"/>
          <w:iCs w:val="false"/>
        </w:rPr>
        <w:t>En cas de restitution des archives, le journal est restitué avec les archives auxquelles il se rapporte et est éliminé du système initial.</w:t>
      </w:r>
    </w:p>
    <w:p>
      <w:pPr>
        <w:pStyle w:val="Titre4"/>
        <w:numPr>
          <w:ilvl w:val="3"/>
          <w:numId w:val="1"/>
        </w:numPr>
        <w:tabs>
          <w:tab w:val="left" w:pos="0" w:leader="none"/>
        </w:tabs>
        <w:ind w:start="1701" w:end="0" w:hanging="0"/>
        <w:rPr/>
      </w:pPr>
      <w:bookmarkStart w:id="104" w:name="__RefHeading___Toc10781_1000569294"/>
      <w:bookmarkEnd w:id="104"/>
      <w:r>
        <w:rPr>
          <w:rStyle w:val="Policepardfaut"/>
          <w:rFonts w:eastAsia="Garamond" w:cs="Garamond" w:ascii="Trebuchet MS" w:hAnsi="Trebuchet MS"/>
          <w:i w:val="false"/>
          <w:iCs w:val="false"/>
          <w:color w:val="000099"/>
          <w:sz w:val="24"/>
          <w:szCs w:val="24"/>
        </w:rPr>
        <w:t>6.3</w:t>
      </w:r>
      <w:r>
        <w:rPr>
          <w:rStyle w:val="Policepardfaut"/>
          <w:rFonts w:eastAsia="Garamond" w:cs="Garamond" w:ascii="Trebuchet MS" w:hAnsi="Trebuchet MS"/>
          <w:i w:val="false"/>
          <w:iCs w:val="false"/>
          <w:color w:val="000099"/>
          <w:sz w:val="24"/>
          <w:szCs w:val="24"/>
        </w:rPr>
        <w:t>.3. Consultation des journaux [</w:t>
      </w:r>
      <w:r>
        <w:rPr>
          <w:rStyle w:val="Policepardfaut"/>
          <w:rFonts w:eastAsia="Garamond" w:cs="Garamond" w:ascii="Trebuchet MS" w:hAnsi="Trebuchet MS"/>
          <w:i w:val="false"/>
          <w:iCs w:val="false"/>
          <w:color w:val="000099"/>
          <w:sz w:val="24"/>
          <w:szCs w:val="24"/>
        </w:rPr>
        <w:t xml:space="preserve">et des </w:t>
      </w:r>
      <w:r>
        <w:rPr>
          <w:rStyle w:val="Policepardfaut"/>
          <w:rFonts w:eastAsia="Garamond" w:cs="Garamond" w:ascii="Trebuchet MS" w:hAnsi="Trebuchet MS"/>
          <w:i w:val="false"/>
          <w:iCs w:val="false"/>
          <w:color w:val="000099"/>
          <w:sz w:val="24"/>
          <w:szCs w:val="24"/>
        </w:rPr>
        <w:t xml:space="preserve">attestations d’intégrité, </w:t>
      </w:r>
      <w:r>
        <w:rPr>
          <w:rStyle w:val="Policepardfaut"/>
          <w:rFonts w:eastAsia="Garamond" w:cs="Garamond" w:ascii="Trebuchet MS" w:hAnsi="Trebuchet MS"/>
          <w:i/>
          <w:iCs/>
          <w:color w:val="000099"/>
          <w:sz w:val="24"/>
          <w:szCs w:val="24"/>
        </w:rPr>
        <w:t>le cas échéant</w:t>
      </w:r>
      <w:r>
        <w:rPr>
          <w:rStyle w:val="Policepardfaut"/>
          <w:rFonts w:eastAsia="Garamond" w:cs="Garamond" w:ascii="Trebuchet MS" w:hAnsi="Trebuchet MS"/>
          <w:i w:val="false"/>
          <w:iCs w:val="false"/>
          <w:color w:val="000099"/>
          <w:sz w:val="24"/>
          <w:szCs w:val="24"/>
        </w:rPr>
        <w:t>]</w:t>
      </w:r>
    </w:p>
    <w:p>
      <w:pPr>
        <w:pStyle w:val="Style31"/>
        <w:rPr/>
      </w:pPr>
      <w:r>
        <w:rPr>
          <w:rStyle w:val="Policepardfaut"/>
          <w:i w:val="false"/>
          <w:iCs w:val="false"/>
        </w:rPr>
        <w:t xml:space="preserve">Le journal de l’application est communiqué, sur demande des utilisateurs par </w:t>
      </w:r>
      <w:r>
        <w:rPr>
          <w:rStyle w:val="Policepardfaut"/>
          <w:i w:val="false"/>
          <w:iCs w:val="false"/>
        </w:rPr>
        <w:t>[</w:t>
      </w:r>
      <w:r>
        <w:rPr>
          <w:rStyle w:val="Policepardfaut"/>
          <w:i/>
          <w:iCs/>
        </w:rPr>
        <w:t>nom du Service d’archives</w:t>
      </w:r>
      <w:r>
        <w:rPr>
          <w:rStyle w:val="Policepardfaut"/>
          <w:i w:val="false"/>
          <w:iCs w:val="false"/>
        </w:rPr>
        <w:t>]</w:t>
      </w:r>
      <w:r>
        <w:rPr>
          <w:rStyle w:val="Policepardfaut"/>
          <w:i w:val="false"/>
          <w:iCs w:val="false"/>
        </w:rPr>
        <w:t xml:space="preserve"> au format [</w:t>
      </w:r>
      <w:r>
        <w:rPr>
          <w:rStyle w:val="Policepardfaut"/>
          <w:i/>
          <w:iCs/>
        </w:rPr>
        <w:t>préciser le format</w:t>
      </w:r>
      <w:r>
        <w:rPr>
          <w:rStyle w:val="Policepardfaut"/>
          <w:i w:val="false"/>
          <w:iCs w:val="false"/>
        </w:rPr>
        <w:t>] et par extrait uniquement.</w:t>
      </w:r>
    </w:p>
    <w:p>
      <w:pPr>
        <w:pStyle w:val="Style31"/>
        <w:rPr/>
      </w:pPr>
      <w:r>
        <w:rPr>
          <w:rStyle w:val="Policepardfaut"/>
        </w:rPr>
        <w:t xml:space="preserve">Le journal du cycle de vie </w:t>
      </w:r>
      <w:r>
        <w:rPr>
          <w:rStyle w:val="Policepardfaut"/>
        </w:rPr>
        <w:t>des archives</w:t>
      </w:r>
      <w:r>
        <w:rPr>
          <w:rStyle w:val="Policepardfaut"/>
        </w:rPr>
        <w:t xml:space="preserve"> est disponible pour les utilisateurs dans le SAE. </w:t>
      </w:r>
    </w:p>
    <w:p>
      <w:pPr>
        <w:pStyle w:val="Style31"/>
        <w:rPr/>
      </w:pPr>
      <w:r>
        <w:rPr>
          <w:rStyle w:val="Policepardfaut"/>
          <w:i w:val="false"/>
          <w:iCs w:val="false"/>
        </w:rPr>
        <w:t>[Il est possible, à partir du système, d’éditer une attestation d’authenticité et d’intégrité des archives consultées au format [</w:t>
      </w:r>
      <w:r>
        <w:rPr>
          <w:rStyle w:val="Policepardfaut"/>
          <w:i/>
          <w:iCs/>
        </w:rPr>
        <w:t>préciser le format</w:t>
      </w:r>
      <w:r>
        <w:rPr>
          <w:rStyle w:val="Policepardfaut"/>
          <w:i w:val="false"/>
          <w:iCs w:val="false"/>
        </w:rPr>
        <w:t>].]</w:t>
      </w:r>
      <w:r>
        <w:br w:type="page"/>
      </w:r>
    </w:p>
    <w:p>
      <w:pPr>
        <w:pStyle w:val="Titre3"/>
        <w:numPr>
          <w:ilvl w:val="2"/>
          <w:numId w:val="1"/>
        </w:numPr>
        <w:tabs>
          <w:tab w:val="left" w:pos="0" w:leader="none"/>
        </w:tabs>
        <w:ind w:start="709" w:end="0" w:hanging="0"/>
        <w:rPr/>
      </w:pPr>
      <w:bookmarkStart w:id="105" w:name="__RefHeading___Toc10783_1000569294"/>
      <w:bookmarkEnd w:id="105"/>
      <w:r>
        <w:rPr>
          <w:rStyle w:val="Rfrenceple"/>
        </w:rPr>
        <w:t>6.4 Confidentialité des informations conservées dans le SAE</w:t>
      </w:r>
    </w:p>
    <w:p>
      <w:pPr>
        <w:pStyle w:val="Style31"/>
        <w:rPr/>
      </w:pPr>
      <w:r>
        <w:rPr>
          <w:rStyle w:val="Rfrenceple"/>
          <w:b w:val="false"/>
          <w:bCs w:val="false"/>
          <w:caps w:val="false"/>
          <w:smallCaps w:val="false"/>
        </w:rPr>
        <w:t>[</w:t>
      </w:r>
      <w:r>
        <w:rPr>
          <w:rStyle w:val="Rfrenceple"/>
          <w:b w:val="false"/>
          <w:bCs w:val="false"/>
          <w:i/>
          <w:iCs/>
          <w:caps w:val="false"/>
          <w:smallCaps w:val="false"/>
        </w:rPr>
        <w:t>Nom du Service d’archives</w:t>
      </w:r>
      <w:r>
        <w:rPr>
          <w:rStyle w:val="Rfrenceple"/>
          <w:b w:val="false"/>
          <w:bCs w:val="false"/>
          <w:caps w:val="false"/>
          <w:smallCaps w:val="false"/>
        </w:rPr>
        <w:t>]</w:t>
      </w:r>
      <w:r>
        <w:rPr>
          <w:rStyle w:val="Rfrenceple"/>
          <w:b w:val="false"/>
          <w:bCs w:val="false"/>
          <w:caps w:val="false"/>
          <w:smallCaps w:val="false"/>
        </w:rPr>
        <w:t xml:space="preserve"> garantit la confidentialité des informations conservées dans le SAE [</w:t>
      </w:r>
      <w:r>
        <w:rPr>
          <w:rStyle w:val="Rfrenceple"/>
          <w:b w:val="false"/>
          <w:bCs w:val="false"/>
          <w:i/>
          <w:iCs/>
          <w:caps w:val="false"/>
          <w:smallCaps w:val="false"/>
        </w:rPr>
        <w:t>nom du SAE</w:t>
      </w:r>
      <w:r>
        <w:rPr>
          <w:rStyle w:val="Rfrenceple"/>
          <w:b w:val="false"/>
          <w:bCs w:val="false"/>
          <w:caps w:val="false"/>
          <w:smallCaps w:val="false"/>
        </w:rPr>
        <w:t>], c’est-à-dire que les informations ne sont disponibles et divulguées qu’aux personnes ou processus autorisés.</w:t>
      </w:r>
    </w:p>
    <w:p>
      <w:pPr>
        <w:pStyle w:val="Style31"/>
        <w:rPr/>
      </w:pPr>
      <w:r>
        <w:rPr>
          <w:rStyle w:val="Rfrenceple"/>
          <w:b w:val="false"/>
          <w:bCs w:val="false"/>
          <w:caps w:val="false"/>
          <w:smallCaps w:val="false"/>
        </w:rPr>
        <w:t xml:space="preserve">Le Contrat de service définit la liste des utilisateurs </w:t>
      </w:r>
      <w:r>
        <w:rPr>
          <w:rStyle w:val="Rfrenceple"/>
          <w:b w:val="false"/>
          <w:bCs w:val="false"/>
          <w:caps w:val="false"/>
          <w:smallCaps w:val="false"/>
        </w:rPr>
        <w:t>de l’Autorité juridique</w:t>
      </w:r>
      <w:r>
        <w:rPr>
          <w:rStyle w:val="Rfrenceple"/>
          <w:b w:val="false"/>
          <w:bCs w:val="false"/>
          <w:caps w:val="false"/>
          <w:smallCaps w:val="false"/>
        </w:rPr>
        <w:t xml:space="preserve"> habilités à consulter les archives versées.</w:t>
      </w:r>
    </w:p>
    <w:p>
      <w:pPr>
        <w:pStyle w:val="Style31"/>
        <w:rPr/>
      </w:pPr>
      <w:r>
        <w:rPr>
          <w:rStyle w:val="Rfrenceple"/>
          <w:b w:val="false"/>
          <w:bCs w:val="false"/>
          <w:caps w:val="false"/>
          <w:smallCaps w:val="false"/>
        </w:rPr>
        <w:t>Le Contrat de versement définit la communicabilité des archives versées dans le SAE, en conformité avec les dispositions du Code du patrimoine à cet effet.</w:t>
      </w:r>
    </w:p>
    <w:p>
      <w:pPr>
        <w:pStyle w:val="Titre3"/>
        <w:numPr>
          <w:ilvl w:val="2"/>
          <w:numId w:val="1"/>
        </w:numPr>
        <w:tabs>
          <w:tab w:val="left" w:pos="0" w:leader="none"/>
        </w:tabs>
        <w:ind w:start="709" w:end="0" w:hanging="0"/>
        <w:rPr/>
      </w:pPr>
      <w:bookmarkStart w:id="106" w:name="__RefHeading___Toc10785_1000569294"/>
      <w:bookmarkEnd w:id="106"/>
      <w:r>
        <w:rPr>
          <w:rStyle w:val="Rfrenceple"/>
          <w:color w:val="000099"/>
        </w:rPr>
        <w:t>6.5</w:t>
      </w:r>
      <w:bookmarkStart w:id="107" w:name="_Toc479592143"/>
      <w:bookmarkStart w:id="108" w:name="_Toc479583904"/>
      <w:bookmarkStart w:id="109" w:name="_Toc478062655"/>
      <w:r>
        <w:rPr>
          <w:rStyle w:val="Rfrenceple"/>
          <w:color w:val="000099"/>
        </w:rPr>
        <w:t xml:space="preserve"> Sécurité </w:t>
      </w:r>
      <w:r>
        <w:rPr>
          <w:rStyle w:val="Rfrenceple"/>
          <w:color w:val="000099"/>
        </w:rPr>
        <w:t xml:space="preserve">du SAE </w:t>
      </w:r>
      <w:r>
        <w:rPr>
          <w:rStyle w:val="Rfrenceple"/>
          <w:color w:val="000099"/>
        </w:rPr>
        <w:t>et contrôle des accès</w:t>
      </w:r>
      <w:bookmarkEnd w:id="107"/>
      <w:bookmarkEnd w:id="108"/>
      <w:bookmarkEnd w:id="109"/>
    </w:p>
    <w:p>
      <w:pPr>
        <w:pStyle w:val="Titre4"/>
        <w:numPr>
          <w:ilvl w:val="3"/>
          <w:numId w:val="1"/>
        </w:numPr>
        <w:tabs>
          <w:tab w:val="left" w:pos="0" w:leader="none"/>
        </w:tabs>
        <w:ind w:start="1701" w:end="0" w:hanging="0"/>
        <w:rPr/>
      </w:pPr>
      <w:bookmarkStart w:id="110" w:name="__RefHeading___Toc10787_1000569294"/>
      <w:bookmarkEnd w:id="110"/>
      <w:r>
        <w:rPr>
          <w:rStyle w:val="Policepardfaut"/>
        </w:rPr>
        <w:t>6.5.1 Respect des bonnes pratiques en matière de sécurité</w:t>
      </w:r>
    </w:p>
    <w:p>
      <w:pPr>
        <w:pStyle w:val="Style31"/>
        <w:rPr/>
      </w:pPr>
      <w:r>
        <w:rPr/>
        <w:t xml:space="preserve">La mise en œuvre des mesures de sécurité et de contrôle des accès se fait dans le respect strict des éléments de sécurité prévus dans la Politique de sécurité des systèmes d’information. </w:t>
      </w:r>
      <w:r>
        <w:rPr>
          <w:rStyle w:val="Rfrenceintense"/>
          <w:b w:val="false"/>
          <w:caps w:val="false"/>
          <w:smallCaps w:val="false"/>
          <w:color w:val="auto"/>
          <w:spacing w:val="0"/>
          <w:u w:val="none"/>
        </w:rPr>
        <w:t>L’application des procédures de sécurité est supervisée par [</w:t>
      </w:r>
      <w:r>
        <w:rPr>
          <w:rStyle w:val="Rfrenceintense"/>
          <w:b w:val="false"/>
          <w:i/>
          <w:iCs/>
          <w:caps w:val="false"/>
          <w:smallCaps w:val="false"/>
          <w:color w:val="auto"/>
          <w:spacing w:val="0"/>
          <w:u w:val="none"/>
        </w:rPr>
        <w:t xml:space="preserve">nom de la personne en charge de la sécurité informatique au sein de la structure, </w:t>
      </w:r>
      <w:r>
        <w:rPr>
          <w:rStyle w:val="Rfrenceintense"/>
          <w:b w:val="false"/>
          <w:i/>
          <w:iCs/>
          <w:caps w:val="false"/>
          <w:smallCaps w:val="false"/>
          <w:color w:val="auto"/>
          <w:spacing w:val="0"/>
          <w:u w:val="none"/>
        </w:rPr>
        <w:t>p</w:t>
      </w:r>
      <w:r>
        <w:rPr>
          <w:rStyle w:val="Rfrenceintense"/>
          <w:b w:val="false"/>
          <w:i/>
          <w:caps w:val="false"/>
          <w:smallCaps w:val="false"/>
          <w:color w:val="auto"/>
          <w:spacing w:val="0"/>
          <w:u w:val="none"/>
        </w:rPr>
        <w:t>ar ex</w:t>
      </w:r>
      <w:r>
        <w:rPr>
          <w:rStyle w:val="Rfrenceintense"/>
          <w:b w:val="false"/>
          <w:i/>
          <w:caps w:val="false"/>
          <w:smallCaps w:val="false"/>
          <w:color w:val="auto"/>
          <w:spacing w:val="0"/>
          <w:u w:val="none"/>
        </w:rPr>
        <w:t>emple</w:t>
      </w:r>
      <w:r>
        <w:rPr>
          <w:rStyle w:val="Rfrenceintense"/>
          <w:b w:val="false"/>
          <w:i/>
          <w:caps w:val="false"/>
          <w:smallCaps w:val="false"/>
          <w:color w:val="auto"/>
          <w:spacing w:val="0"/>
          <w:u w:val="none"/>
        </w:rPr>
        <w:t xml:space="preserve"> le RSSI</w:t>
      </w:r>
      <w:r>
        <w:rPr>
          <w:rStyle w:val="Rfrenceintense"/>
          <w:b w:val="false"/>
          <w:caps w:val="false"/>
          <w:smallCaps w:val="false"/>
          <w:color w:val="auto"/>
          <w:spacing w:val="0"/>
          <w:u w:val="none"/>
        </w:rPr>
        <w:t>]</w:t>
      </w:r>
      <w:r>
        <w:rPr>
          <w:rStyle w:val="Rfrenceintense"/>
          <w:b w:val="false"/>
          <w:color w:val="auto"/>
          <w:spacing w:val="0"/>
          <w:u w:val="none"/>
        </w:rPr>
        <w:t>.</w:t>
      </w:r>
    </w:p>
    <w:p>
      <w:pPr>
        <w:pStyle w:val="Style31"/>
        <w:rPr/>
      </w:pPr>
      <w:r>
        <w:rPr/>
        <w:t>L’architecture réseau des systèmes informatiques supportant les fonctions du S</w:t>
      </w:r>
      <w:r>
        <w:rPr/>
        <w:t>AE</w:t>
      </w:r>
      <w:r>
        <w:rPr/>
        <w:t xml:space="preserve"> respecte les bonnes pratiques en matière de sécurité réseau (cloisonnement, séparation des environnements (test / production), règles de filtrage, robustesse des équipements réseau).</w:t>
      </w:r>
    </w:p>
    <w:p>
      <w:pPr>
        <w:pStyle w:val="Titre4"/>
        <w:numPr>
          <w:ilvl w:val="3"/>
          <w:numId w:val="1"/>
        </w:numPr>
        <w:tabs>
          <w:tab w:val="left" w:pos="0" w:leader="none"/>
        </w:tabs>
        <w:ind w:start="1701" w:end="0" w:hanging="0"/>
        <w:rPr/>
      </w:pPr>
      <w:bookmarkStart w:id="111" w:name="__RefHeading___Toc10789_1000569294"/>
      <w:bookmarkEnd w:id="111"/>
      <w:r>
        <w:rPr>
          <w:rStyle w:val="Policepardfaut"/>
        </w:rPr>
        <w:t>6.5.2 Contrôle des accès au système et aux locaux de stockage</w:t>
      </w:r>
    </w:p>
    <w:p>
      <w:pPr>
        <w:pStyle w:val="Style31"/>
        <w:rPr/>
      </w:pPr>
      <w:r>
        <w:rPr/>
        <w:t xml:space="preserve">Le </w:t>
      </w:r>
      <w:r>
        <w:rPr/>
        <w:t>SAE</w:t>
      </w:r>
      <w:r>
        <w:rPr/>
        <w:t xml:space="preserve"> n’est accessible, physiquement et logiquement, qu'à des personnes nominativement autorisées. Les restrictions d'accès aux systèmes et informations sont définies conformément à leur besoin de sécurité et à la criticité des actions autorisées sur les données et ressources. Les utilisateurs du </w:t>
      </w:r>
      <w:r>
        <w:rPr/>
        <w:t>SAE</w:t>
      </w:r>
      <w:r>
        <w:rPr/>
        <w:t xml:space="preserve"> font l'objet d'une identification personnelle et unique sous la forme [</w:t>
      </w:r>
      <w:r>
        <w:rPr>
          <w:rStyle w:val="Policepardfaut"/>
          <w:i/>
        </w:rPr>
        <w:t>préciser les modalités d’authentification des utilisateurs</w:t>
      </w:r>
      <w:r>
        <w:rPr/>
        <w:t>].</w:t>
      </w:r>
    </w:p>
    <w:p>
      <w:pPr>
        <w:pStyle w:val="Style31"/>
        <w:rPr/>
      </w:pPr>
      <w:r>
        <w:rPr/>
        <w:t xml:space="preserve">Les locaux abritant le </w:t>
      </w:r>
      <w:r>
        <w:rPr/>
        <w:t>SAE</w:t>
      </w:r>
      <w:r>
        <w:rPr/>
        <w:t xml:space="preserve"> font l'objet de contrôle</w:t>
      </w:r>
      <w:r>
        <w:rPr/>
        <w:t>s</w:t>
      </w:r>
      <w:r>
        <w:rPr/>
        <w:t xml:space="preserve"> d'accès physique empêchant l'accès à des personnes non autorisées. Les locaux sont protégés contre les accidents et pannes dus à l'environnement : dégâts des eaux, incendies, pannes électriques, panne de la climatisation, panne des réseaux de télécommunication.</w:t>
      </w:r>
      <w:bookmarkStart w:id="112" w:name="_Toc479583905"/>
      <w:bookmarkStart w:id="113" w:name="_Toc479592144"/>
      <w:r>
        <w:br w:type="page"/>
      </w:r>
    </w:p>
    <w:p>
      <w:pPr>
        <w:pStyle w:val="Titre4"/>
        <w:numPr>
          <w:ilvl w:val="3"/>
          <w:numId w:val="1"/>
        </w:numPr>
        <w:tabs>
          <w:tab w:val="left" w:pos="0" w:leader="none"/>
        </w:tabs>
        <w:spacing w:before="0" w:after="240"/>
        <w:ind w:start="1701" w:end="0" w:hanging="0"/>
        <w:rPr/>
      </w:pPr>
      <w:bookmarkStart w:id="114" w:name="__RefHeading___Toc7634_1888894366"/>
      <w:bookmarkEnd w:id="114"/>
      <w:r>
        <w:rPr>
          <w:rStyle w:val="Policepardfaut"/>
        </w:rPr>
        <w:t>6.5.3 Plan de continuité d’activités</w:t>
      </w:r>
    </w:p>
    <w:p>
      <w:pPr>
        <w:pStyle w:val="Style31"/>
        <w:spacing w:before="0" w:after="240"/>
        <w:rPr/>
      </w:pPr>
      <w:r>
        <w:rPr/>
        <w:t>[</w:t>
      </w:r>
      <w:r>
        <w:rPr>
          <w:i/>
          <w:iCs/>
        </w:rPr>
        <w:t>Nom du Service d’archives</w:t>
      </w:r>
      <w:r>
        <w:rPr/>
        <w:t>]</w:t>
      </w:r>
      <w:r>
        <w:rPr/>
        <w:t xml:space="preserve"> dispose d'un plan de continuité </w:t>
      </w:r>
      <w:r>
        <w:rPr/>
        <w:t>et de reprise</w:t>
      </w:r>
      <w:r>
        <w:rPr/>
        <w:t xml:space="preserve"> d'activités (PCA) couvrant l'ensemble des services du </w:t>
      </w:r>
      <w:r>
        <w:rPr/>
        <w:t>SAE.</w:t>
      </w:r>
    </w:p>
    <w:p>
      <w:pPr>
        <w:pStyle w:val="Style31"/>
        <w:spacing w:before="0" w:after="240"/>
        <w:rPr/>
      </w:pPr>
      <w:r>
        <w:rPr/>
      </w:r>
    </w:p>
    <w:p>
      <w:pPr>
        <w:pStyle w:val="Titre2"/>
        <w:numPr>
          <w:ilvl w:val="1"/>
          <w:numId w:val="1"/>
        </w:numPr>
        <w:tabs>
          <w:tab w:val="left" w:pos="0" w:leader="none"/>
        </w:tabs>
        <w:spacing w:before="0" w:after="240"/>
        <w:ind w:start="709" w:end="0" w:hanging="0"/>
        <w:rPr/>
      </w:pPr>
      <w:bookmarkStart w:id="115" w:name="__RefHeading___Toc10793_1000569294"/>
      <w:bookmarkEnd w:id="115"/>
      <w:r>
        <w:rPr>
          <w:rStyle w:val="Titredulivre"/>
          <w:color w:val="000099"/>
        </w:rPr>
        <w:t>A</w:t>
      </w:r>
      <w:r>
        <w:rPr>
          <w:rStyle w:val="Titredulivre"/>
          <w:color w:val="000099"/>
        </w:rPr>
        <w:t xml:space="preserve">rticle </w:t>
      </w:r>
      <w:r>
        <w:rPr>
          <w:rStyle w:val="Titredulivre"/>
          <w:color w:val="000099"/>
        </w:rPr>
        <w:t>7 -</w:t>
      </w:r>
      <w:r>
        <w:rPr>
          <w:rStyle w:val="Titredulivre"/>
          <w:color w:val="000099"/>
        </w:rPr>
        <w:t xml:space="preserve"> Diffusion et mise à jour</w:t>
      </w:r>
      <w:bookmarkEnd w:id="112"/>
      <w:bookmarkEnd w:id="113"/>
    </w:p>
    <w:p>
      <w:pPr>
        <w:pStyle w:val="Style31"/>
        <w:rPr/>
      </w:pPr>
      <w:r>
        <w:rPr>
          <w:rStyle w:val="Rfrenceintense"/>
          <w:b w:val="false"/>
          <w:bCs w:val="false"/>
          <w:caps w:val="false"/>
          <w:smallCaps w:val="false"/>
          <w:color w:val="000000"/>
          <w:spacing w:val="0"/>
          <w:u w:val="none"/>
        </w:rPr>
        <w:t>La Politique d’archivage est validée par [</w:t>
      </w:r>
      <w:r>
        <w:rPr>
          <w:rStyle w:val="Rfrenceintense"/>
          <w:b w:val="false"/>
          <w:bCs w:val="false"/>
          <w:i/>
          <w:caps w:val="false"/>
          <w:smallCaps w:val="false"/>
          <w:color w:val="000000"/>
          <w:spacing w:val="0"/>
          <w:u w:val="none"/>
        </w:rPr>
        <w:t xml:space="preserve">préciser </w:t>
      </w:r>
      <w:r>
        <w:rPr>
          <w:rStyle w:val="Rfrenceintense"/>
          <w:b w:val="false"/>
          <w:bCs w:val="false"/>
          <w:i/>
          <w:caps w:val="false"/>
          <w:smallCaps w:val="false"/>
          <w:color w:val="000000"/>
          <w:spacing w:val="0"/>
          <w:u w:val="none"/>
        </w:rPr>
        <w:t>le nom de l’entité chargée de la validation du document</w:t>
      </w:r>
      <w:r>
        <w:rPr>
          <w:rStyle w:val="Rfrenceintense"/>
          <w:b w:val="false"/>
          <w:bCs w:val="false"/>
          <w:caps w:val="false"/>
          <w:smallCaps w:val="false"/>
          <w:color w:val="000000"/>
          <w:spacing w:val="0"/>
          <w:u w:val="none"/>
        </w:rPr>
        <w:t>] et visée par [</w:t>
      </w:r>
      <w:r>
        <w:rPr>
          <w:rStyle w:val="Rfrenceintense"/>
          <w:b w:val="false"/>
          <w:bCs w:val="false"/>
          <w:i/>
          <w:caps w:val="false"/>
          <w:smallCaps w:val="false"/>
          <w:color w:val="000000"/>
          <w:spacing w:val="0"/>
          <w:u w:val="none"/>
        </w:rPr>
        <w:t>préciser le nom de l’Autorité de contrôle</w:t>
      </w:r>
      <w:r>
        <w:rPr>
          <w:rStyle w:val="Rfrenceintense"/>
          <w:b w:val="false"/>
          <w:bCs w:val="false"/>
          <w:caps w:val="false"/>
          <w:smallCaps w:val="false"/>
          <w:color w:val="000000"/>
          <w:spacing w:val="0"/>
          <w:u w:val="none"/>
        </w:rPr>
        <w:t>].</w:t>
      </w:r>
    </w:p>
    <w:p>
      <w:pPr>
        <w:pStyle w:val="Style31"/>
        <w:rPr/>
      </w:pPr>
      <w:r>
        <w:rPr>
          <w:rStyle w:val="Rfrenceintense"/>
          <w:b w:val="false"/>
          <w:bCs w:val="false"/>
          <w:caps w:val="false"/>
          <w:smallCaps w:val="false"/>
          <w:color w:val="000000"/>
          <w:spacing w:val="0"/>
          <w:u w:val="none"/>
        </w:rPr>
        <w:t xml:space="preserve">Le contenu de </w:t>
      </w:r>
      <w:r>
        <w:rPr>
          <w:rStyle w:val="Rfrenceintense"/>
          <w:b w:val="false"/>
          <w:bCs w:val="false"/>
          <w:caps w:val="false"/>
          <w:smallCaps w:val="false"/>
          <w:color w:val="000000"/>
          <w:spacing w:val="0"/>
          <w:u w:val="none"/>
        </w:rPr>
        <w:t xml:space="preserve">la </w:t>
      </w:r>
      <w:r>
        <w:rPr>
          <w:rStyle w:val="Rfrenceintense"/>
          <w:b w:val="false"/>
          <w:bCs w:val="false"/>
          <w:caps w:val="false"/>
          <w:smallCaps w:val="false"/>
          <w:color w:val="000000"/>
          <w:spacing w:val="0"/>
          <w:u w:val="none"/>
        </w:rPr>
        <w:t>Politique d’archivage est fixé et mis à jour par [</w:t>
      </w:r>
      <w:r>
        <w:rPr>
          <w:rStyle w:val="Rfrenceintense"/>
          <w:b w:val="false"/>
          <w:bCs w:val="false"/>
          <w:i/>
          <w:caps w:val="false"/>
          <w:smallCaps w:val="false"/>
          <w:color w:val="000000"/>
          <w:spacing w:val="0"/>
          <w:u w:val="none"/>
        </w:rPr>
        <w:t xml:space="preserve">indiquer le </w:t>
      </w:r>
      <w:r>
        <w:rPr>
          <w:rStyle w:val="Rfrenceintense"/>
          <w:b w:val="false"/>
          <w:bCs w:val="false"/>
          <w:i/>
          <w:caps w:val="false"/>
          <w:smallCaps w:val="false"/>
          <w:color w:val="000000"/>
          <w:spacing w:val="0"/>
          <w:u w:val="none"/>
        </w:rPr>
        <w:t>nom de l’entité responsable de la rédaction du document et de sa mise à jour, généralement l’Autorité d’archivage</w:t>
      </w:r>
      <w:r>
        <w:rPr>
          <w:rStyle w:val="Rfrenceintense"/>
          <w:b w:val="false"/>
          <w:bCs w:val="false"/>
          <w:caps w:val="false"/>
          <w:smallCaps w:val="false"/>
          <w:color w:val="000000"/>
          <w:spacing w:val="0"/>
          <w:u w:val="none"/>
        </w:rPr>
        <w:t xml:space="preserve">]. Les principes décrits dans la présente Politique d’archivage doivent être en permanence conformes à la réalité. En cas d’écart, il convient </w:t>
      </w:r>
      <w:r>
        <w:rPr>
          <w:rStyle w:val="Rfrenceintense"/>
          <w:b w:val="false"/>
          <w:bCs w:val="false"/>
          <w:caps w:val="false"/>
          <w:smallCaps w:val="false"/>
          <w:color w:val="000000"/>
          <w:spacing w:val="0"/>
          <w:u w:val="none"/>
        </w:rPr>
        <w:t>de mettre</w:t>
      </w:r>
      <w:r>
        <w:rPr>
          <w:rStyle w:val="Rfrenceintense"/>
          <w:b w:val="false"/>
          <w:bCs w:val="false"/>
          <w:caps w:val="false"/>
          <w:smallCaps w:val="false"/>
          <w:color w:val="000000"/>
          <w:spacing w:val="0"/>
          <w:u w:val="none"/>
        </w:rPr>
        <w:t xml:space="preserve"> à jour la Politique d’archivage.</w:t>
      </w:r>
    </w:p>
    <w:p>
      <w:pPr>
        <w:pStyle w:val="Style31"/>
        <w:rPr/>
      </w:pPr>
      <w:r>
        <w:rPr>
          <w:rStyle w:val="Rfrenceintense"/>
          <w:b w:val="false"/>
          <w:bCs w:val="false"/>
          <w:caps w:val="false"/>
          <w:smallCaps w:val="false"/>
          <w:color w:val="000000"/>
          <w:u w:val="none"/>
        </w:rPr>
        <w:t xml:space="preserve">La Politique d’archivage est portée à la connaissance de tous les acteurs concernés </w:t>
      </w:r>
      <w:r>
        <w:rPr>
          <w:rStyle w:val="Rfrenceintense"/>
          <w:b w:val="false"/>
          <w:bCs w:val="false"/>
          <w:caps w:val="false"/>
          <w:smallCaps w:val="false"/>
          <w:color w:val="000000"/>
          <w:u w:val="none"/>
        </w:rPr>
        <w:t>[</w:t>
      </w:r>
      <w:r>
        <w:rPr>
          <w:rStyle w:val="Rfrenceintense"/>
          <w:b w:val="false"/>
          <w:bCs w:val="false"/>
          <w:i/>
          <w:iCs/>
          <w:caps w:val="false"/>
          <w:smallCaps w:val="false"/>
          <w:color w:val="000000"/>
          <w:u w:val="none"/>
        </w:rPr>
        <w:t>préciser comment</w:t>
      </w:r>
      <w:r>
        <w:rPr>
          <w:rStyle w:val="Rfrenceintense"/>
          <w:b w:val="false"/>
          <w:bCs w:val="false"/>
          <w:caps w:val="false"/>
          <w:smallCaps w:val="false"/>
          <w:color w:val="000000"/>
          <w:u w:val="none"/>
        </w:rPr>
        <w:t>]</w:t>
      </w:r>
      <w:r>
        <w:rPr>
          <w:rStyle w:val="Rfrenceintense"/>
          <w:b w:val="false"/>
          <w:bCs w:val="false"/>
          <w:caps w:val="false"/>
          <w:smallCaps w:val="false"/>
          <w:color w:val="000000"/>
          <w:u w:val="none"/>
        </w:rPr>
        <w:t>.</w:t>
      </w:r>
    </w:p>
    <w:p>
      <w:pPr>
        <w:pStyle w:val="Style31"/>
        <w:rPr/>
      </w:pPr>
      <w:r>
        <w:rPr>
          <w:b w:val="false"/>
          <w:bCs w:val="false"/>
          <w:caps w:val="false"/>
          <w:smallCaps w:val="false"/>
          <w:color w:val="000000"/>
          <w:u w:val="none"/>
        </w:rPr>
        <w:t>Les engagements et obligations des intervenants dans le processus d’archivage et le niveau de service attendu pour la fourniture d</w:t>
      </w:r>
      <w:r>
        <w:rPr>
          <w:b w:val="false"/>
          <w:bCs w:val="false"/>
          <w:caps w:val="false"/>
          <w:smallCaps w:val="false"/>
          <w:color w:val="000000"/>
          <w:u w:val="none"/>
        </w:rPr>
        <w:t>es différents services décrits à l’article 5</w:t>
      </w:r>
      <w:r>
        <w:rPr>
          <w:b w:val="false"/>
          <w:bCs w:val="false"/>
          <w:caps w:val="false"/>
          <w:smallCaps w:val="false"/>
          <w:color w:val="000000"/>
          <w:u w:val="none"/>
        </w:rPr>
        <w:t xml:space="preserve"> sont décrits dans un </w:t>
      </w:r>
      <w:r>
        <w:rPr>
          <w:rStyle w:val="Policepardfaut"/>
          <w:b w:val="false"/>
          <w:bCs w:val="false"/>
          <w:caps w:val="false"/>
          <w:smallCaps w:val="false"/>
          <w:color w:val="000000"/>
          <w:u w:val="none"/>
        </w:rPr>
        <w:t xml:space="preserve">Contrat de Service </w:t>
      </w:r>
      <w:r>
        <w:rPr>
          <w:rStyle w:val="Policepardfaut"/>
          <w:b w:val="false"/>
          <w:bCs w:val="false"/>
          <w:caps w:val="false"/>
          <w:smallCaps w:val="false"/>
          <w:color w:val="000000"/>
          <w:u w:val="none"/>
        </w:rPr>
        <w:t xml:space="preserve">conclu entre </w:t>
      </w:r>
      <w:r>
        <w:rPr>
          <w:rStyle w:val="Policepardfaut"/>
          <w:b w:val="false"/>
          <w:bCs w:val="false"/>
          <w:caps w:val="false"/>
          <w:smallCaps w:val="false"/>
          <w:color w:val="000000"/>
          <w:u w:val="none"/>
        </w:rPr>
        <w:t>[</w:t>
      </w:r>
      <w:r>
        <w:rPr>
          <w:rStyle w:val="Policepardfaut"/>
          <w:b w:val="false"/>
          <w:bCs w:val="false"/>
          <w:i/>
          <w:iCs/>
          <w:caps w:val="false"/>
          <w:smallCaps w:val="false"/>
          <w:color w:val="000000"/>
          <w:u w:val="none"/>
        </w:rPr>
        <w:t>nom du Service d’archives</w:t>
      </w:r>
      <w:r>
        <w:rPr>
          <w:rStyle w:val="Policepardfaut"/>
          <w:b w:val="false"/>
          <w:bCs w:val="false"/>
          <w:caps w:val="false"/>
          <w:smallCaps w:val="false"/>
          <w:color w:val="000000"/>
          <w:u w:val="none"/>
        </w:rPr>
        <w:t>]</w:t>
      </w:r>
      <w:r>
        <w:rPr>
          <w:rStyle w:val="Policepardfaut"/>
          <w:b w:val="false"/>
          <w:bCs w:val="false"/>
          <w:caps w:val="false"/>
          <w:smallCaps w:val="false"/>
          <w:color w:val="000000"/>
          <w:u w:val="none"/>
        </w:rPr>
        <w:t xml:space="preserve"> et l’Autorité juridique</w:t>
      </w:r>
      <w:r>
        <w:rPr>
          <w:rStyle w:val="Policepardfaut"/>
          <w:b w:val="false"/>
          <w:bCs w:val="false"/>
          <w:caps w:val="false"/>
          <w:smallCaps w:val="false"/>
          <w:color w:val="000000"/>
          <w:u w:val="none"/>
        </w:rPr>
        <w:t>.</w:t>
      </w:r>
    </w:p>
    <w:p>
      <w:pPr>
        <w:pStyle w:val="Style31"/>
        <w:rPr/>
      </w:pPr>
      <w:r>
        <w:rPr>
          <w:rStyle w:val="Rfrenceintense"/>
          <w:b w:val="false"/>
          <w:bCs w:val="false"/>
          <w:caps w:val="false"/>
          <w:smallCaps w:val="false"/>
          <w:color w:val="000000"/>
          <w:spacing w:val="0"/>
          <w:u w:val="none"/>
        </w:rPr>
        <w:t xml:space="preserve">Les règles et procédures opérationnelles pour le versement des archives </w:t>
      </w:r>
      <w:r>
        <w:rPr>
          <w:rStyle w:val="Rfrenceintense"/>
          <w:b w:val="false"/>
          <w:bCs w:val="false"/>
          <w:caps w:val="false"/>
          <w:smallCaps w:val="false"/>
          <w:color w:val="000000"/>
          <w:spacing w:val="0"/>
          <w:u w:val="none"/>
        </w:rPr>
        <w:t>dans le SAE</w:t>
      </w:r>
      <w:r>
        <w:rPr>
          <w:rStyle w:val="Rfrenceintense"/>
          <w:b w:val="false"/>
          <w:bCs w:val="false"/>
          <w:caps w:val="false"/>
          <w:smallCaps w:val="false"/>
          <w:color w:val="000000"/>
          <w:spacing w:val="0"/>
          <w:u w:val="none"/>
        </w:rPr>
        <w:t xml:space="preserve"> donnent lieu à un accord écrit sous la forme d’un Contrat de versement </w:t>
      </w:r>
      <w:r>
        <w:rPr>
          <w:rStyle w:val="Rfrenceintense"/>
          <w:b w:val="false"/>
          <w:bCs w:val="false"/>
          <w:caps w:val="false"/>
          <w:smallCaps w:val="false"/>
          <w:color w:val="000000"/>
          <w:spacing w:val="0"/>
          <w:u w:val="none"/>
        </w:rPr>
        <w:t xml:space="preserve">conclu entre le Service versant et </w:t>
      </w:r>
      <w:r>
        <w:rPr>
          <w:rStyle w:val="Rfrenceintense"/>
          <w:b w:val="false"/>
          <w:bCs w:val="false"/>
          <w:caps w:val="false"/>
          <w:smallCaps w:val="false"/>
          <w:color w:val="000000"/>
          <w:spacing w:val="0"/>
          <w:u w:val="none"/>
        </w:rPr>
        <w:t>[</w:t>
      </w:r>
      <w:r>
        <w:rPr>
          <w:rStyle w:val="Rfrenceintense"/>
          <w:b w:val="false"/>
          <w:bCs w:val="false"/>
          <w:i/>
          <w:iCs/>
          <w:caps w:val="false"/>
          <w:smallCaps w:val="false"/>
          <w:color w:val="000000"/>
          <w:spacing w:val="0"/>
          <w:u w:val="none"/>
        </w:rPr>
        <w:t>nom du Service d’archives</w:t>
      </w:r>
      <w:r>
        <w:rPr>
          <w:rStyle w:val="Rfrenceintense"/>
          <w:b w:val="false"/>
          <w:bCs w:val="false"/>
          <w:caps w:val="false"/>
          <w:smallCaps w:val="false"/>
          <w:color w:val="000000"/>
          <w:spacing w:val="0"/>
          <w:u w:val="none"/>
        </w:rPr>
        <w:t>]</w:t>
      </w:r>
      <w:r>
        <w:rPr>
          <w:rStyle w:val="Rfrenceintense"/>
          <w:b w:val="false"/>
          <w:bCs w:val="false"/>
          <w:caps w:val="false"/>
          <w:smallCaps w:val="false"/>
          <w:color w:val="000000"/>
          <w:spacing w:val="0"/>
          <w:u w:val="none"/>
        </w:rPr>
        <w:t>.</w:t>
      </w:r>
      <w:bookmarkStart w:id="116" w:name="sdfootnote1sym"/>
      <w:bookmarkEnd w:id="116"/>
      <w:r>
        <w:br w:type="page"/>
      </w:r>
    </w:p>
    <w:p>
      <w:pPr>
        <w:pStyle w:val="Titre2"/>
        <w:numPr>
          <w:ilvl w:val="1"/>
          <w:numId w:val="1"/>
        </w:numPr>
        <w:tabs>
          <w:tab w:val="left" w:pos="0" w:leader="none"/>
        </w:tabs>
        <w:ind w:start="709" w:end="0" w:hanging="0"/>
        <w:rPr/>
      </w:pPr>
      <w:bookmarkStart w:id="117" w:name="__RefHeading___Toc10795_1000569294"/>
      <w:bookmarkEnd w:id="117"/>
      <w:r>
        <w:rPr>
          <w:rStyle w:val="Titredulivre"/>
        </w:rPr>
        <w:t>Glossaire</w:t>
      </w:r>
    </w:p>
    <w:p>
      <w:pPr>
        <w:pStyle w:val="Style31"/>
        <w:rPr/>
      </w:pPr>
      <w:r>
        <w:rPr/>
      </w:r>
    </w:p>
    <w:p>
      <w:pPr>
        <w:pStyle w:val="Style31"/>
        <w:rPr>
          <w:color w:val="000099"/>
        </w:rPr>
      </w:pPr>
      <w:r>
        <w:rPr>
          <w:color w:val="000099"/>
        </w:rPr>
        <w:t>Bordereau d’élimination</w:t>
      </w:r>
    </w:p>
    <w:p>
      <w:pPr>
        <w:pStyle w:val="Style31"/>
        <w:rPr/>
      </w:pPr>
      <w:r>
        <w:rPr/>
        <w:t xml:space="preserve">Document réglementaire listant les documents et données soumis par un </w:t>
      </w:r>
      <w:r>
        <w:rPr/>
        <w:t>S</w:t>
      </w:r>
      <w:r>
        <w:rPr/>
        <w:t>ervice producteur au visa de l’</w:t>
      </w:r>
      <w:r>
        <w:rPr/>
        <w:t>a</w:t>
      </w:r>
      <w:r>
        <w:rPr/>
        <w:t xml:space="preserve">utorité en charge du contrôle scientifique et technique, ou proposés pour l’élimination par un </w:t>
      </w:r>
      <w:r>
        <w:rPr/>
        <w:t>S</w:t>
      </w:r>
      <w:r>
        <w:rPr/>
        <w:t>ervice d’archives au service dont émanent les documents.</w:t>
      </w:r>
    </w:p>
    <w:p>
      <w:pPr>
        <w:pStyle w:val="Style31"/>
        <w:rPr>
          <w:color w:val="000099"/>
        </w:rPr>
      </w:pPr>
      <w:r>
        <w:rPr>
          <w:color w:val="000099"/>
        </w:rPr>
        <w:t>Contrôle scientifique et technique</w:t>
      </w:r>
    </w:p>
    <w:p>
      <w:pPr>
        <w:pStyle w:val="Style31"/>
        <w:rPr/>
      </w:pPr>
      <w:r>
        <w:rPr/>
        <w:t>Compétence légale de l'administration des archives s'appliquant à la gestion, à la conservation, au traitement et à la communication des archives publiques et aux archives privées ayant fait l'objet d’une mesure de classement.</w:t>
      </w:r>
    </w:p>
    <w:p>
      <w:pPr>
        <w:pStyle w:val="Style31"/>
        <w:rPr>
          <w:color w:val="000099"/>
        </w:rPr>
      </w:pPr>
      <w:r>
        <w:rPr>
          <w:color w:val="000099"/>
        </w:rPr>
        <w:t>Cycle de vie</w:t>
      </w:r>
    </w:p>
    <w:p>
      <w:pPr>
        <w:pStyle w:val="Style31"/>
        <w:rPr/>
      </w:pPr>
      <w:r>
        <w:rPr/>
        <w:t>Ensemble des étapes menant de la création d'un document ou d’une donnée à sa destination finale.</w:t>
      </w:r>
    </w:p>
    <w:p>
      <w:pPr>
        <w:pStyle w:val="Style31"/>
        <w:rPr>
          <w:color w:val="000099"/>
        </w:rPr>
      </w:pPr>
      <w:r>
        <w:rPr>
          <w:color w:val="000099"/>
        </w:rPr>
        <w:t>D</w:t>
      </w:r>
      <w:r>
        <w:rPr>
          <w:color w:val="000099"/>
        </w:rPr>
        <w:t>élai de communicabilité</w:t>
      </w:r>
    </w:p>
    <w:p>
      <w:pPr>
        <w:pStyle w:val="Style31"/>
        <w:rPr/>
      </w:pPr>
      <w:r>
        <w:rPr/>
        <w:t xml:space="preserve">Espace de temps légal ou réglementaire à l'expiration duquel un document </w:t>
      </w:r>
      <w:r>
        <w:rPr/>
        <w:t>ou une donnée</w:t>
      </w:r>
      <w:r>
        <w:rPr/>
        <w:t xml:space="preserve"> devient librement communicable.</w:t>
      </w:r>
    </w:p>
    <w:p>
      <w:pPr>
        <w:pStyle w:val="Style31"/>
        <w:rPr>
          <w:color w:val="000099"/>
        </w:rPr>
      </w:pPr>
      <w:r>
        <w:rPr>
          <w:color w:val="000099"/>
        </w:rPr>
        <w:t>D</w:t>
      </w:r>
      <w:r>
        <w:rPr>
          <w:color w:val="000099"/>
        </w:rPr>
        <w:t>urée d’utilité administrative (D</w:t>
      </w:r>
      <w:r>
        <w:rPr>
          <w:color w:val="000099"/>
        </w:rPr>
        <w:t>UA</w:t>
      </w:r>
      <w:r>
        <w:rPr>
          <w:color w:val="000099"/>
        </w:rPr>
        <w:t>)</w:t>
      </w:r>
    </w:p>
    <w:p>
      <w:pPr>
        <w:pStyle w:val="Style31"/>
        <w:rPr/>
      </w:pPr>
      <w:r>
        <w:rPr/>
        <w:t>Durée réglementaire ou pratique pendant laquelle un document ou une donnée est susceptible d'être utilisé par le service producteur ou son successeur, au terme de laquelle est appliquée la décision concernant son traitement final. Le document ou la donnée ne peut être détruit pendant cette période qui constitue sa durée minimale de conservation.</w:t>
      </w:r>
    </w:p>
    <w:p>
      <w:pPr>
        <w:pStyle w:val="Style31"/>
        <w:rPr>
          <w:color w:val="000099"/>
        </w:rPr>
      </w:pPr>
      <w:r>
        <w:rPr>
          <w:color w:val="000099"/>
        </w:rPr>
        <w:t>Durée d’utilité courante (DUC)</w:t>
      </w:r>
    </w:p>
    <w:p>
      <w:pPr>
        <w:pStyle w:val="Style31"/>
        <w:rPr/>
      </w:pPr>
      <w:r>
        <w:rPr/>
        <w:t>Durée pendant laquelle un document ou une donnée est régulièrement utilisé par le service qui l’a produit.</w:t>
      </w:r>
    </w:p>
    <w:p>
      <w:pPr>
        <w:pStyle w:val="Style31"/>
        <w:rPr>
          <w:color w:val="000099"/>
        </w:rPr>
      </w:pPr>
      <w:r>
        <w:rPr>
          <w:color w:val="000099"/>
        </w:rPr>
        <w:t>Journal du cycle de vie</w:t>
      </w:r>
    </w:p>
    <w:p>
      <w:pPr>
        <w:pStyle w:val="Style31"/>
        <w:rPr/>
      </w:pPr>
      <w:r>
        <w:rPr/>
        <w:t>Journal qui consigne l’ensemble des opérations ayant trait à un paquet d’information archivé dans le SAE.</w:t>
      </w:r>
      <w:r>
        <w:br w:type="page"/>
      </w:r>
    </w:p>
    <w:p>
      <w:pPr>
        <w:pStyle w:val="Style31"/>
        <w:rPr>
          <w:color w:val="000099"/>
        </w:rPr>
      </w:pPr>
      <w:r>
        <w:rPr>
          <w:color w:val="000099"/>
        </w:rPr>
        <w:t>Journal de l’application</w:t>
      </w:r>
    </w:p>
    <w:p>
      <w:pPr>
        <w:pStyle w:val="Style31"/>
        <w:rPr/>
      </w:pPr>
      <w:r>
        <w:rPr/>
        <w:t>Journal assurant la traçabilité des opérations réalisées par le système d'archivage, autres que celles consignées dans le journal de cycle de vie des archives.</w:t>
      </w:r>
    </w:p>
    <w:p>
      <w:pPr>
        <w:pStyle w:val="Style31"/>
        <w:rPr>
          <w:color w:val="000099"/>
        </w:rPr>
      </w:pPr>
      <w:r>
        <w:rPr>
          <w:color w:val="000099"/>
        </w:rPr>
        <w:t>Profil d’archivage</w:t>
      </w:r>
    </w:p>
    <w:p>
      <w:pPr>
        <w:pStyle w:val="Style31"/>
        <w:rPr/>
      </w:pPr>
      <w:r>
        <w:rPr/>
        <w:t>Document qui définit la structure et le contenu attendus pour un bordereau de versement.</w:t>
      </w:r>
    </w:p>
    <w:p>
      <w:pPr>
        <w:pStyle w:val="Style31"/>
        <w:rPr>
          <w:color w:val="000099"/>
        </w:rPr>
      </w:pPr>
      <w:r>
        <w:rPr>
          <w:color w:val="000099"/>
        </w:rPr>
        <w:t>S</w:t>
      </w:r>
      <w:r>
        <w:rPr>
          <w:color w:val="000099"/>
        </w:rPr>
        <w:t>ort final</w:t>
      </w:r>
    </w:p>
    <w:p>
      <w:pPr>
        <w:pStyle w:val="Style31"/>
        <w:rPr/>
      </w:pPr>
      <w:r>
        <w:rPr/>
        <w:t>Destination d'un document ou d’une donnée à l'expiration de son délai d'utilité administrative : élimination, tri ou conservation définitive.</w:t>
      </w:r>
    </w:p>
    <w:p>
      <w:pPr>
        <w:pStyle w:val="Style31"/>
        <w:rPr>
          <w:color w:val="000099"/>
        </w:rPr>
      </w:pPr>
      <w:r>
        <w:rPr>
          <w:color w:val="000099"/>
        </w:rPr>
        <w:t>Standard d’échange de données pour l’archivage</w:t>
      </w:r>
    </w:p>
    <w:p>
      <w:pPr>
        <w:pStyle w:val="Style31"/>
        <w:rPr/>
      </w:pPr>
      <w:r>
        <w:rPr/>
        <w:t xml:space="preserve">Standard technique qui permet de modéliser les transactions d’un processus d’archivage (transfert, communication…) entre différents acteurs (service producteur, service d’archives…). Il précise les messages échangés ainsi que les métadonnées à utiliser pour décrire, gérer et pérenniser l’information. </w:t>
      </w:r>
    </w:p>
    <w:p>
      <w:pPr>
        <w:pStyle w:val="Style31"/>
        <w:rPr>
          <w:color w:val="000099"/>
        </w:rPr>
      </w:pPr>
      <w:r>
        <w:rPr>
          <w:color w:val="000099"/>
        </w:rPr>
        <w:t>Transfert</w:t>
      </w:r>
    </w:p>
    <w:p>
      <w:pPr>
        <w:pStyle w:val="Style31"/>
        <w:rPr/>
      </w:pPr>
      <w:r>
        <w:rPr/>
        <w:t>Transmission effective des données entre le Service producteur / versant et le Service d’Archives.</w:t>
      </w:r>
    </w:p>
    <w:p>
      <w:pPr>
        <w:pStyle w:val="Style31"/>
        <w:rPr>
          <w:color w:val="000099"/>
        </w:rPr>
      </w:pPr>
      <w:r>
        <w:rPr>
          <w:color w:val="000099"/>
        </w:rPr>
        <w:t>Versement</w:t>
      </w:r>
    </w:p>
    <w:p>
      <w:pPr>
        <w:pStyle w:val="Style31"/>
        <w:rPr/>
      </w:pPr>
      <w:r>
        <w:rPr/>
        <w:t>Opération matérielle et intellectuelle par laquelle la responsabilité de la conservation d'archives passe du Service producteur ou du Service versant au Service d’archives.</w:t>
      </w:r>
    </w:p>
    <w:sectPr>
      <w:footerReference w:type="default" r:id="rId18"/>
      <w:footerReference w:type="first" r:id="rId19"/>
      <w:footnotePr>
        <w:numFmt w:val="decimal"/>
      </w:footnotePr>
      <w:type w:val="nextPage"/>
      <w:pgSz w:w="11906" w:h="16838"/>
      <w:pgMar w:left="1417" w:right="1417" w:header="0" w:top="720" w:footer="708" w:bottom="1417"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Trebuchet MS">
    <w:charset w:val="00" w:characterSet="windows-1252"/>
    <w:family w:val="swiss"/>
    <w:pitch w:val="variable"/>
  </w:font>
  <w:font w:name="Garamond">
    <w:charset w:val="00" w:characterSet="windows-1252"/>
    <w:family w:val="roman"/>
    <w:pitch w:val="variable"/>
  </w:font>
  <w:font w:name="Tahoma">
    <w:charset w:val="00" w:characterSet="windows-1252"/>
    <w:family w:val="swiss"/>
    <w:pitch w:val="variable"/>
  </w:font>
  <w:font w:name="OpenSymbol">
    <w:altName w:val="Arial Unicode MS"/>
    <w:charset w:val="00" w:characterSet="windows-1252"/>
    <w:family w:val="auto"/>
    <w:pitch w:val="variable"/>
  </w:font>
  <w:font w:name="Courier New">
    <w:charset w:val="00" w:characterSet="windows-1252"/>
    <w:family w:val="modern"/>
    <w:pitch w:val="fixed"/>
  </w:font>
  <w:font w:name="Wingdings">
    <w:charset w:val="02"/>
    <w:family w:val="auto"/>
    <w:pitch w:val="variable"/>
  </w:font>
  <w:font w:name="Univers LT Std">
    <w:charset w:val="00" w:characterSet="windows-1252"/>
    <w:family w:val="roman"/>
    <w:pitch w:val="variable"/>
  </w:font>
  <w:font w:name="Verdana">
    <w:charset w:val="00" w:characterSet="windows-1252"/>
    <w:family w:val="swiss"/>
    <w:pitch w:val="variable"/>
  </w:font>
  <w:font w:name="Symbol">
    <w:charset w:val="02"/>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80" w:type="dxa"/>
      <w:jc w:val="start"/>
      <w:tblInd w:w="0" w:type="dxa"/>
      <w:tblBorders/>
      <w:tblCellMar>
        <w:top w:w="0" w:type="dxa"/>
        <w:start w:w="0" w:type="dxa"/>
        <w:bottom w:w="0" w:type="dxa"/>
        <w:end w:w="0" w:type="dxa"/>
      </w:tblCellMar>
    </w:tblPr>
    <w:tblGrid>
      <w:gridCol w:w="8100"/>
      <w:gridCol w:w="980"/>
    </w:tblGrid>
    <w:tr>
      <w:trPr/>
      <w:tc>
        <w:tcPr>
          <w:tcW w:w="8100" w:type="dxa"/>
          <w:tcBorders/>
          <w:shd w:fill="auto" w:val="clear"/>
        </w:tcPr>
        <w:p>
          <w:pPr>
            <w:pStyle w:val="Contenudetableau"/>
            <w:jc w:val="start"/>
            <w:rPr>
              <w:rFonts w:ascii="Trebuchet MS" w:hAnsi="Trebuchet MS"/>
              <w:color w:val="808080"/>
              <w:sz w:val="18"/>
              <w:szCs w:val="18"/>
            </w:rPr>
          </w:pPr>
          <w:r>
            <w:rPr>
              <w:rFonts w:ascii="Trebuchet MS" w:hAnsi="Trebuchet MS"/>
              <w:color w:val="808080"/>
              <w:sz w:val="18"/>
              <w:szCs w:val="18"/>
            </w:rPr>
            <w:t>Service interministériel des Archives de France</w:t>
          </w:r>
        </w:p>
        <w:p>
          <w:pPr>
            <w:pStyle w:val="Contenudetableau"/>
            <w:jc w:val="start"/>
            <w:rPr>
              <w:rFonts w:ascii="Trebuchet MS" w:hAnsi="Trebuchet MS"/>
              <w:color w:val="808080"/>
              <w:sz w:val="18"/>
              <w:szCs w:val="18"/>
            </w:rPr>
          </w:pPr>
          <w:r>
            <w:rPr>
              <w:rFonts w:ascii="Trebuchet MS" w:hAnsi="Trebuchet MS"/>
              <w:color w:val="808080"/>
              <w:sz w:val="18"/>
              <w:szCs w:val="18"/>
            </w:rPr>
            <w:t>Bibliothèque de documents de référence – Politique d’archivage –</w:t>
          </w:r>
          <w:r>
            <w:rPr>
              <w:rFonts w:ascii="Trebuchet MS" w:hAnsi="Trebuchet MS"/>
              <w:color w:val="808080"/>
              <w:sz w:val="18"/>
              <w:szCs w:val="18"/>
            </w:rPr>
            <w:t xml:space="preserve"> v 1.0, février 2018</w:t>
          </w:r>
        </w:p>
      </w:tc>
      <w:tc>
        <w:tcPr>
          <w:tcW w:w="980" w:type="dxa"/>
          <w:tcBorders/>
          <w:shd w:fill="auto" w:val="clear"/>
        </w:tcPr>
        <w:p>
          <w:pPr>
            <w:pStyle w:val="Pieddepage"/>
            <w:jc w:val="end"/>
            <w:rPr>
              <w:rFonts w:ascii="Trebuchet MS" w:hAnsi="Trebuchet MS"/>
              <w:i w:val="false"/>
              <w:i w:val="false"/>
              <w:iCs w:val="false"/>
              <w:color w:val="808080"/>
              <w:sz w:val="18"/>
              <w:szCs w:val="18"/>
            </w:rPr>
          </w:pPr>
          <w:r>
            <w:rPr>
              <w:rFonts w:ascii="Trebuchet MS" w:hAnsi="Trebuchet MS"/>
              <w:i w:val="false"/>
              <w:iCs w:val="false"/>
              <w:color w:val="808080"/>
              <w:sz w:val="18"/>
              <w:szCs w:val="18"/>
            </w:rPr>
            <w:fldChar w:fldCharType="begin"/>
          </w:r>
          <w:r>
            <w:rPr>
              <w:sz w:val="18"/>
              <w:i w:val="false"/>
              <w:szCs w:val="18"/>
              <w:iCs w:val="false"/>
              <w:rFonts w:ascii="Trebuchet MS" w:hAnsi="Trebuchet MS"/>
            </w:rPr>
            <w:instrText> PAGE </w:instrText>
          </w:r>
          <w:r>
            <w:rPr>
              <w:sz w:val="18"/>
              <w:i w:val="false"/>
              <w:szCs w:val="18"/>
              <w:iCs w:val="false"/>
              <w:rFonts w:ascii="Trebuchet MS" w:hAnsi="Trebuchet MS"/>
            </w:rPr>
            <w:fldChar w:fldCharType="separate"/>
          </w:r>
          <w:r>
            <w:rPr>
              <w:sz w:val="18"/>
              <w:i w:val="false"/>
              <w:szCs w:val="18"/>
              <w:iCs w:val="false"/>
              <w:rFonts w:ascii="Trebuchet MS" w:hAnsi="Trebuchet MS"/>
            </w:rPr>
            <w:t>20</w:t>
          </w:r>
          <w:r>
            <w:rPr>
              <w:sz w:val="18"/>
              <w:i w:val="false"/>
              <w:szCs w:val="18"/>
              <w:iCs w:val="false"/>
              <w:rFonts w:ascii="Trebuchet MS" w:hAnsi="Trebuchet MS"/>
            </w:rPr>
            <w:fldChar w:fldCharType="end"/>
          </w:r>
        </w:p>
      </w:tc>
    </w:tr>
  </w:tbl>
  <w:p>
    <w:pPr>
      <w:pStyle w:val="Pieddepage"/>
      <w:jc w:val="end"/>
      <w:rPr>
        <w:i w:val="false"/>
        <w:i w:val="false"/>
        <w:iCs w:val="false"/>
        <w:sz w:val="12"/>
        <w:szCs w:val="12"/>
      </w:rPr>
    </w:pPr>
    <w:r>
      <w:rPr>
        <w:i w:val="false"/>
        <w:iCs w:val="false"/>
        <w:sz w:val="12"/>
        <w:szCs w:val="1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end"/>
      <w:rPr>
        <w:i w:val="false"/>
        <w:i w:val="false"/>
        <w:iCs w:val="false"/>
      </w:rPr>
    </w:pPr>
    <w:r>
      <w:rPr>
        <w:i w:val="false"/>
        <w:iCs w:val="false"/>
      </w:rPr>
    </w:r>
  </w:p>
  <w:p>
    <w:pPr>
      <w:pStyle w:val="Pieddepage"/>
      <w:jc w:val="end"/>
      <w:rPr>
        <w:i w:val="false"/>
        <w:i w:val="false"/>
        <w:iCs w:val="false"/>
      </w:rPr>
    </w:pPr>
    <w:r>
      <w:rPr>
        <w:i w:val="false"/>
        <w:iCs w:val="false"/>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rPr>
          <w:rStyle w:val="Appelnotedebasdep"/>
        </w:rPr>
        <w:footnoteRef/>
      </w:r>
      <w:r>
        <w:rPr/>
        <w:tab/>
        <w:t xml:space="preserve">Ce document a été élaboré par le Service interministériel des Archives de France, avec l’aide du cabinet Olkoa. Il est librement mis à disposition des services publics d’archives afin qu’ils puissent s’en inspirer pour établir le socle documentaire de leurs </w:t>
      </w:r>
      <w:r>
        <w:rPr/>
        <w:t>Systèmes d’archivage électronique.</w:t>
      </w:r>
    </w:p>
  </w:footnote>
  <w:footnote w:id="3">
    <w:p>
      <w:pPr>
        <w:pStyle w:val="Notedebasdepage"/>
        <w:rPr/>
      </w:pPr>
      <w:r>
        <w:rPr>
          <w:rStyle w:val="Appelnotedebasdep"/>
        </w:rPr>
        <w:footnoteRef/>
      </w:r>
      <w:r>
        <w:rPr/>
        <w:tab/>
        <w:t>Les définitions qui sont proposées ici sont les définitions proposées par le Standard d’échange de données pour l’archivage.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start"/>
      <w:pPr>
        <w:ind w:start="0" w:hanging="0"/>
      </w:pPr>
    </w:lvl>
    <w:lvl w:ilvl="1">
      <w:start w:val="1"/>
      <w:pStyle w:val="Titre2"/>
      <w:numFmt w:val="none"/>
      <w:suff w:val="nothing"/>
      <w:lvlText w:val=""/>
      <w:lvlJc w:val="start"/>
      <w:pPr>
        <w:ind w:start="0" w:hanging="0"/>
      </w:pPr>
    </w:lvl>
    <w:lvl w:ilvl="2">
      <w:start w:val="1"/>
      <w:pStyle w:val="Titre3"/>
      <w:numFmt w:val="none"/>
      <w:suff w:val="nothing"/>
      <w:lvlText w:val=""/>
      <w:lvlJc w:val="start"/>
      <w:pPr>
        <w:ind w:start="0" w:hanging="0"/>
      </w:pPr>
    </w:lvl>
    <w:lvl w:ilvl="3">
      <w:start w:val="1"/>
      <w:pStyle w:val="Titre4"/>
      <w:numFmt w:val="none"/>
      <w:suff w:val="nothing"/>
      <w:lvlText w:val=""/>
      <w:lvlJc w:val="start"/>
      <w:pPr>
        <w:ind w:start="0" w:hanging="0"/>
      </w:pPr>
    </w:lvl>
    <w:lvl w:ilvl="4">
      <w:start w:val="1"/>
      <w:pStyle w:val="Titre5"/>
      <w:numFmt w:val="none"/>
      <w:suff w:val="nothing"/>
      <w:lvlText w:val=""/>
      <w:lvlJc w:val="start"/>
      <w:pPr>
        <w:ind w:start="0" w:hanging="0"/>
      </w:pPr>
    </w:lvl>
    <w:lvl w:ilvl="5">
      <w:start w:val="1"/>
      <w:pStyle w:val="Titre6"/>
      <w:numFmt w:val="none"/>
      <w:suff w:val="nothing"/>
      <w:lvlText w:val=""/>
      <w:lvlJc w:val="start"/>
      <w:pPr>
        <w:ind w:start="0" w:hanging="0"/>
      </w:pPr>
    </w:lvl>
    <w:lvl w:ilvl="6">
      <w:start w:val="1"/>
      <w:pStyle w:val="Titre7"/>
      <w:numFmt w:val="none"/>
      <w:suff w:val="nothing"/>
      <w:lvlText w:val=""/>
      <w:lvlJc w:val="start"/>
      <w:pPr>
        <w:ind w:start="0" w:hanging="0"/>
      </w:pPr>
    </w:lvl>
    <w:lvl w:ilvl="7">
      <w:start w:val="1"/>
      <w:pStyle w:val="Titre8"/>
      <w:numFmt w:val="none"/>
      <w:suff w:val="nothing"/>
      <w:lvlText w:val=""/>
      <w:lvlJc w:val="start"/>
      <w:pPr>
        <w:ind w:start="0" w:hanging="0"/>
      </w:pPr>
    </w:lvl>
    <w:lvl w:ilvl="8">
      <w:start w:val="1"/>
      <w:pStyle w:val="Titre9"/>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3">
    <w:lvl w:ilvl="0">
      <w:start w:val="1"/>
      <w:numFmt w:val="bullet"/>
      <w:lvlText w:val=""/>
      <w:lvlJc w:val="start"/>
      <w:pPr>
        <w:tabs>
          <w:tab w:val="num" w:pos="1457"/>
        </w:tabs>
        <w:ind w:start="1457" w:hanging="360"/>
      </w:pPr>
      <w:rPr>
        <w:rFonts w:ascii="Symbol" w:hAnsi="Symbol" w:cs="Symbol" w:hint="default"/>
        <w:rFonts w:cs="OpenSymbol"/>
      </w:rPr>
    </w:lvl>
    <w:lvl w:ilvl="1">
      <w:start w:val="1"/>
      <w:numFmt w:val="bullet"/>
      <w:lvlText w:val="◦"/>
      <w:lvlJc w:val="start"/>
      <w:pPr>
        <w:tabs>
          <w:tab w:val="num" w:pos="1817"/>
        </w:tabs>
        <w:ind w:start="1817" w:hanging="360"/>
      </w:pPr>
      <w:rPr>
        <w:rFonts w:ascii="OpenSymbol" w:hAnsi="OpenSymbol" w:cs="OpenSymbol" w:hint="default"/>
        <w:rFonts w:cs="OpenSymbol"/>
      </w:rPr>
    </w:lvl>
    <w:lvl w:ilvl="2">
      <w:start w:val="1"/>
      <w:numFmt w:val="bullet"/>
      <w:lvlText w:val="▪"/>
      <w:lvlJc w:val="start"/>
      <w:pPr>
        <w:tabs>
          <w:tab w:val="num" w:pos="2177"/>
        </w:tabs>
        <w:ind w:start="2177" w:hanging="360"/>
      </w:pPr>
      <w:rPr>
        <w:rFonts w:ascii="OpenSymbol" w:hAnsi="OpenSymbol" w:cs="OpenSymbol" w:hint="default"/>
        <w:rFonts w:cs="OpenSymbol"/>
      </w:rPr>
    </w:lvl>
    <w:lvl w:ilvl="3">
      <w:start w:val="1"/>
      <w:numFmt w:val="bullet"/>
      <w:lvlText w:val=""/>
      <w:lvlJc w:val="start"/>
      <w:pPr>
        <w:tabs>
          <w:tab w:val="num" w:pos="2537"/>
        </w:tabs>
        <w:ind w:start="2537" w:hanging="360"/>
      </w:pPr>
      <w:rPr>
        <w:rFonts w:ascii="Symbol" w:hAnsi="Symbol" w:cs="Symbol" w:hint="default"/>
        <w:rFonts w:cs="OpenSymbol"/>
      </w:rPr>
    </w:lvl>
    <w:lvl w:ilvl="4">
      <w:start w:val="1"/>
      <w:numFmt w:val="bullet"/>
      <w:lvlText w:val="◦"/>
      <w:lvlJc w:val="start"/>
      <w:pPr>
        <w:tabs>
          <w:tab w:val="num" w:pos="2897"/>
        </w:tabs>
        <w:ind w:start="2897" w:hanging="360"/>
      </w:pPr>
      <w:rPr>
        <w:rFonts w:ascii="OpenSymbol" w:hAnsi="OpenSymbol" w:cs="OpenSymbol" w:hint="default"/>
        <w:rFonts w:cs="OpenSymbol"/>
      </w:rPr>
    </w:lvl>
    <w:lvl w:ilvl="5">
      <w:start w:val="1"/>
      <w:numFmt w:val="bullet"/>
      <w:lvlText w:val="▪"/>
      <w:lvlJc w:val="start"/>
      <w:pPr>
        <w:tabs>
          <w:tab w:val="num" w:pos="3257"/>
        </w:tabs>
        <w:ind w:start="3257" w:hanging="360"/>
      </w:pPr>
      <w:rPr>
        <w:rFonts w:ascii="OpenSymbol" w:hAnsi="OpenSymbol" w:cs="OpenSymbol" w:hint="default"/>
        <w:rFonts w:cs="OpenSymbol"/>
      </w:rPr>
    </w:lvl>
    <w:lvl w:ilvl="6">
      <w:start w:val="1"/>
      <w:numFmt w:val="bullet"/>
      <w:lvlText w:val=""/>
      <w:lvlJc w:val="start"/>
      <w:pPr>
        <w:tabs>
          <w:tab w:val="num" w:pos="3617"/>
        </w:tabs>
        <w:ind w:start="3617" w:hanging="360"/>
      </w:pPr>
      <w:rPr>
        <w:rFonts w:ascii="Symbol" w:hAnsi="Symbol" w:cs="Symbol" w:hint="default"/>
        <w:rFonts w:cs="OpenSymbol"/>
      </w:rPr>
    </w:lvl>
    <w:lvl w:ilvl="7">
      <w:start w:val="1"/>
      <w:numFmt w:val="bullet"/>
      <w:lvlText w:val="◦"/>
      <w:lvlJc w:val="start"/>
      <w:pPr>
        <w:tabs>
          <w:tab w:val="num" w:pos="3977"/>
        </w:tabs>
        <w:ind w:start="3977" w:hanging="360"/>
      </w:pPr>
      <w:rPr>
        <w:rFonts w:ascii="OpenSymbol" w:hAnsi="OpenSymbol" w:cs="OpenSymbol" w:hint="default"/>
        <w:rFonts w:cs="OpenSymbol"/>
      </w:rPr>
    </w:lvl>
    <w:lvl w:ilvl="8">
      <w:start w:val="1"/>
      <w:numFmt w:val="bullet"/>
      <w:lvlText w:val="▪"/>
      <w:lvlJc w:val="start"/>
      <w:pPr>
        <w:tabs>
          <w:tab w:val="num" w:pos="4337"/>
        </w:tabs>
        <w:ind w:start="4337" w:hanging="360"/>
      </w:pPr>
      <w:rPr>
        <w:rFonts w:ascii="OpenSymbol" w:hAnsi="OpenSymbol" w:cs="OpenSymbol" w:hint="default"/>
        <w:rFonts w:cs="OpenSymbol"/>
      </w:rPr>
    </w:lvl>
  </w:abstractNum>
  <w:abstractNum w:abstractNumId="4">
    <w:lvl w:ilvl="0">
      <w:start w:val="1"/>
      <w:numFmt w:val="bullet"/>
      <w:lvlText w:val="-"/>
      <w:lvlJc w:val="start"/>
      <w:pPr>
        <w:ind w:start="1069" w:hanging="360"/>
      </w:pPr>
      <w:rPr>
        <w:rFonts w:ascii="Garamond" w:hAnsi="Garamond" w:cs="Garamond" w:hint="default"/>
        <w:rFonts w:cs="Times New Roman"/>
      </w:rPr>
    </w:lvl>
    <w:lvl w:ilvl="1">
      <w:start w:val="1"/>
      <w:numFmt w:val="bullet"/>
      <w:lvlText w:val="o"/>
      <w:lvlJc w:val="start"/>
      <w:pPr>
        <w:ind w:start="1789" w:hanging="360"/>
      </w:pPr>
      <w:rPr>
        <w:rFonts w:ascii="Courier New" w:hAnsi="Courier New" w:cs="Courier New" w:hint="default"/>
        <w:rFonts w:cs="Courier New"/>
      </w:rPr>
    </w:lvl>
    <w:lvl w:ilvl="2">
      <w:start w:val="1"/>
      <w:numFmt w:val="bullet"/>
      <w:lvlText w:val=""/>
      <w:lvlJc w:val="start"/>
      <w:pPr>
        <w:ind w:start="2509" w:hanging="360"/>
      </w:pPr>
      <w:rPr>
        <w:rFonts w:ascii="Wingdings" w:hAnsi="Wingdings" w:cs="Wingdings" w:hint="default"/>
      </w:rPr>
    </w:lvl>
    <w:lvl w:ilvl="3">
      <w:start w:val="1"/>
      <w:numFmt w:val="bullet"/>
      <w:lvlText w:val=""/>
      <w:lvlJc w:val="start"/>
      <w:pPr>
        <w:ind w:start="3229" w:hanging="360"/>
      </w:pPr>
      <w:rPr>
        <w:rFonts w:ascii="Symbol" w:hAnsi="Symbol" w:cs="Symbol" w:hint="default"/>
      </w:rPr>
    </w:lvl>
    <w:lvl w:ilvl="4">
      <w:start w:val="1"/>
      <w:numFmt w:val="bullet"/>
      <w:lvlText w:val="o"/>
      <w:lvlJc w:val="start"/>
      <w:pPr>
        <w:ind w:start="3949" w:hanging="360"/>
      </w:pPr>
      <w:rPr>
        <w:rFonts w:ascii="Courier New" w:hAnsi="Courier New" w:cs="Courier New" w:hint="default"/>
        <w:rFonts w:cs="Courier New"/>
      </w:rPr>
    </w:lvl>
    <w:lvl w:ilvl="5">
      <w:start w:val="1"/>
      <w:numFmt w:val="bullet"/>
      <w:lvlText w:val=""/>
      <w:lvlJc w:val="start"/>
      <w:pPr>
        <w:ind w:start="4669" w:hanging="360"/>
      </w:pPr>
      <w:rPr>
        <w:rFonts w:ascii="Wingdings" w:hAnsi="Wingdings" w:cs="Wingdings" w:hint="default"/>
      </w:rPr>
    </w:lvl>
    <w:lvl w:ilvl="6">
      <w:start w:val="1"/>
      <w:numFmt w:val="bullet"/>
      <w:lvlText w:val=""/>
      <w:lvlJc w:val="start"/>
      <w:pPr>
        <w:ind w:start="5389" w:hanging="360"/>
      </w:pPr>
      <w:rPr>
        <w:rFonts w:ascii="Symbol" w:hAnsi="Symbol" w:cs="Symbol" w:hint="default"/>
      </w:rPr>
    </w:lvl>
    <w:lvl w:ilvl="7">
      <w:start w:val="1"/>
      <w:numFmt w:val="bullet"/>
      <w:lvlText w:val="o"/>
      <w:lvlJc w:val="start"/>
      <w:pPr>
        <w:ind w:start="6109" w:hanging="360"/>
      </w:pPr>
      <w:rPr>
        <w:rFonts w:ascii="Courier New" w:hAnsi="Courier New" w:cs="Courier New" w:hint="default"/>
        <w:rFonts w:cs="Courier New"/>
      </w:rPr>
    </w:lvl>
    <w:lvl w:ilvl="8">
      <w:start w:val="1"/>
      <w:numFmt w:val="bullet"/>
      <w:lvlText w:val=""/>
      <w:lvlJc w:val="start"/>
      <w:pPr>
        <w:ind w:start="6829" w:hanging="360"/>
      </w:pPr>
      <w:rPr>
        <w:rFonts w:ascii="Wingdings" w:hAnsi="Wingdings" w:cs="Wingdings" w:hint="default"/>
      </w:rPr>
    </w:lvl>
  </w:abstractNum>
  <w:abstractNum w:abstractNumId="5">
    <w:lvl w:ilvl="0">
      <w:start w:val="1"/>
      <w:numFmt w:val="bullet"/>
      <w:lvlText w:val=""/>
      <w:lvlJc w:val="start"/>
      <w:pPr>
        <w:tabs>
          <w:tab w:val="num" w:pos="1429"/>
        </w:tabs>
        <w:ind w:start="1429" w:hanging="360"/>
      </w:pPr>
      <w:rPr>
        <w:rFonts w:ascii="Symbol" w:hAnsi="Symbol" w:cs="Symbol" w:hint="default"/>
        <w:rFonts w:cs="OpenSymbol"/>
      </w:rPr>
    </w:lvl>
    <w:lvl w:ilvl="1">
      <w:start w:val="1"/>
      <w:numFmt w:val="bullet"/>
      <w:lvlText w:val="◦"/>
      <w:lvlJc w:val="start"/>
      <w:pPr>
        <w:tabs>
          <w:tab w:val="num" w:pos="1789"/>
        </w:tabs>
        <w:ind w:start="1789" w:hanging="360"/>
      </w:pPr>
      <w:rPr>
        <w:rFonts w:ascii="OpenSymbol" w:hAnsi="OpenSymbol" w:cs="OpenSymbol" w:hint="default"/>
        <w:rFonts w:cs="OpenSymbol"/>
      </w:rPr>
    </w:lvl>
    <w:lvl w:ilvl="2">
      <w:start w:val="1"/>
      <w:numFmt w:val="bullet"/>
      <w:lvlText w:val="▪"/>
      <w:lvlJc w:val="start"/>
      <w:pPr>
        <w:tabs>
          <w:tab w:val="num" w:pos="2149"/>
        </w:tabs>
        <w:ind w:start="2149" w:hanging="360"/>
      </w:pPr>
      <w:rPr>
        <w:rFonts w:ascii="OpenSymbol" w:hAnsi="OpenSymbol" w:cs="OpenSymbol" w:hint="default"/>
        <w:rFonts w:cs="OpenSymbol"/>
      </w:rPr>
    </w:lvl>
    <w:lvl w:ilvl="3">
      <w:start w:val="1"/>
      <w:numFmt w:val="bullet"/>
      <w:lvlText w:val=""/>
      <w:lvlJc w:val="start"/>
      <w:pPr>
        <w:tabs>
          <w:tab w:val="num" w:pos="2509"/>
        </w:tabs>
        <w:ind w:start="2509" w:hanging="360"/>
      </w:pPr>
      <w:rPr>
        <w:rFonts w:ascii="Symbol" w:hAnsi="Symbol" w:cs="Symbol" w:hint="default"/>
        <w:rFonts w:cs="OpenSymbol"/>
      </w:rPr>
    </w:lvl>
    <w:lvl w:ilvl="4">
      <w:start w:val="1"/>
      <w:numFmt w:val="bullet"/>
      <w:lvlText w:val="◦"/>
      <w:lvlJc w:val="start"/>
      <w:pPr>
        <w:tabs>
          <w:tab w:val="num" w:pos="2869"/>
        </w:tabs>
        <w:ind w:start="2869" w:hanging="360"/>
      </w:pPr>
      <w:rPr>
        <w:rFonts w:ascii="OpenSymbol" w:hAnsi="OpenSymbol" w:cs="OpenSymbol" w:hint="default"/>
        <w:rFonts w:cs="OpenSymbol"/>
      </w:rPr>
    </w:lvl>
    <w:lvl w:ilvl="5">
      <w:start w:val="1"/>
      <w:numFmt w:val="bullet"/>
      <w:lvlText w:val="▪"/>
      <w:lvlJc w:val="start"/>
      <w:pPr>
        <w:tabs>
          <w:tab w:val="num" w:pos="3229"/>
        </w:tabs>
        <w:ind w:start="3229" w:hanging="360"/>
      </w:pPr>
      <w:rPr>
        <w:rFonts w:ascii="OpenSymbol" w:hAnsi="OpenSymbol" w:cs="OpenSymbol" w:hint="default"/>
        <w:rFonts w:cs="OpenSymbol"/>
      </w:rPr>
    </w:lvl>
    <w:lvl w:ilvl="6">
      <w:start w:val="1"/>
      <w:numFmt w:val="bullet"/>
      <w:lvlText w:val=""/>
      <w:lvlJc w:val="start"/>
      <w:pPr>
        <w:tabs>
          <w:tab w:val="num" w:pos="3589"/>
        </w:tabs>
        <w:ind w:start="3589" w:hanging="360"/>
      </w:pPr>
      <w:rPr>
        <w:rFonts w:ascii="Symbol" w:hAnsi="Symbol" w:cs="Symbol" w:hint="default"/>
        <w:rFonts w:cs="OpenSymbol"/>
      </w:rPr>
    </w:lvl>
    <w:lvl w:ilvl="7">
      <w:start w:val="1"/>
      <w:numFmt w:val="bullet"/>
      <w:lvlText w:val="◦"/>
      <w:lvlJc w:val="start"/>
      <w:pPr>
        <w:tabs>
          <w:tab w:val="num" w:pos="3949"/>
        </w:tabs>
        <w:ind w:start="3949" w:hanging="360"/>
      </w:pPr>
      <w:rPr>
        <w:rFonts w:ascii="OpenSymbol" w:hAnsi="OpenSymbol" w:cs="OpenSymbol" w:hint="default"/>
        <w:rFonts w:cs="OpenSymbol"/>
      </w:rPr>
    </w:lvl>
    <w:lvl w:ilvl="8">
      <w:start w:val="1"/>
      <w:numFmt w:val="bullet"/>
      <w:lvlText w:val="▪"/>
      <w:lvlJc w:val="start"/>
      <w:pPr>
        <w:tabs>
          <w:tab w:val="num" w:pos="4309"/>
        </w:tabs>
        <w:ind w:start="4309" w:hanging="360"/>
      </w:pPr>
      <w:rPr>
        <w:rFonts w:ascii="OpenSymbol" w:hAnsi="OpenSymbol" w:cs="OpenSymbol" w:hint="default"/>
        <w:rFonts w:cs="OpenSymbol"/>
      </w:rPr>
    </w:lvl>
  </w:abstractNum>
  <w:abstractNum w:abstractNumId="6">
    <w:lvl w:ilvl="0">
      <w:start w:val="1"/>
      <w:numFmt w:val="bullet"/>
      <w:lvlText w:val="-"/>
      <w:lvlJc w:val="start"/>
      <w:pPr>
        <w:ind w:start="1069" w:hanging="360"/>
      </w:pPr>
      <w:rPr>
        <w:rFonts w:ascii="Garamond" w:hAnsi="Garamond" w:cs="Garamond" w:hint="default"/>
        <w:rFonts w:cs="Times New Roman"/>
      </w:rPr>
    </w:lvl>
    <w:lvl w:ilvl="1">
      <w:start w:val="1"/>
      <w:numFmt w:val="bullet"/>
      <w:lvlText w:val="o"/>
      <w:lvlJc w:val="start"/>
      <w:pPr>
        <w:ind w:start="1789" w:hanging="360"/>
      </w:pPr>
      <w:rPr>
        <w:rFonts w:ascii="Courier New" w:hAnsi="Courier New" w:cs="Courier New" w:hint="default"/>
        <w:rFonts w:cs="Courier New"/>
      </w:rPr>
    </w:lvl>
    <w:lvl w:ilvl="2">
      <w:start w:val="1"/>
      <w:numFmt w:val="bullet"/>
      <w:lvlText w:val=""/>
      <w:lvlJc w:val="start"/>
      <w:pPr>
        <w:ind w:start="2509" w:hanging="360"/>
      </w:pPr>
      <w:rPr>
        <w:rFonts w:ascii="Wingdings" w:hAnsi="Wingdings" w:cs="Wingdings" w:hint="default"/>
      </w:rPr>
    </w:lvl>
    <w:lvl w:ilvl="3">
      <w:start w:val="1"/>
      <w:numFmt w:val="bullet"/>
      <w:lvlText w:val=""/>
      <w:lvlJc w:val="start"/>
      <w:pPr>
        <w:ind w:start="3229" w:hanging="360"/>
      </w:pPr>
      <w:rPr>
        <w:rFonts w:ascii="Symbol" w:hAnsi="Symbol" w:cs="Symbol" w:hint="default"/>
      </w:rPr>
    </w:lvl>
    <w:lvl w:ilvl="4">
      <w:start w:val="1"/>
      <w:numFmt w:val="bullet"/>
      <w:lvlText w:val="o"/>
      <w:lvlJc w:val="start"/>
      <w:pPr>
        <w:ind w:start="3949" w:hanging="360"/>
      </w:pPr>
      <w:rPr>
        <w:rFonts w:ascii="Courier New" w:hAnsi="Courier New" w:cs="Courier New" w:hint="default"/>
        <w:rFonts w:cs="Courier New"/>
      </w:rPr>
    </w:lvl>
    <w:lvl w:ilvl="5">
      <w:start w:val="1"/>
      <w:numFmt w:val="bullet"/>
      <w:lvlText w:val=""/>
      <w:lvlJc w:val="start"/>
      <w:pPr>
        <w:ind w:start="4669" w:hanging="360"/>
      </w:pPr>
      <w:rPr>
        <w:rFonts w:ascii="Wingdings" w:hAnsi="Wingdings" w:cs="Wingdings" w:hint="default"/>
      </w:rPr>
    </w:lvl>
    <w:lvl w:ilvl="6">
      <w:start w:val="1"/>
      <w:numFmt w:val="bullet"/>
      <w:lvlText w:val=""/>
      <w:lvlJc w:val="start"/>
      <w:pPr>
        <w:ind w:start="5389" w:hanging="360"/>
      </w:pPr>
      <w:rPr>
        <w:rFonts w:ascii="Symbol" w:hAnsi="Symbol" w:cs="Symbol" w:hint="default"/>
      </w:rPr>
    </w:lvl>
    <w:lvl w:ilvl="7">
      <w:start w:val="1"/>
      <w:numFmt w:val="bullet"/>
      <w:lvlText w:val="o"/>
      <w:lvlJc w:val="start"/>
      <w:pPr>
        <w:ind w:start="6109" w:hanging="360"/>
      </w:pPr>
      <w:rPr>
        <w:rFonts w:ascii="Courier New" w:hAnsi="Courier New" w:cs="Courier New" w:hint="default"/>
        <w:rFonts w:cs="Courier New"/>
      </w:rPr>
    </w:lvl>
    <w:lvl w:ilvl="8">
      <w:start w:val="1"/>
      <w:numFmt w:val="bullet"/>
      <w:lvlText w:val=""/>
      <w:lvlJc w:val="start"/>
      <w:pPr>
        <w:ind w:start="6829" w:hanging="360"/>
      </w:pPr>
      <w:rPr>
        <w:rFonts w:ascii="Wingdings" w:hAnsi="Wingdings" w:cs="Wingdings"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1429"/>
        </w:tabs>
        <w:ind w:start="1429" w:hanging="360"/>
      </w:pPr>
      <w:rPr>
        <w:rFonts w:ascii="Symbol" w:hAnsi="Symbol" w:cs="Symbol" w:hint="default"/>
        <w:rFonts w:cs="OpenSymbol"/>
      </w:rPr>
    </w:lvl>
    <w:lvl w:ilvl="1">
      <w:start w:val="1"/>
      <w:numFmt w:val="bullet"/>
      <w:lvlText w:val="◦"/>
      <w:lvlJc w:val="start"/>
      <w:pPr>
        <w:tabs>
          <w:tab w:val="num" w:pos="1789"/>
        </w:tabs>
        <w:ind w:start="1789" w:hanging="360"/>
      </w:pPr>
      <w:rPr>
        <w:rFonts w:ascii="OpenSymbol" w:hAnsi="OpenSymbol" w:cs="OpenSymbol" w:hint="default"/>
        <w:rFonts w:cs="OpenSymbol"/>
      </w:rPr>
    </w:lvl>
    <w:lvl w:ilvl="2">
      <w:start w:val="1"/>
      <w:numFmt w:val="bullet"/>
      <w:lvlText w:val="▪"/>
      <w:lvlJc w:val="start"/>
      <w:pPr>
        <w:tabs>
          <w:tab w:val="num" w:pos="2149"/>
        </w:tabs>
        <w:ind w:start="2149" w:hanging="360"/>
      </w:pPr>
      <w:rPr>
        <w:rFonts w:ascii="OpenSymbol" w:hAnsi="OpenSymbol" w:cs="OpenSymbol" w:hint="default"/>
        <w:rFonts w:cs="OpenSymbol"/>
      </w:rPr>
    </w:lvl>
    <w:lvl w:ilvl="3">
      <w:start w:val="1"/>
      <w:numFmt w:val="bullet"/>
      <w:lvlText w:val=""/>
      <w:lvlJc w:val="start"/>
      <w:pPr>
        <w:tabs>
          <w:tab w:val="num" w:pos="2509"/>
        </w:tabs>
        <w:ind w:start="2509" w:hanging="360"/>
      </w:pPr>
      <w:rPr>
        <w:rFonts w:ascii="Symbol" w:hAnsi="Symbol" w:cs="Symbol" w:hint="default"/>
        <w:rFonts w:cs="OpenSymbol"/>
      </w:rPr>
    </w:lvl>
    <w:lvl w:ilvl="4">
      <w:start w:val="1"/>
      <w:numFmt w:val="bullet"/>
      <w:lvlText w:val="◦"/>
      <w:lvlJc w:val="start"/>
      <w:pPr>
        <w:tabs>
          <w:tab w:val="num" w:pos="2869"/>
        </w:tabs>
        <w:ind w:start="2869" w:hanging="360"/>
      </w:pPr>
      <w:rPr>
        <w:rFonts w:ascii="OpenSymbol" w:hAnsi="OpenSymbol" w:cs="OpenSymbol" w:hint="default"/>
        <w:rFonts w:cs="OpenSymbol"/>
      </w:rPr>
    </w:lvl>
    <w:lvl w:ilvl="5">
      <w:start w:val="1"/>
      <w:numFmt w:val="bullet"/>
      <w:lvlText w:val="▪"/>
      <w:lvlJc w:val="start"/>
      <w:pPr>
        <w:tabs>
          <w:tab w:val="num" w:pos="3229"/>
        </w:tabs>
        <w:ind w:start="3229" w:hanging="360"/>
      </w:pPr>
      <w:rPr>
        <w:rFonts w:ascii="OpenSymbol" w:hAnsi="OpenSymbol" w:cs="OpenSymbol" w:hint="default"/>
        <w:rFonts w:cs="OpenSymbol"/>
      </w:rPr>
    </w:lvl>
    <w:lvl w:ilvl="6">
      <w:start w:val="1"/>
      <w:numFmt w:val="bullet"/>
      <w:lvlText w:val=""/>
      <w:lvlJc w:val="start"/>
      <w:pPr>
        <w:tabs>
          <w:tab w:val="num" w:pos="3589"/>
        </w:tabs>
        <w:ind w:start="3589" w:hanging="360"/>
      </w:pPr>
      <w:rPr>
        <w:rFonts w:ascii="Symbol" w:hAnsi="Symbol" w:cs="Symbol" w:hint="default"/>
        <w:rFonts w:cs="OpenSymbol"/>
      </w:rPr>
    </w:lvl>
    <w:lvl w:ilvl="7">
      <w:start w:val="1"/>
      <w:numFmt w:val="bullet"/>
      <w:lvlText w:val="◦"/>
      <w:lvlJc w:val="start"/>
      <w:pPr>
        <w:tabs>
          <w:tab w:val="num" w:pos="3949"/>
        </w:tabs>
        <w:ind w:start="3949" w:hanging="360"/>
      </w:pPr>
      <w:rPr>
        <w:rFonts w:ascii="OpenSymbol" w:hAnsi="OpenSymbol" w:cs="OpenSymbol" w:hint="default"/>
        <w:rFonts w:cs="OpenSymbol"/>
      </w:rPr>
    </w:lvl>
    <w:lvl w:ilvl="8">
      <w:start w:val="1"/>
      <w:numFmt w:val="bullet"/>
      <w:lvlText w:val="▪"/>
      <w:lvlJc w:val="start"/>
      <w:pPr>
        <w:tabs>
          <w:tab w:val="num" w:pos="4309"/>
        </w:tabs>
        <w:ind w:start="4309"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5"/>
  <w:defaultTabStop w:val="708"/>
  <w:autoHyphenation w:val="fals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fr-FR" w:eastAsia="en-US" w:bidi="ar-SA"/>
      </w:rPr>
    </w:rPrDefault>
    <w:pPrDefault>
      <w:pPr>
        <w:widowControl/>
        <w:suppressAutoHyphens w:val="false"/>
        <w:spacing w:lineRule="auto" w:line="276"/>
        <w:textAlignment w:val="baseline"/>
      </w:pPr>
    </w:pPrDefault>
  </w:docDefaults>
  <w:style w:type="paragraph" w:styleId="Normal">
    <w:name w:val="Normal"/>
    <w:qForma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40" w:before="0" w:after="0"/>
      <w:jc w:val="start"/>
      <w:textAlignment w:val="baseline"/>
    </w:pPr>
    <w:rPr>
      <w:rFonts w:ascii="Times New Roman" w:hAnsi="Times New Roman" w:eastAsia="Lucida Sans Unicode" w:cs="Mangal"/>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eastAsia="zh-CN" w:bidi="hi-IN" w:val="fr-FR"/>
    </w:rPr>
  </w:style>
  <w:style w:type="paragraph" w:styleId="Titre1">
    <w:name w:val="Heading 1"/>
    <w:basedOn w:val="Normal1"/>
    <w:next w:val="Normal1"/>
    <w:qFormat/>
    <w:pPr>
      <w:keepNext w:val="true"/>
      <w:keepLines/>
      <w:numPr>
        <w:ilvl w:val="0"/>
        <w:numId w:val="1"/>
      </w:numPr>
      <w:suppressAutoHyphens w:val="true"/>
      <w:spacing w:before="480" w:after="0"/>
      <w:outlineLvl w:val="0"/>
    </w:pPr>
    <w:rPr>
      <w:rFonts w:ascii="Cambria" w:hAnsi="Cambria" w:eastAsia="Times New Roman" w:cs="Cambria"/>
      <w:b/>
      <w:bCs/>
      <w:color w:val="365F91"/>
      <w:sz w:val="28"/>
      <w:szCs w:val="28"/>
    </w:rPr>
  </w:style>
  <w:style w:type="paragraph" w:styleId="Titre2">
    <w:name w:val="Heading 2"/>
    <w:basedOn w:val="Normal"/>
    <w:next w:val="Normal"/>
    <w:qFormat/>
    <w:pPr>
      <w:keepNext w:val="true"/>
      <w:numPr>
        <w:ilvl w:val="1"/>
        <w:numId w:val="1"/>
      </w:numPr>
      <w:suppressAutoHyphens w:val="true"/>
      <w:bidi w:val="0"/>
      <w:spacing w:before="120" w:after="60"/>
      <w:ind w:start="709" w:end="0" w:hanging="0"/>
      <w:jc w:val="both"/>
      <w:outlineLvl w:val="1"/>
    </w:pPr>
    <w:rPr>
      <w:rFonts w:ascii="Trebuchet MS" w:hAnsi="Trebuchet MS" w:eastAsia="Garamond" w:cs="Times New Roman"/>
      <w:b/>
      <w:bCs/>
      <w:iCs/>
      <w:smallCaps/>
      <w:color w:val="000099"/>
      <w:sz w:val="36"/>
      <w:szCs w:val="36"/>
      <w:u w:val="none"/>
    </w:rPr>
  </w:style>
  <w:style w:type="paragraph" w:styleId="Titre3">
    <w:name w:val="Heading 3"/>
    <w:basedOn w:val="Normal1"/>
    <w:next w:val="Normal1"/>
    <w:qFormat/>
    <w:pPr>
      <w:keepLines/>
      <w:numPr>
        <w:ilvl w:val="2"/>
        <w:numId w:val="1"/>
      </w:numPr>
      <w:suppressAutoHyphens w:val="true"/>
      <w:bidi w:val="0"/>
      <w:spacing w:lineRule="auto" w:line="288" w:before="238" w:after="62"/>
      <w:ind w:start="709" w:end="0" w:hanging="0"/>
      <w:outlineLvl w:val="2"/>
    </w:pPr>
    <w:rPr>
      <w:rFonts w:ascii="Trebuchet MS" w:hAnsi="Trebuchet MS" w:eastAsia="Times New Roman" w:cs="Garamond"/>
      <w:b/>
      <w:bCs/>
      <w:iCs/>
      <w:color w:val="000099"/>
      <w:sz w:val="24"/>
      <w:szCs w:val="24"/>
      <w:u w:val="none"/>
    </w:rPr>
  </w:style>
  <w:style w:type="paragraph" w:styleId="Titre4">
    <w:name w:val="Heading 4"/>
    <w:basedOn w:val="Titre3"/>
    <w:next w:val="Normal1"/>
    <w:qFormat/>
    <w:pPr>
      <w:numPr>
        <w:ilvl w:val="3"/>
        <w:numId w:val="1"/>
      </w:numPr>
      <w:suppressAutoHyphens w:val="true"/>
      <w:bidi w:val="0"/>
      <w:spacing w:before="238" w:after="62"/>
      <w:ind w:start="1701" w:end="0" w:hanging="0"/>
      <w:outlineLvl w:val="3"/>
    </w:pPr>
    <w:rPr>
      <w:b w:val="false"/>
    </w:rPr>
  </w:style>
  <w:style w:type="paragraph" w:styleId="Titre5">
    <w:name w:val="Heading 5"/>
    <w:basedOn w:val="Titre4"/>
    <w:next w:val="Normal1"/>
    <w:qFormat/>
    <w:pPr>
      <w:numPr>
        <w:ilvl w:val="4"/>
        <w:numId w:val="1"/>
      </w:numPr>
      <w:suppressAutoHyphens w:val="true"/>
      <w:outlineLvl w:val="4"/>
    </w:pPr>
    <w:rPr>
      <w:sz w:val="20"/>
    </w:rPr>
  </w:style>
  <w:style w:type="paragraph" w:styleId="Titre6">
    <w:name w:val="Heading 6"/>
    <w:basedOn w:val="Titre5"/>
    <w:next w:val="Normal1"/>
    <w:qFormat/>
    <w:pPr>
      <w:numPr>
        <w:ilvl w:val="5"/>
        <w:numId w:val="1"/>
      </w:numPr>
      <w:tabs>
        <w:tab w:val="left" w:pos="0" w:leader="none"/>
      </w:tabs>
      <w:suppressAutoHyphens w:val="true"/>
      <w:ind w:start="360" w:end="0" w:hanging="360"/>
      <w:outlineLvl w:val="5"/>
    </w:pPr>
    <w:rPr>
      <w:i/>
    </w:rPr>
  </w:style>
  <w:style w:type="paragraph" w:styleId="Titre7">
    <w:name w:val="Heading 7"/>
    <w:basedOn w:val="Titre6"/>
    <w:next w:val="Normal1"/>
    <w:qFormat/>
    <w:pPr>
      <w:numPr>
        <w:ilvl w:val="6"/>
        <w:numId w:val="1"/>
      </w:numPr>
      <w:suppressAutoHyphens w:val="true"/>
      <w:outlineLvl w:val="6"/>
    </w:pPr>
    <w:rPr>
      <w:i w:val="false"/>
    </w:rPr>
  </w:style>
  <w:style w:type="paragraph" w:styleId="Titre8">
    <w:name w:val="Heading 8"/>
    <w:basedOn w:val="Titre7"/>
    <w:next w:val="Normal1"/>
    <w:qFormat/>
    <w:pPr>
      <w:numPr>
        <w:ilvl w:val="7"/>
        <w:numId w:val="1"/>
      </w:numPr>
      <w:suppressAutoHyphens w:val="true"/>
      <w:outlineLvl w:val="7"/>
    </w:pPr>
    <w:rPr/>
  </w:style>
  <w:style w:type="paragraph" w:styleId="Titre9">
    <w:name w:val="Heading 9"/>
    <w:basedOn w:val="Titre8"/>
    <w:next w:val="Normal1"/>
    <w:qFormat/>
    <w:pPr>
      <w:numPr>
        <w:ilvl w:val="8"/>
        <w:numId w:val="1"/>
      </w:numPr>
      <w:suppressAutoHyphens w:val="true"/>
      <w:outlineLvl w:val="8"/>
    </w:pPr>
    <w:rPr/>
  </w:style>
  <w:style w:type="character" w:styleId="Policepardfaut">
    <w:name w:val="Police par défaut"/>
    <w:qFormat/>
    <w:rPr/>
  </w:style>
  <w:style w:type="character" w:styleId="Titre2Car">
    <w:name w:val="Titre 2 Car"/>
    <w:basedOn w:val="Policepardfaut"/>
    <w:qFormat/>
    <w:rPr>
      <w:rFonts w:ascii="Garamond" w:hAnsi="Garamond" w:eastAsia="Lucida Sans Unicode" w:cs="Times New Roman"/>
      <w:bCs/>
      <w:iCs/>
      <w:color w:val="C0504D"/>
      <w:kern w:val="2"/>
      <w:sz w:val="36"/>
      <w:szCs w:val="36"/>
      <w:u w:val="single"/>
      <w:lang w:eastAsia="zh-CN" w:bidi="hi-IN"/>
    </w:rPr>
  </w:style>
  <w:style w:type="character" w:styleId="Accentuationforte">
    <w:name w:val="Accentuation forte"/>
    <w:basedOn w:val="Policepardfaut"/>
    <w:qFormat/>
    <w:rPr>
      <w:b/>
      <w:bCs/>
    </w:rPr>
  </w:style>
  <w:style w:type="character" w:styleId="EntteCar">
    <w:name w:val="En-tête Car"/>
    <w:basedOn w:val="Policepardfaut"/>
    <w:qFormat/>
    <w:rPr/>
  </w:style>
  <w:style w:type="character" w:styleId="PieddepageCar">
    <w:name w:val="Pied de page Car"/>
    <w:basedOn w:val="Policepardfaut"/>
    <w:qFormat/>
    <w:rPr/>
  </w:style>
  <w:style w:type="character" w:styleId="Appelnotedebasdep">
    <w:name w:val="Appel note de bas de p."/>
    <w:qFormat/>
    <w:rPr>
      <w:position w:val="22"/>
      <w:sz w:val="14"/>
    </w:rPr>
  </w:style>
  <w:style w:type="character" w:styleId="Rfrenceple">
    <w:name w:val="Référence pâle"/>
    <w:basedOn w:val="Policepardfaut"/>
    <w:qFormat/>
    <w:rPr>
      <w:b/>
      <w:smallCaps/>
      <w:sz w:val="24"/>
      <w:szCs w:val="24"/>
    </w:rPr>
  </w:style>
  <w:style w:type="character" w:styleId="Titre3Car">
    <w:name w:val="Titre 3 Car"/>
    <w:basedOn w:val="Policepardfaut"/>
    <w:qFormat/>
    <w:rPr>
      <w:rFonts w:ascii="Garamond" w:hAnsi="Garamond" w:eastAsia="Times New Roman" w:cs="Garamond"/>
      <w:b/>
      <w:bCs/>
      <w:iCs/>
      <w:sz w:val="24"/>
      <w:szCs w:val="24"/>
      <w:u w:val="single"/>
    </w:rPr>
  </w:style>
  <w:style w:type="character" w:styleId="Circulairetitre1Car">
    <w:name w:val="Circulaire_titre1 Car"/>
    <w:basedOn w:val="Policepardfaut"/>
    <w:qFormat/>
    <w:rPr>
      <w:rFonts w:ascii="Times New Roman" w:hAnsi="Times New Roman" w:eastAsia="Lucida Sans Unicode" w:cs="Mangal"/>
      <w:smallCaps/>
      <w:kern w:val="2"/>
      <w:sz w:val="24"/>
      <w:szCs w:val="24"/>
      <w:lang w:eastAsia="zh-CN" w:bidi="hi-IN"/>
    </w:rPr>
  </w:style>
  <w:style w:type="character" w:styleId="Style1Car">
    <w:name w:val="Style1 Car"/>
    <w:basedOn w:val="Circulairetitre1Car"/>
    <w:qFormat/>
    <w:rPr>
      <w:rFonts w:ascii="Garamond" w:hAnsi="Garamond" w:eastAsia="Lucida Sans Unicode" w:cs="Mangal"/>
      <w:smallCaps/>
      <w:color w:val="FFFFFF"/>
      <w:kern w:val="2"/>
      <w:sz w:val="24"/>
      <w:szCs w:val="24"/>
      <w:highlight w:val="darkBlue"/>
      <w:lang w:eastAsia="zh-CN" w:bidi="hi-IN"/>
    </w:rPr>
  </w:style>
  <w:style w:type="character" w:styleId="Titre4Car">
    <w:name w:val="Titre 4 Car"/>
    <w:basedOn w:val="Policepardfaut"/>
    <w:qFormat/>
    <w:rPr>
      <w:rFonts w:ascii="Trebuchet MS" w:hAnsi="Trebuchet MS" w:eastAsia="Times New Roman" w:cs="Times New Roman"/>
      <w:smallCaps/>
      <w:color w:val="009F63"/>
      <w:sz w:val="24"/>
      <w:szCs w:val="24"/>
    </w:rPr>
  </w:style>
  <w:style w:type="character" w:styleId="Titre5Car">
    <w:name w:val="Titre 5 Car"/>
    <w:basedOn w:val="Policepardfaut"/>
    <w:qFormat/>
    <w:rPr>
      <w:rFonts w:ascii="Trebuchet MS" w:hAnsi="Trebuchet MS" w:eastAsia="Times New Roman" w:cs="Times New Roman"/>
      <w:smallCaps/>
      <w:color w:val="009F63"/>
      <w:sz w:val="20"/>
      <w:szCs w:val="24"/>
    </w:rPr>
  </w:style>
  <w:style w:type="character" w:styleId="Titre6Car">
    <w:name w:val="Titre 6 Car"/>
    <w:basedOn w:val="Policepardfaut"/>
    <w:qFormat/>
    <w:rPr>
      <w:rFonts w:ascii="Trebuchet MS" w:hAnsi="Trebuchet MS" w:eastAsia="Times New Roman" w:cs="Times New Roman"/>
      <w:i/>
      <w:smallCaps/>
      <w:color w:val="009F63"/>
      <w:sz w:val="20"/>
      <w:szCs w:val="24"/>
    </w:rPr>
  </w:style>
  <w:style w:type="character" w:styleId="Titre7Car">
    <w:name w:val="Titre 7 Car"/>
    <w:basedOn w:val="Policepardfaut"/>
    <w:qFormat/>
    <w:rPr>
      <w:rFonts w:ascii="Trebuchet MS" w:hAnsi="Trebuchet MS" w:eastAsia="Times New Roman" w:cs="Times New Roman"/>
      <w:smallCaps/>
      <w:color w:val="009F63"/>
      <w:sz w:val="20"/>
      <w:szCs w:val="24"/>
    </w:rPr>
  </w:style>
  <w:style w:type="character" w:styleId="Titre8Car">
    <w:name w:val="Titre 8 Car"/>
    <w:basedOn w:val="Policepardfaut"/>
    <w:qFormat/>
    <w:rPr>
      <w:rFonts w:ascii="Trebuchet MS" w:hAnsi="Trebuchet MS" w:eastAsia="Times New Roman" w:cs="Times New Roman"/>
      <w:smallCaps/>
      <w:color w:val="009F63"/>
      <w:sz w:val="20"/>
      <w:szCs w:val="24"/>
    </w:rPr>
  </w:style>
  <w:style w:type="character" w:styleId="Titre9Car">
    <w:name w:val="Titre 9 Car"/>
    <w:basedOn w:val="Policepardfaut"/>
    <w:qFormat/>
    <w:rPr>
      <w:rFonts w:ascii="Trebuchet MS" w:hAnsi="Trebuchet MS" w:eastAsia="Times New Roman" w:cs="Times New Roman"/>
      <w:smallCaps/>
      <w:color w:val="009F63"/>
      <w:sz w:val="20"/>
      <w:szCs w:val="24"/>
    </w:rPr>
  </w:style>
  <w:style w:type="character" w:styleId="CitationCar">
    <w:name w:val="Citation Car"/>
    <w:basedOn w:val="Policepardfaut"/>
    <w:qFormat/>
    <w:rPr>
      <w:rFonts w:ascii="Trebuchet MS" w:hAnsi="Trebuchet MS" w:eastAsia="Times New Roman" w:cs="Times New Roman"/>
      <w:i/>
      <w:iCs/>
      <w:color w:val="009F63"/>
      <w:sz w:val="20"/>
      <w:szCs w:val="24"/>
    </w:rPr>
  </w:style>
  <w:style w:type="character" w:styleId="Marquedecommentaire">
    <w:name w:val="Marque de commentaire"/>
    <w:qFormat/>
    <w:rPr>
      <w:sz w:val="16"/>
      <w:szCs w:val="16"/>
    </w:rPr>
  </w:style>
  <w:style w:type="character" w:styleId="TextedebullesCar">
    <w:name w:val="Texte de bulles Car"/>
    <w:basedOn w:val="Policepardfaut"/>
    <w:qFormat/>
    <w:rPr>
      <w:rFonts w:ascii="Tahoma" w:hAnsi="Tahoma" w:eastAsia="Tahoma" w:cs="Tahoma"/>
      <w:sz w:val="16"/>
      <w:szCs w:val="16"/>
    </w:rPr>
  </w:style>
  <w:style w:type="character" w:styleId="Rfrenceintense">
    <w:name w:val="Référence intense"/>
    <w:basedOn w:val="Policepardfaut"/>
    <w:qFormat/>
    <w:rPr>
      <w:b/>
      <w:smallCaps/>
      <w:color w:val="C0504D"/>
      <w:spacing w:val="5"/>
      <w:sz w:val="24"/>
      <w:u w:val="single"/>
    </w:rPr>
  </w:style>
  <w:style w:type="character" w:styleId="Style2Car">
    <w:name w:val="Style2 Car"/>
    <w:basedOn w:val="Policepardfaut"/>
    <w:qFormat/>
    <w:rPr>
      <w:rFonts w:ascii="Garamond" w:hAnsi="Garamond" w:eastAsia="Garamond" w:cs="Garamond"/>
      <w:b/>
      <w:smallCaps/>
      <w:color w:val="C0504D"/>
      <w:spacing w:val="5"/>
      <w:sz w:val="36"/>
      <w:szCs w:val="36"/>
      <w:u w:val="single"/>
    </w:rPr>
  </w:style>
  <w:style w:type="character" w:styleId="Lienhypertexte">
    <w:name w:val="Lien hypertexte"/>
    <w:basedOn w:val="Policepardfaut"/>
    <w:qFormat/>
    <w:rPr>
      <w:color w:val="0000FF"/>
      <w:u w:val="single"/>
    </w:rPr>
  </w:style>
  <w:style w:type="character" w:styleId="Style3Car">
    <w:name w:val="Style3 Car"/>
    <w:basedOn w:val="Policepardfaut"/>
    <w:qFormat/>
    <w:rPr>
      <w:rFonts w:ascii="Garamond" w:hAnsi="Garamond" w:eastAsia="Garamond" w:cs="Garamond"/>
      <w:sz w:val="24"/>
      <w:szCs w:val="24"/>
    </w:rPr>
  </w:style>
  <w:style w:type="character" w:styleId="Style4Car">
    <w:name w:val="Style4 Car"/>
    <w:basedOn w:val="Titre2Car"/>
    <w:qFormat/>
    <w:rPr>
      <w:rFonts w:ascii="Times New Roman" w:hAnsi="Times New Roman" w:eastAsia="Lucida Sans Unicode" w:cs="Times New Roman"/>
      <w:bCs/>
      <w:iCs/>
      <w:color w:val="C0504D"/>
      <w:kern w:val="2"/>
      <w:sz w:val="28"/>
      <w:szCs w:val="28"/>
      <w:u w:val="single"/>
      <w:lang w:eastAsia="zh-CN" w:bidi="hi-IN"/>
    </w:rPr>
  </w:style>
  <w:style w:type="character" w:styleId="Style5Car">
    <w:name w:val="Style5 Car"/>
    <w:basedOn w:val="Style3Car"/>
    <w:qFormat/>
    <w:rPr>
      <w:rFonts w:ascii="Garamond" w:hAnsi="Garamond" w:eastAsia="Garamond" w:cs="Garamond"/>
      <w:i/>
      <w:sz w:val="24"/>
      <w:szCs w:val="24"/>
    </w:rPr>
  </w:style>
  <w:style w:type="character" w:styleId="Emphaseple">
    <w:name w:val="Emphase pâle"/>
    <w:basedOn w:val="Policepardfaut"/>
    <w:qFormat/>
    <w:rPr>
      <w:i/>
      <w:iCs/>
      <w:color w:val="808080"/>
    </w:rPr>
  </w:style>
  <w:style w:type="character" w:styleId="CommentaireCar">
    <w:name w:val="Commentaire Car"/>
    <w:basedOn w:val="Policepardfaut"/>
    <w:qFormat/>
    <w:rPr>
      <w:sz w:val="20"/>
      <w:szCs w:val="20"/>
    </w:rPr>
  </w:style>
  <w:style w:type="character" w:styleId="ObjetducommentaireCar">
    <w:name w:val="Objet du commentaire Car"/>
    <w:basedOn w:val="CommentaireCar"/>
    <w:qFormat/>
    <w:rPr>
      <w:b/>
      <w:bCs/>
      <w:sz w:val="20"/>
      <w:szCs w:val="20"/>
    </w:rPr>
  </w:style>
  <w:style w:type="character" w:styleId="Lev">
    <w:name w:val="Élevé"/>
    <w:basedOn w:val="Policepardfaut"/>
    <w:qFormat/>
    <w:rPr>
      <w:b/>
      <w:bCs/>
    </w:rPr>
  </w:style>
  <w:style w:type="character" w:styleId="Titre1Car">
    <w:name w:val="Titre 1 Car"/>
    <w:basedOn w:val="Policepardfaut"/>
    <w:qFormat/>
    <w:rPr>
      <w:rFonts w:ascii="Cambria" w:hAnsi="Cambria" w:eastAsia="Times New Roman" w:cs="Times New Roman"/>
      <w:b/>
      <w:bCs/>
      <w:color w:val="365F91"/>
      <w:sz w:val="28"/>
      <w:szCs w:val="28"/>
    </w:rPr>
  </w:style>
  <w:style w:type="character" w:styleId="Titredulivre">
    <w:name w:val="Titre du livre"/>
    <w:basedOn w:val="Policepardfaut"/>
    <w:qFormat/>
    <w:rPr>
      <w:b/>
      <w:bCs/>
      <w:smallCaps/>
      <w:spacing w:val="5"/>
    </w:rPr>
  </w:style>
  <w:style w:type="character" w:styleId="StylesousrubriqueCar">
    <w:name w:val="Style sous-rubrique Car"/>
    <w:basedOn w:val="Style2Car"/>
    <w:qFormat/>
    <w:rPr>
      <w:rFonts w:ascii="Garamond" w:hAnsi="Garamond" w:eastAsia="Garamond" w:cs="Garamond"/>
      <w:b/>
      <w:smallCaps/>
      <w:color w:val="C0504D"/>
      <w:spacing w:val="5"/>
      <w:sz w:val="36"/>
      <w:szCs w:val="36"/>
      <w:u w:val="single"/>
    </w:rPr>
  </w:style>
  <w:style w:type="character" w:styleId="LienInternet">
    <w:name w:val="Lien Internet"/>
    <w:basedOn w:val="Policepardfaut"/>
    <w:rPr>
      <w:color w:val="0000FF"/>
      <w:u w:val="single" w:color="000000"/>
      <w:lang w:val="fr-FR" w:eastAsia="fr-FR" w:bidi="fr-FR"/>
    </w:rPr>
  </w:style>
  <w:style w:type="character" w:styleId="Mention">
    <w:name w:val="Mention"/>
    <w:basedOn w:val="Policepardfaut"/>
    <w:qFormat/>
    <w:rPr>
      <w:color w:val="2B579A"/>
      <w:highlight w:val="white"/>
    </w:rPr>
  </w:style>
  <w:style w:type="character" w:styleId="NotedebasdepageCar">
    <w:name w:val="Note de bas de page Car"/>
    <w:basedOn w:val="Policepardfaut"/>
    <w:qFormat/>
    <w:rPr>
      <w:sz w:val="20"/>
      <w:szCs w:val="20"/>
    </w:rPr>
  </w:style>
  <w:style w:type="character" w:styleId="NotedebasdepageCar1">
    <w:name w:val="Note de bas de page Car1"/>
    <w:basedOn w:val="Policepardfaut"/>
    <w:qFormat/>
    <w:rPr>
      <w:sz w:val="20"/>
      <w:szCs w:val="20"/>
    </w:rPr>
  </w:style>
  <w:style w:type="character" w:styleId="Caractresdenotedebasdepage">
    <w:name w:val="Caractères de note de bas de page"/>
    <w:qFormat/>
    <w:rPr/>
  </w:style>
  <w:style w:type="character" w:styleId="Puces">
    <w:name w:val="Puces"/>
    <w:qFormat/>
    <w:rPr>
      <w:rFonts w:ascii="OpenSymbol" w:hAnsi="OpenSymbol" w:eastAsia="OpenSymbol" w:cs="OpenSymbol"/>
    </w:rPr>
  </w:style>
  <w:style w:type="character" w:styleId="WWCharLFO3LVL1">
    <w:name w:val="WW_CharLFO3LVL1"/>
    <w:qFormat/>
    <w:rPr>
      <w:rFonts w:ascii="Calibri" w:hAnsi="Calibri" w:cs="Calibri"/>
    </w:rPr>
  </w:style>
  <w:style w:type="character" w:styleId="WWCharLFO3LVL2">
    <w:name w:val="WW_CharLFO3LVL2"/>
    <w:qFormat/>
    <w:rPr>
      <w:rFonts w:ascii="Courier New" w:hAnsi="Courier New" w:cs="Courier New"/>
    </w:rPr>
  </w:style>
  <w:style w:type="character" w:styleId="WWCharLFO3LVL3">
    <w:name w:val="WW_CharLFO3LVL3"/>
    <w:qFormat/>
    <w:rPr>
      <w:rFonts w:ascii="Wingdings" w:hAnsi="Wingdings"/>
    </w:rPr>
  </w:style>
  <w:style w:type="character" w:styleId="WWCharLFO3LVL4">
    <w:name w:val="WW_CharLFO3LVL4"/>
    <w:qFormat/>
    <w:rPr>
      <w:rFonts w:ascii="Symbol" w:hAnsi="Symbol"/>
    </w:rPr>
  </w:style>
  <w:style w:type="character" w:styleId="WWCharLFO3LVL5">
    <w:name w:val="WW_CharLFO3LVL5"/>
    <w:qFormat/>
    <w:rPr>
      <w:rFonts w:ascii="Courier New" w:hAnsi="Courier New" w:cs="Courier New"/>
    </w:rPr>
  </w:style>
  <w:style w:type="character" w:styleId="WWCharLFO3LVL6">
    <w:name w:val="WW_CharLFO3LVL6"/>
    <w:qFormat/>
    <w:rPr>
      <w:rFonts w:ascii="Wingdings" w:hAnsi="Wingdings"/>
    </w:rPr>
  </w:style>
  <w:style w:type="character" w:styleId="WWCharLFO3LVL7">
    <w:name w:val="WW_CharLFO3LVL7"/>
    <w:qFormat/>
    <w:rPr>
      <w:rFonts w:ascii="Symbol" w:hAnsi="Symbol"/>
    </w:rPr>
  </w:style>
  <w:style w:type="character" w:styleId="WWCharLFO3LVL8">
    <w:name w:val="WW_CharLFO3LVL8"/>
    <w:qFormat/>
    <w:rPr>
      <w:rFonts w:ascii="Courier New" w:hAnsi="Courier New" w:cs="Courier New"/>
    </w:rPr>
  </w:style>
  <w:style w:type="character" w:styleId="WWCharLFO3LVL9">
    <w:name w:val="WW_CharLFO3LVL9"/>
    <w:qFormat/>
    <w:rPr>
      <w:rFonts w:ascii="Wingdings" w:hAnsi="Wingdings"/>
    </w:rPr>
  </w:style>
  <w:style w:type="character" w:styleId="WWCharLFO4LVL1">
    <w:name w:val="WW_CharLFO4LVL1"/>
    <w:qFormat/>
    <w:rPr>
      <w:rFonts w:ascii="Garamond" w:hAnsi="Garamond" w:eastAsia="Calibri" w:cs="Times New Roman"/>
    </w:rPr>
  </w:style>
  <w:style w:type="character" w:styleId="WWCharLFO4LVL2">
    <w:name w:val="WW_CharLFO4LVL2"/>
    <w:qFormat/>
    <w:rPr>
      <w:rFonts w:ascii="Courier New" w:hAnsi="Courier New" w:cs="Courier New"/>
    </w:rPr>
  </w:style>
  <w:style w:type="character" w:styleId="WWCharLFO4LVL3">
    <w:name w:val="WW_CharLFO4LVL3"/>
    <w:qFormat/>
    <w:rPr>
      <w:rFonts w:ascii="Wingdings" w:hAnsi="Wingdings"/>
    </w:rPr>
  </w:style>
  <w:style w:type="character" w:styleId="WWCharLFO4LVL4">
    <w:name w:val="WW_CharLFO4LVL4"/>
    <w:qFormat/>
    <w:rPr>
      <w:rFonts w:ascii="Symbol" w:hAnsi="Symbol"/>
    </w:rPr>
  </w:style>
  <w:style w:type="character" w:styleId="WWCharLFO4LVL5">
    <w:name w:val="WW_CharLFO4LVL5"/>
    <w:qFormat/>
    <w:rPr>
      <w:rFonts w:ascii="Courier New" w:hAnsi="Courier New" w:cs="Courier New"/>
    </w:rPr>
  </w:style>
  <w:style w:type="character" w:styleId="WWCharLFO4LVL6">
    <w:name w:val="WW_CharLFO4LVL6"/>
    <w:qFormat/>
    <w:rPr>
      <w:rFonts w:ascii="Wingdings" w:hAnsi="Wingdings"/>
    </w:rPr>
  </w:style>
  <w:style w:type="character" w:styleId="WWCharLFO4LVL7">
    <w:name w:val="WW_CharLFO4LVL7"/>
    <w:qFormat/>
    <w:rPr>
      <w:rFonts w:ascii="Symbol" w:hAnsi="Symbol"/>
    </w:rPr>
  </w:style>
  <w:style w:type="character" w:styleId="WWCharLFO4LVL8">
    <w:name w:val="WW_CharLFO4LVL8"/>
    <w:qFormat/>
    <w:rPr>
      <w:rFonts w:ascii="Courier New" w:hAnsi="Courier New" w:cs="Courier New"/>
    </w:rPr>
  </w:style>
  <w:style w:type="character" w:styleId="WWCharLFO4LVL9">
    <w:name w:val="WW_CharLFO4LVL9"/>
    <w:qFormat/>
    <w:rPr>
      <w:rFonts w:ascii="Wingdings" w:hAnsi="Wingdings"/>
    </w:rPr>
  </w:style>
  <w:style w:type="character" w:styleId="WWCharLFO5LVL1">
    <w:name w:val="WW_CharLFO5LVL1"/>
    <w:qFormat/>
    <w:rPr>
      <w:rFonts w:ascii="Garamond" w:hAnsi="Garamond" w:eastAsia="Calibri" w:cs="Times New Roman"/>
    </w:rPr>
  </w:style>
  <w:style w:type="character" w:styleId="WWCharLFO5LVL2">
    <w:name w:val="WW_CharLFO5LVL2"/>
    <w:qFormat/>
    <w:rPr>
      <w:rFonts w:ascii="Courier New" w:hAnsi="Courier New" w:cs="Courier New"/>
    </w:rPr>
  </w:style>
  <w:style w:type="character" w:styleId="WWCharLFO5LVL3">
    <w:name w:val="WW_CharLFO5LVL3"/>
    <w:qFormat/>
    <w:rPr>
      <w:rFonts w:ascii="Wingdings" w:hAnsi="Wingdings"/>
    </w:rPr>
  </w:style>
  <w:style w:type="character" w:styleId="WWCharLFO5LVL4">
    <w:name w:val="WW_CharLFO5LVL4"/>
    <w:qFormat/>
    <w:rPr>
      <w:rFonts w:ascii="Symbol" w:hAnsi="Symbol"/>
    </w:rPr>
  </w:style>
  <w:style w:type="character" w:styleId="WWCharLFO5LVL5">
    <w:name w:val="WW_CharLFO5LVL5"/>
    <w:qFormat/>
    <w:rPr>
      <w:rFonts w:ascii="Courier New" w:hAnsi="Courier New" w:cs="Courier New"/>
    </w:rPr>
  </w:style>
  <w:style w:type="character" w:styleId="WWCharLFO5LVL6">
    <w:name w:val="WW_CharLFO5LVL6"/>
    <w:qFormat/>
    <w:rPr>
      <w:rFonts w:ascii="Wingdings" w:hAnsi="Wingdings"/>
    </w:rPr>
  </w:style>
  <w:style w:type="character" w:styleId="WWCharLFO5LVL7">
    <w:name w:val="WW_CharLFO5LVL7"/>
    <w:qFormat/>
    <w:rPr>
      <w:rFonts w:ascii="Symbol" w:hAnsi="Symbol"/>
    </w:rPr>
  </w:style>
  <w:style w:type="character" w:styleId="WWCharLFO5LVL8">
    <w:name w:val="WW_CharLFO5LVL8"/>
    <w:qFormat/>
    <w:rPr>
      <w:rFonts w:ascii="Courier New" w:hAnsi="Courier New" w:cs="Courier New"/>
    </w:rPr>
  </w:style>
  <w:style w:type="character" w:styleId="WWCharLFO5LVL9">
    <w:name w:val="WW_CharLFO5LVL9"/>
    <w:qFormat/>
    <w:rPr>
      <w:rFonts w:ascii="Wingdings" w:hAnsi="Wingdings"/>
    </w:rPr>
  </w:style>
  <w:style w:type="character" w:styleId="WWCharLFO6LVL1">
    <w:name w:val="WW_CharLFO6LVL1"/>
    <w:qFormat/>
    <w:rPr>
      <w:rFonts w:ascii="Garamond" w:hAnsi="Garamond" w:eastAsia="Calibri" w:cs="Times New Roman"/>
    </w:rPr>
  </w:style>
  <w:style w:type="character" w:styleId="WWCharLFO6LVL2">
    <w:name w:val="WW_CharLFO6LVL2"/>
    <w:qFormat/>
    <w:rPr>
      <w:rFonts w:ascii="Courier New" w:hAnsi="Courier New" w:cs="Courier New"/>
    </w:rPr>
  </w:style>
  <w:style w:type="character" w:styleId="WWCharLFO6LVL3">
    <w:name w:val="WW_CharLFO6LVL3"/>
    <w:qFormat/>
    <w:rPr>
      <w:rFonts w:ascii="Wingdings" w:hAnsi="Wingdings"/>
    </w:rPr>
  </w:style>
  <w:style w:type="character" w:styleId="WWCharLFO6LVL4">
    <w:name w:val="WW_CharLFO6LVL4"/>
    <w:qFormat/>
    <w:rPr>
      <w:rFonts w:ascii="Symbol" w:hAnsi="Symbol"/>
    </w:rPr>
  </w:style>
  <w:style w:type="character" w:styleId="WWCharLFO6LVL5">
    <w:name w:val="WW_CharLFO6LVL5"/>
    <w:qFormat/>
    <w:rPr>
      <w:rFonts w:ascii="Courier New" w:hAnsi="Courier New" w:cs="Courier New"/>
    </w:rPr>
  </w:style>
  <w:style w:type="character" w:styleId="WWCharLFO6LVL6">
    <w:name w:val="WW_CharLFO6LVL6"/>
    <w:qFormat/>
    <w:rPr>
      <w:rFonts w:ascii="Wingdings" w:hAnsi="Wingdings"/>
    </w:rPr>
  </w:style>
  <w:style w:type="character" w:styleId="WWCharLFO6LVL7">
    <w:name w:val="WW_CharLFO6LVL7"/>
    <w:qFormat/>
    <w:rPr>
      <w:rFonts w:ascii="Symbol" w:hAnsi="Symbol"/>
    </w:rPr>
  </w:style>
  <w:style w:type="character" w:styleId="WWCharLFO6LVL8">
    <w:name w:val="WW_CharLFO6LVL8"/>
    <w:qFormat/>
    <w:rPr>
      <w:rFonts w:ascii="Courier New" w:hAnsi="Courier New" w:cs="Courier New"/>
    </w:rPr>
  </w:style>
  <w:style w:type="character" w:styleId="WWCharLFO6LVL9">
    <w:name w:val="WW_CharLFO6LVL9"/>
    <w:qFormat/>
    <w:rPr>
      <w:rFonts w:ascii="Wingdings" w:hAnsi="Wingdings"/>
    </w:rPr>
  </w:style>
  <w:style w:type="character" w:styleId="Sautdindex">
    <w:name w:val="Saut d'index"/>
    <w:qFormat/>
    <w:rPr/>
  </w:style>
  <w:style w:type="character" w:styleId="LienInternetvisit">
    <w:name w:val="Lien Internet visité"/>
    <w:rPr>
      <w:color w:val="800000"/>
      <w:u w:val="single"/>
      <w:lang w:val="zxx" w:eastAsia="zxx" w:bidi="zxx"/>
    </w:rPr>
  </w:style>
  <w:style w:type="character" w:styleId="Caractresdenumrotation">
    <w:name w:val="Caractères de numérotation"/>
    <w:qForma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uppressAutoHyphens w:val="true"/>
      <w:spacing w:before="240" w:after="120"/>
    </w:pPr>
    <w:rPr>
      <w:rFonts w:ascii="Arial" w:hAnsi="Arial" w:eastAsia="Arial" w:cs="Tahoma"/>
      <w:sz w:val="28"/>
      <w:szCs w:val="28"/>
    </w:rPr>
  </w:style>
  <w:style w:type="paragraph" w:styleId="Corpsdetexte">
    <w:name w:val="Body Text"/>
    <w:basedOn w:val="Normal"/>
    <w:pPr>
      <w:suppressAutoHyphens w:val="true"/>
      <w:spacing w:before="0" w:after="120"/>
    </w:pPr>
    <w:rPr/>
  </w:style>
  <w:style w:type="paragraph" w:styleId="Normal1">
    <w:name w:val="LO-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76" w:before="0" w:after="200"/>
      <w:jc w:val="start"/>
      <w:textAlignment w:val="baseline"/>
    </w:pPr>
    <w:rPr>
      <w:rFonts w:ascii="Trebuchet MS" w:hAnsi="Trebuchet MS" w:eastAsia="Calibri"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2"/>
      <w:sz w:val="22"/>
      <w:szCs w:val="22"/>
      <w:u w:val="none"/>
      <w:vertAlign w:val="baseline"/>
      <w:em w:val="none"/>
      <w:lang w:val="fr-FR" w:eastAsia="en-US" w:bidi="ar-SA"/>
    </w:rPr>
  </w:style>
  <w:style w:type="paragraph" w:styleId="Circulairetitre1">
    <w:name w:val="Circulaire_titre1"/>
    <w:basedOn w:val="Normal1"/>
    <w:qFormat/>
    <w:pPr>
      <w:widowControl w:val="false"/>
      <w:suppressAutoHyphens w:val="true"/>
      <w:spacing w:lineRule="auto" w:line="240" w:before="0" w:after="0"/>
      <w:ind w:start="0" w:end="0" w:firstLine="14"/>
    </w:pPr>
    <w:rPr>
      <w:rFonts w:ascii="Times New Roman" w:hAnsi="Times New Roman" w:eastAsia="Lucida Sans Unicode" w:cs="Mangal"/>
      <w:smallCaps/>
      <w:kern w:val="2"/>
      <w:sz w:val="24"/>
      <w:szCs w:val="24"/>
      <w:lang w:eastAsia="zh-CN" w:bidi="hi-IN"/>
    </w:rPr>
  </w:style>
  <w:style w:type="paragraph" w:styleId="Entte">
    <w:name w:val="Header"/>
    <w:basedOn w:val="Normal1"/>
    <w:pPr>
      <w:tabs>
        <w:tab w:val="center" w:pos="4536" w:leader="none"/>
        <w:tab w:val="right" w:pos="9072" w:leader="none"/>
      </w:tabs>
      <w:suppressAutoHyphens w:val="true"/>
      <w:spacing w:lineRule="auto" w:line="240" w:before="0" w:after="0"/>
    </w:pPr>
    <w:rPr/>
  </w:style>
  <w:style w:type="paragraph" w:styleId="Pieddepage">
    <w:name w:val="Footer"/>
    <w:basedOn w:val="Normal1"/>
    <w:pPr>
      <w:tabs>
        <w:tab w:val="center" w:pos="4536" w:leader="none"/>
        <w:tab w:val="right" w:pos="9072" w:leader="none"/>
      </w:tabs>
      <w:suppressAutoHyphens w:val="true"/>
      <w:spacing w:lineRule="auto" w:line="240" w:before="0" w:after="0"/>
    </w:pPr>
    <w:rPr/>
  </w:style>
  <w:style w:type="paragraph" w:styleId="Titre21">
    <w:name w:val="Titre2"/>
    <w:basedOn w:val="Normal"/>
    <w:next w:val="Normal1"/>
    <w:qFormat/>
    <w:pPr>
      <w:suppressAutoHyphens w:val="true"/>
      <w:spacing w:before="360" w:after="120"/>
      <w:jc w:val="center"/>
    </w:pPr>
    <w:rPr>
      <w:rFonts w:cs="Times New Roman"/>
      <w:b/>
      <w:sz w:val="32"/>
    </w:rPr>
  </w:style>
  <w:style w:type="paragraph" w:styleId="Notedebasdepage">
    <w:name w:val="Footnote Text"/>
    <w:basedOn w:val="Normal1"/>
    <w:pPr>
      <w:suppressAutoHyphens w:val="true"/>
      <w:bidi w:val="0"/>
      <w:spacing w:lineRule="auto" w:line="240" w:before="0" w:after="0"/>
      <w:jc w:val="both"/>
    </w:pPr>
    <w:rPr>
      <w:sz w:val="20"/>
      <w:szCs w:val="20"/>
    </w:rPr>
  </w:style>
  <w:style w:type="paragraph" w:styleId="Circulaireparagraphe">
    <w:name w:val="Circulaire_paragraphe"/>
    <w:basedOn w:val="Normal"/>
    <w:qFormat/>
    <w:pPr>
      <w:suppressAutoHyphens w:val="true"/>
      <w:ind w:start="0" w:end="0" w:firstLine="709"/>
      <w:jc w:val="both"/>
    </w:pPr>
    <w:rPr/>
  </w:style>
  <w:style w:type="paragraph" w:styleId="Style11">
    <w:name w:val="Style1"/>
    <w:basedOn w:val="Circulairetitre1"/>
    <w:qFormat/>
    <w:pPr>
      <w:pageBreakBefore/>
      <w:shd w:fill="4700B8" w:val="clear"/>
      <w:suppressAutoHyphens w:val="true"/>
      <w:spacing w:lineRule="auto" w:line="360" w:before="119" w:after="119"/>
      <w:ind w:start="0" w:end="0" w:hanging="0"/>
      <w:jc w:val="center"/>
    </w:pPr>
    <w:rPr>
      <w:rFonts w:ascii="Garamond" w:hAnsi="Garamond" w:eastAsia="Garamond" w:cs="Garamond"/>
      <w:color w:val="FFFFFF"/>
    </w:rPr>
  </w:style>
  <w:style w:type="paragraph" w:styleId="Citations">
    <w:name w:val="Citations"/>
    <w:basedOn w:val="Normal1"/>
    <w:next w:val="Normal1"/>
    <w:qFormat/>
    <w:pPr>
      <w:pBdr>
        <w:top w:val="single" w:sz="4" w:space="1" w:color="009F63"/>
        <w:left w:val="single" w:sz="4" w:space="4" w:color="009F63"/>
        <w:bottom w:val="single" w:sz="4" w:space="1" w:color="009F63"/>
        <w:right w:val="single" w:sz="4" w:space="4" w:color="009F63"/>
      </w:pBdr>
      <w:suppressAutoHyphens w:val="true"/>
      <w:spacing w:lineRule="auto" w:line="288" w:before="120" w:after="120"/>
      <w:jc w:val="both"/>
    </w:pPr>
    <w:rPr>
      <w:rFonts w:ascii="Trebuchet MS" w:hAnsi="Trebuchet MS" w:eastAsia="Times New Roman" w:cs="Trebuchet MS"/>
      <w:i/>
      <w:iCs/>
      <w:color w:val="009F63"/>
      <w:sz w:val="20"/>
      <w:szCs w:val="24"/>
    </w:rPr>
  </w:style>
  <w:style w:type="paragraph" w:styleId="Textedebulles">
    <w:name w:val="Texte de bulles"/>
    <w:basedOn w:val="Normal1"/>
    <w:qFormat/>
    <w:pPr>
      <w:suppressAutoHyphens w:val="true"/>
      <w:spacing w:lineRule="auto" w:line="240" w:before="0" w:after="0"/>
    </w:pPr>
    <w:rPr>
      <w:rFonts w:ascii="Tahoma" w:hAnsi="Tahoma" w:eastAsia="Tahoma" w:cs="Tahoma"/>
      <w:sz w:val="16"/>
      <w:szCs w:val="16"/>
    </w:rPr>
  </w:style>
  <w:style w:type="paragraph" w:styleId="Paragraphedeliste">
    <w:name w:val="Paragraphe de liste"/>
    <w:basedOn w:val="Normal1"/>
    <w:qFormat/>
    <w:pPr>
      <w:suppressAutoHyphens w:val="true"/>
      <w:ind w:start="720" w:end="0" w:hanging="0"/>
    </w:pPr>
    <w:rPr/>
  </w:style>
  <w:style w:type="paragraph" w:styleId="Style21">
    <w:name w:val="Style2"/>
    <w:basedOn w:val="Normal1"/>
    <w:qFormat/>
    <w:pPr>
      <w:suppressAutoHyphens w:val="true"/>
      <w:bidi w:val="0"/>
      <w:ind w:start="709" w:end="0" w:hanging="0"/>
    </w:pPr>
    <w:rPr>
      <w:rFonts w:ascii="Trebuchet MS" w:hAnsi="Trebuchet MS" w:eastAsia="Garamond" w:cs="Garamond"/>
      <w:b/>
      <w:smallCaps/>
      <w:color w:val="000099"/>
      <w:spacing w:val="5"/>
      <w:sz w:val="36"/>
      <w:szCs w:val="36"/>
      <w:u w:val="none"/>
    </w:rPr>
  </w:style>
  <w:style w:type="paragraph" w:styleId="Style31">
    <w:name w:val="Style3"/>
    <w:basedOn w:val="Normal1"/>
    <w:qFormat/>
    <w:pPr>
      <w:suppressAutoHyphens w:val="true"/>
      <w:bidi w:val="0"/>
      <w:ind w:start="709" w:end="0" w:hanging="0"/>
      <w:jc w:val="both"/>
    </w:pPr>
    <w:rPr>
      <w:rFonts w:ascii="Trebuchet MS" w:hAnsi="Trebuchet MS" w:eastAsia="Garamond" w:cs="Garamond"/>
      <w:sz w:val="24"/>
      <w:szCs w:val="24"/>
    </w:rPr>
  </w:style>
  <w:style w:type="paragraph" w:styleId="Default">
    <w:name w:val="Default"/>
    <w:qFormat/>
    <w:pPr>
      <w:keepNext w:val="false"/>
      <w:keepLines w:val="false"/>
      <w:pageBreakBefore w:val="false"/>
      <w:widowControl/>
      <w:pBdr/>
      <w:shd w:fill="auto" w:val="clear"/>
      <w:suppressAutoHyphens w:val="true"/>
      <w:kinsoku w:val="true"/>
      <w:overflowPunct w:val="true"/>
      <w:autoSpaceDE w:val="false"/>
      <w:bidi w:val="0"/>
      <w:snapToGrid w:val="true"/>
      <w:spacing w:lineRule="auto" w:line="240" w:before="0" w:after="0"/>
      <w:jc w:val="start"/>
      <w:textAlignment w:val="baseline"/>
    </w:pPr>
    <w:rPr>
      <w:rFonts w:ascii="Univers LT Std" w:hAnsi="Univers LT Std" w:eastAsia="Univers LT Std" w:cs="Univers LT Std"/>
      <w:b w:val="false"/>
      <w:bCs w:val="false"/>
      <w:i w:val="false"/>
      <w:iCs w:val="false"/>
      <w:caps w:val="false"/>
      <w:smallCaps w:val="false"/>
      <w:strike w:val="false"/>
      <w:dstrike w:val="false"/>
      <w:outline w:val="false"/>
      <w:emboss w:val="false"/>
      <w:imprint w:val="false"/>
      <w:color w:val="000000"/>
      <w:spacing w:val="0"/>
      <w:w w:val="100"/>
      <w:kern w:val="0"/>
      <w:position w:val="0"/>
      <w:sz w:val="24"/>
      <w:sz w:val="24"/>
      <w:szCs w:val="24"/>
      <w:u w:val="none"/>
      <w:vertAlign w:val="baseline"/>
      <w:em w:val="none"/>
      <w:lang w:val="fr-FR" w:eastAsia="en-US" w:bidi="ar-SA"/>
    </w:rPr>
  </w:style>
  <w:style w:type="paragraph" w:styleId="Style41">
    <w:name w:val="Style4"/>
    <w:basedOn w:val="Titre2"/>
    <w:qFormat/>
    <w:pPr>
      <w:keepLines/>
      <w:widowControl/>
      <w:numPr>
        <w:ilvl w:val="0"/>
        <w:numId w:val="0"/>
      </w:numPr>
      <w:suppressAutoHyphens w:val="true"/>
      <w:spacing w:lineRule="auto" w:line="288" w:before="400" w:after="0"/>
      <w:ind w:start="-142" w:end="0" w:hanging="0"/>
      <w:outlineLvl w:val="1"/>
    </w:pPr>
    <w:rPr/>
  </w:style>
  <w:style w:type="paragraph" w:styleId="Style5">
    <w:name w:val="Style5"/>
    <w:basedOn w:val="Style31"/>
    <w:qFormat/>
    <w:pPr>
      <w:pBdr>
        <w:top w:val="single" w:sz="8" w:space="1" w:color="7030A0"/>
        <w:left w:val="single" w:sz="8" w:space="4" w:color="7030A0"/>
        <w:bottom w:val="single" w:sz="8" w:space="1" w:color="7030A0"/>
        <w:right w:val="single" w:sz="8" w:space="4" w:color="7030A0"/>
      </w:pBdr>
      <w:suppressAutoHyphens w:val="true"/>
    </w:pPr>
    <w:rPr>
      <w:i/>
    </w:rPr>
  </w:style>
  <w:style w:type="paragraph" w:styleId="TM2">
    <w:name w:val="TM 2"/>
    <w:basedOn w:val="TM1"/>
    <w:next w:val="Normal1"/>
    <w:qFormat/>
    <w:pPr>
      <w:tabs>
        <w:tab w:val="right" w:pos="10206" w:leader="dot"/>
      </w:tabs>
      <w:suppressAutoHyphens w:val="true"/>
      <w:spacing w:lineRule="auto" w:line="240" w:before="60" w:after="0"/>
      <w:ind w:start="-2268" w:end="0" w:hanging="0"/>
    </w:pPr>
    <w:rPr>
      <w:rFonts w:ascii="Trebuchet MS" w:hAnsi="Trebuchet MS" w:eastAsia="Times New Roman" w:cs="Trebuchet MS"/>
      <w:i/>
      <w:smallCaps/>
      <w:color w:val="620A08"/>
      <w:szCs w:val="24"/>
    </w:rPr>
  </w:style>
  <w:style w:type="paragraph" w:styleId="TM1">
    <w:name w:val="TM 1"/>
    <w:basedOn w:val="Normal1"/>
    <w:next w:val="Normal1"/>
    <w:autoRedefine/>
    <w:qFormat/>
    <w:pPr>
      <w:suppressAutoHyphens w:val="true"/>
      <w:spacing w:before="0" w:after="100"/>
    </w:pPr>
    <w:rPr/>
  </w:style>
  <w:style w:type="paragraph" w:styleId="Normalcondens">
    <w:name w:val="Normal condensé"/>
    <w:basedOn w:val="Default"/>
    <w:next w:val="Default"/>
    <w:qFormat/>
    <w:pPr>
      <w:suppressAutoHyphens w:val="true"/>
    </w:pPr>
    <w:rPr>
      <w:rFonts w:ascii="Arial" w:hAnsi="Arial" w:eastAsia="Arial" w:cs="Arial"/>
      <w:color w:val="auto"/>
    </w:rPr>
  </w:style>
  <w:style w:type="paragraph" w:styleId="Commentaire">
    <w:name w:val="Commentaire"/>
    <w:basedOn w:val="Normal1"/>
    <w:qFormat/>
    <w:pPr>
      <w:suppressAutoHyphens w:val="true"/>
      <w:spacing w:lineRule="auto" w:line="240"/>
    </w:pPr>
    <w:rPr>
      <w:sz w:val="20"/>
      <w:szCs w:val="20"/>
    </w:rPr>
  </w:style>
  <w:style w:type="paragraph" w:styleId="Objetducommentaire">
    <w:name w:val="Objet du commentaire"/>
    <w:basedOn w:val="Commentaire"/>
    <w:next w:val="Commentaire"/>
    <w:qFormat/>
    <w:pPr>
      <w:suppressAutoHyphens w:val="true"/>
    </w:pPr>
    <w:rPr>
      <w:b/>
      <w:bCs/>
    </w:rPr>
  </w:style>
  <w:style w:type="paragraph" w:styleId="Sansinterligne">
    <w:name w:val="Sans interligne"/>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before="0" w:after="0"/>
      <w:jc w:val="start"/>
      <w:textAlignment w:val="baseline"/>
    </w:pPr>
    <w:rPr>
      <w:rFonts w:ascii="Calibri" w:hAnsi="Calibri" w:eastAsia="Calibri"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2"/>
      <w:sz w:val="22"/>
      <w:szCs w:val="22"/>
      <w:u w:val="none"/>
      <w:vertAlign w:val="baseline"/>
      <w:em w:val="none"/>
      <w:lang w:val="fr-FR" w:eastAsia="en-US" w:bidi="ar-SA"/>
    </w:rPr>
  </w:style>
  <w:style w:type="paragraph" w:styleId="Enttedetabledesmatires">
    <w:name w:val="En-tête de table des matières"/>
    <w:basedOn w:val="Titre1"/>
    <w:next w:val="Normal1"/>
    <w:qFormat/>
    <w:pPr>
      <w:numPr>
        <w:ilvl w:val="0"/>
        <w:numId w:val="0"/>
      </w:numPr>
      <w:suppressAutoHyphens w:val="true"/>
      <w:outlineLvl w:val="0"/>
    </w:pPr>
    <w:rPr>
      <w:lang w:eastAsia="fr-FR"/>
    </w:rPr>
  </w:style>
  <w:style w:type="paragraph" w:styleId="Stylesousrubrique">
    <w:name w:val="Style sous-rubrique"/>
    <w:basedOn w:val="Style21"/>
    <w:qFormat/>
    <w:pPr>
      <w:suppressAutoHyphens w:val="true"/>
    </w:pPr>
    <w:rPr/>
  </w:style>
  <w:style w:type="paragraph" w:styleId="TM3">
    <w:name w:val="TM 3"/>
    <w:basedOn w:val="Normal1"/>
    <w:next w:val="Normal1"/>
    <w:autoRedefine/>
    <w:qFormat/>
    <w:pPr>
      <w:suppressAutoHyphens w:val="true"/>
      <w:spacing w:before="0" w:after="100"/>
      <w:ind w:start="0" w:end="850" w:hanging="0"/>
    </w:pPr>
    <w:rPr/>
  </w:style>
  <w:style w:type="paragraph" w:styleId="Contenudetableau">
    <w:name w:val="Contenu de tableau"/>
    <w:basedOn w:val="Normal1"/>
    <w:qFormat/>
    <w:pPr>
      <w:widowControl w:val="false"/>
      <w:suppressLineNumbers/>
      <w:suppressAutoHyphens w:val="true"/>
      <w:spacing w:lineRule="auto" w:line="240" w:before="0" w:after="0"/>
    </w:pPr>
    <w:rPr>
      <w:rFonts w:ascii="Times New Roman" w:hAnsi="Times New Roman" w:eastAsia="Lucida Sans Unicode" w:cs="Mangal"/>
      <w:kern w:val="2"/>
      <w:sz w:val="24"/>
      <w:szCs w:val="24"/>
      <w:lang w:eastAsia="zh-CN" w:bidi="hi-IN"/>
    </w:rPr>
  </w:style>
  <w:style w:type="paragraph" w:styleId="NormalWeb">
    <w:name w:val="Normal (Web)"/>
    <w:basedOn w:val="Normal"/>
    <w:qFormat/>
    <w:pPr>
      <w:suppressAutoHyphens w:val="true"/>
      <w:bidi w:val="0"/>
      <w:spacing w:before="280" w:after="119"/>
    </w:pPr>
    <w:rPr/>
  </w:style>
  <w:style w:type="paragraph" w:styleId="Sdfootnote">
    <w:name w:val="sdfootnote"/>
    <w:basedOn w:val="Normal1"/>
    <w:qFormat/>
    <w:pPr>
      <w:suppressAutoHyphens w:val="false"/>
      <w:spacing w:lineRule="auto" w:line="240" w:before="100" w:after="0"/>
      <w:textAlignment w:val="auto"/>
    </w:pPr>
    <w:rPr>
      <w:rFonts w:ascii="Times New Roman" w:hAnsi="Times New Roman" w:eastAsia="Times New Roman"/>
      <w:sz w:val="20"/>
      <w:szCs w:val="20"/>
      <w:lang w:eastAsia="fr-FR"/>
    </w:rPr>
  </w:style>
  <w:style w:type="paragraph" w:styleId="Titredetableau">
    <w:name w:val="Titre de tableau"/>
    <w:basedOn w:val="Contenudetableau"/>
    <w:qFormat/>
    <w:pPr>
      <w:suppressAutoHyphens w:val="true"/>
      <w:jc w:val="center"/>
    </w:pPr>
    <w:rPr>
      <w:b/>
      <w:bCs/>
    </w:rPr>
  </w:style>
  <w:style w:type="paragraph" w:styleId="Style3notice">
    <w:name w:val="Style3notice"/>
    <w:basedOn w:val="Style31"/>
    <w:qFormat/>
    <w:pPr/>
    <w:rPr/>
  </w:style>
  <w:style w:type="paragraph" w:styleId="Notedebasdepagenotice">
    <w:name w:val="Note de bas de page_notice"/>
    <w:basedOn w:val="Pieddepage"/>
    <w:qFormat/>
    <w:pPr>
      <w:jc w:val="both"/>
    </w:pPr>
    <w:rPr>
      <w:rFonts w:ascii="Trebuchet MS" w:hAnsi="Trebuchet MS"/>
      <w:i w:val="false"/>
      <w:iCs w:val="false"/>
      <w:color w:val="808080"/>
      <w:sz w:val="20"/>
      <w:szCs w:val="20"/>
    </w:rPr>
  </w:style>
  <w:style w:type="paragraph" w:styleId="Titre2notice">
    <w:name w:val="Titre 2_notice"/>
    <w:basedOn w:val="Titre2"/>
    <w:qFormat/>
    <w:pPr>
      <w:numPr>
        <w:ilvl w:val="0"/>
        <w:numId w:val="0"/>
      </w:numPr>
      <w:bidi w:val="0"/>
      <w:ind w:start="709" w:end="0" w:hanging="0"/>
    </w:pPr>
    <w:rPr>
      <w:color w:val="666666"/>
    </w:rPr>
  </w:style>
  <w:style w:type="paragraph" w:styleId="Style3notice1">
    <w:name w:val="Style 3_notice"/>
    <w:basedOn w:val="Style31"/>
    <w:qFormat/>
    <w:pPr>
      <w:bidi w:val="0"/>
    </w:pPr>
    <w:rPr>
      <w:color w:val="808080"/>
    </w:rPr>
  </w:style>
  <w:style w:type="paragraph" w:styleId="Titre3notice">
    <w:name w:val="Titre 3_notice"/>
    <w:basedOn w:val="Titre3"/>
    <w:qFormat/>
    <w:pPr>
      <w:numPr>
        <w:ilvl w:val="0"/>
        <w:numId w:val="0"/>
      </w:numPr>
      <w:bidi w:val="0"/>
      <w:ind w:start="709" w:end="0" w:hanging="0"/>
    </w:pPr>
    <w:rPr>
      <w:smallCaps/>
      <w:color w:val="666666"/>
    </w:rPr>
  </w:style>
  <w:style w:type="paragraph" w:styleId="Index">
    <w:name w:val="Index"/>
    <w:basedOn w:val="Normal"/>
    <w:qFormat/>
    <w:pPr>
      <w:suppressLineNumbers/>
    </w:pPr>
    <w:rPr/>
  </w:style>
  <w:style w:type="paragraph" w:styleId="Tabledesmatiresniveau1">
    <w:name w:val="TOC 1"/>
    <w:basedOn w:val="Index"/>
    <w:pPr>
      <w:tabs>
        <w:tab w:val="right" w:pos="9638" w:leader="dot"/>
      </w:tabs>
      <w:ind w:start="0" w:end="0" w:hanging="0"/>
    </w:pPr>
    <w:rPr/>
  </w:style>
  <w:style w:type="paragraph" w:styleId="Tabledesmatiresniveau2">
    <w:name w:val="TOC 2"/>
    <w:basedOn w:val="Index"/>
    <w:pPr>
      <w:tabs>
        <w:tab w:val="right" w:pos="9355" w:leader="dot"/>
      </w:tabs>
      <w:ind w:start="283" w:end="0" w:hanging="0"/>
    </w:pPr>
    <w:rPr/>
  </w:style>
  <w:style w:type="paragraph" w:styleId="Tabledesmatiresniveau3">
    <w:name w:val="TOC 3"/>
    <w:basedOn w:val="Index"/>
    <w:pPr>
      <w:tabs>
        <w:tab w:val="right" w:pos="9072" w:leader="dot"/>
      </w:tabs>
      <w:ind w:start="566" w:end="0" w:hanging="0"/>
    </w:pPr>
    <w:rPr/>
  </w:style>
  <w:style w:type="paragraph" w:styleId="Titre4notice">
    <w:name w:val="Titre 4_notice"/>
    <w:basedOn w:val="Titre4"/>
    <w:qFormat/>
    <w:pPr>
      <w:numPr>
        <w:ilvl w:val="0"/>
        <w:numId w:val="0"/>
      </w:numPr>
      <w:bidi w:val="0"/>
      <w:ind w:start="1701" w:end="0" w:hanging="0"/>
    </w:pPr>
    <w:rPr>
      <w:color w:val="666666"/>
    </w:rPr>
  </w:style>
  <w:style w:type="paragraph" w:styleId="Titreprincipal">
    <w:name w:val="Title"/>
    <w:basedOn w:val="Titre"/>
    <w:next w:val="Corpsdetexte"/>
    <w:qFormat/>
    <w:pP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 w:type="numbering" w:styleId="WW8Num6">
    <w:name w:val="WW8Num6"/>
    <w:qFormat/>
  </w:style>
  <w:style w:type="numbering" w:styleId="WWOutlineListStyle4">
    <w:name w:val="WW_OutlineListStyle_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legifrance.gouv.fr/affichCode.do?cidTexte=LEGITEXT000006074236" TargetMode="External"/><Relationship Id="rId5" Type="http://schemas.openxmlformats.org/officeDocument/2006/relationships/hyperlink" Target="http://eur-lex.europa.eu/legal-content/FR/TXT/?uri=CELEX:32014R0910" TargetMode="External"/><Relationship Id="rId6" Type="http://schemas.openxmlformats.org/officeDocument/2006/relationships/hyperlink" Target="https://www.legifrance.gouv.fr/affichCodeArticle.do?cidTexte=LEGITEXT000006070721&amp;idArticle=LEGIARTI000006437813" TargetMode="External"/><Relationship Id="rId7" Type="http://schemas.openxmlformats.org/officeDocument/2006/relationships/hyperlink" Target="http://legifrance.gouv.fr/affichTexte.do?cidTexte=JORFTEXT000000636232" TargetMode="External"/><Relationship Id="rId8" Type="http://schemas.openxmlformats.org/officeDocument/2006/relationships/hyperlink" Target="http://legifrance.gouv.fr/affichTexte.do?cidTexte=JORFTEXT000000404810" TargetMode="External"/><Relationship Id="rId9" Type="http://schemas.openxmlformats.org/officeDocument/2006/relationships/hyperlink" Target="http://legifrance.gouv.fr/affichTexte.do?cidTexte=JORFTEXT000021779444" TargetMode="External"/><Relationship Id="rId10" Type="http://schemas.openxmlformats.org/officeDocument/2006/relationships/hyperlink" Target="https://www.legifrance.gouv.fr/eli/decret/2016/12/5/2016-1673/jo/texte" TargetMode="External"/><Relationship Id="rId11" Type="http://schemas.openxmlformats.org/officeDocument/2006/relationships/hyperlink" Target="https://www.legifrance.gouv.fr/eli/arrete/2016/4/20/PRMJ1526716A/jo" TargetMode="External"/><Relationship Id="rId12" Type="http://schemas.openxmlformats.org/officeDocument/2006/relationships/hyperlink" Target="https://www.legifrance.gouv.fr/affichTexte.do?cidTexte=JORFTEXT000029122964&amp;categorieLien=id" TargetMode="External"/><Relationship Id="rId13" Type="http://schemas.openxmlformats.org/officeDocument/2006/relationships/hyperlink" Target="http://www.legifrance.gouv.fr/affichTexte.do?cidTexte=JORFTEXT000000886460" TargetMode="External"/><Relationship Id="rId14" Type="http://schemas.openxmlformats.org/officeDocument/2006/relationships/hyperlink" Target="http://eur-lex.europa.eu/legal-content/FR/TXT/PDF/?uri=CELEX:32016R0679&amp;from=FR" TargetMode="External"/><Relationship Id="rId15" Type="http://schemas.openxmlformats.org/officeDocument/2006/relationships/hyperlink" Target="https://www.legifrance.gouv.fr/affichCode.do;jsessionid=13084534FD69C9C23EDD99DBE3B401E0.tpdila11v_3?idSectionTA=LEGISCTA000006149839&amp;cidTexte=LEGITEXT000006070719&amp;dateTexte=20170729" TargetMode="External"/><Relationship Id="rId16" Type="http://schemas.openxmlformats.org/officeDocument/2006/relationships/hyperlink" Target="https://redirect.francearchives.fr/seda/" TargetMode="External"/><Relationship Id="rId17" Type="http://schemas.openxmlformats.org/officeDocument/2006/relationships/hyperlink" Target="https://redirect.francearchives.fr/seda/" TargetMode="Externa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LibreOffice/6.0.2.1$Windows_X86_64 LibreOffice_project/f7f06a8f319e4b62f9bc5095aa112a65d2f3ac89</Application>
  <Pages>20</Pages>
  <Words>4853</Words>
  <Characters>27292</Characters>
  <CharactersWithSpaces>31847</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2018-02-02T11:08:04Z</dcterms:created>
  <dc:creator/>
  <dc:description/>
  <dc:language>fr-FR</dc:language>
  <cp:lastModifiedBy/>
  <cp:revision>1</cp:revision>
  <dc:subject/>
  <dc:title/>
</cp:coreProperties>
</file>