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8973E" w14:textId="1BB5F5F5" w:rsidR="00CF4382" w:rsidRDefault="00516321" w:rsidP="00D33D51">
      <w:pPr>
        <w:pStyle w:val="Heading1"/>
      </w:pPr>
      <w:r>
        <w:t>Decay Rates</w:t>
      </w:r>
    </w:p>
    <w:p w14:paraId="2EA988EE" w14:textId="7E4A5F7D" w:rsidR="00516321" w:rsidRPr="00516321" w:rsidRDefault="0051632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dN=-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Ndt</m:t>
          </m:r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46EA156C" w14:textId="5DF4C2B9" w:rsidR="00516321" w:rsidRDefault="00516321">
      <w:pPr>
        <w:rPr>
          <w:rFonts w:eastAsiaTheme="minorEastAsia"/>
        </w:rPr>
      </w:pPr>
      <w:r>
        <w:rPr>
          <w:rFonts w:eastAsiaTheme="minorEastAsia"/>
        </w:rPr>
        <w:t>Stoichiometry</w:t>
      </w:r>
    </w:p>
    <w:p w14:paraId="11DF1E22" w14:textId="0CE68EAB" w:rsidR="00516321" w:rsidRPr="00516321" w:rsidRDefault="005163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t+dt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t+dt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dt</m:t>
              </m:r>
            </m:sup>
          </m:sSup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. </m:t>
          </m:r>
        </m:oMath>
      </m:oMathPara>
    </w:p>
    <w:p w14:paraId="163F714D" w14:textId="2F2BE8DE" w:rsidR="00516321" w:rsidRDefault="00D33D51">
      <w:pPr>
        <w:rPr>
          <w:rFonts w:eastAsiaTheme="minorEastAsia"/>
        </w:rPr>
      </w:pPr>
      <w:r>
        <w:rPr>
          <w:rFonts w:eastAsiaTheme="minorEastAsia"/>
        </w:rPr>
        <w:t xml:space="preserve">Number of particles that decay between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t+dt</m:t>
        </m:r>
      </m:oMath>
      <w:r>
        <w:rPr>
          <w:rFonts w:eastAsiaTheme="minorEastAsia"/>
        </w:rPr>
        <w:t>:</w:t>
      </w:r>
    </w:p>
    <w:p w14:paraId="7BCCDD9A" w14:textId="429152A2" w:rsidR="00516321" w:rsidRPr="00D33D51" w:rsidRDefault="005163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-N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t+dt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1-1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Γ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dt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5C1BDD5A" w14:textId="1708A991" w:rsidR="00D33D51" w:rsidRDefault="00D33D51">
      <w:pPr>
        <w:rPr>
          <w:rFonts w:eastAsiaTheme="minorEastAsia"/>
        </w:rPr>
      </w:pPr>
      <w:r>
        <w:rPr>
          <w:rFonts w:eastAsiaTheme="minorEastAsia"/>
        </w:rPr>
        <w:t xml:space="preserve">Fraction of particles that decay between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t+dt</m:t>
        </m:r>
      </m:oMath>
      <w:r>
        <w:rPr>
          <w:rFonts w:eastAsiaTheme="minorEastAsia"/>
        </w:rPr>
        <w:t>:</w:t>
      </w:r>
    </w:p>
    <w:p w14:paraId="425DCF2E" w14:textId="0A53AA15" w:rsidR="00D33D51" w:rsidRPr="00D33D51" w:rsidRDefault="00D33D51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Γ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dt.</m:t>
          </m:r>
        </m:oMath>
      </m:oMathPara>
    </w:p>
    <w:p w14:paraId="46B0B076" w14:textId="1D933DB7" w:rsidR="00D33D51" w:rsidRDefault="00D33D51">
      <w:pPr>
        <w:rPr>
          <w:rFonts w:eastAsiaTheme="minorEastAsia"/>
        </w:rPr>
      </w:pPr>
      <w:r>
        <w:rPr>
          <w:rFonts w:eastAsiaTheme="minorEastAsia"/>
        </w:rPr>
        <w:t xml:space="preserve">Probability that a given particle chosen at random will decay between 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t+dt</m:t>
        </m:r>
      </m:oMath>
      <w:r>
        <w:rPr>
          <w:rFonts w:eastAsiaTheme="minorEastAsia"/>
        </w:rPr>
        <w:t>:</w:t>
      </w:r>
    </w:p>
    <w:p w14:paraId="34B35A31" w14:textId="358FA87D" w:rsidR="00D33D51" w:rsidRPr="00516321" w:rsidRDefault="00D33D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dt=</m:t>
          </m:r>
          <m:r>
            <m:rPr>
              <m:sty m:val="p"/>
            </m:rPr>
            <w:rPr>
              <w:rFonts w:ascii="Cambria Math" w:eastAsiaTheme="minorEastAsia" w:hAnsi="Cambria Math"/>
            </w:rPr>
            <m:t>Γ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dt</m:t>
          </m:r>
        </m:oMath>
      </m:oMathPara>
    </w:p>
    <w:p w14:paraId="547EF63C" w14:textId="77777777" w:rsidR="00D33D51" w:rsidRDefault="00516321" w:rsidP="00D33D51">
      <w:pPr>
        <w:pStyle w:val="Heading2"/>
        <w:rPr>
          <w:rFonts w:eastAsiaTheme="minorEastAsia"/>
        </w:rPr>
      </w:pPr>
      <w:r>
        <w:rPr>
          <w:rFonts w:eastAsiaTheme="minorEastAsia"/>
        </w:rPr>
        <w:t>Mean lifetime</w:t>
      </w:r>
    </w:p>
    <w:p w14:paraId="472F4D60" w14:textId="49828F22" w:rsidR="00516321" w:rsidRPr="00064C6F" w:rsidRDefault="0051632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τ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tp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dt=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t∙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∞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</m:eqArr>
            </m:e>
          </m:nary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</w:rPr>
            <m:t>∙1dt</m:t>
          </m:r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</m:sSubSup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30B9EFAF" w14:textId="4BAC98B6" w:rsidR="00064C6F" w:rsidRDefault="00064C6F" w:rsidP="00064C6F">
      <w:pPr>
        <w:pStyle w:val="Heading2"/>
        <w:rPr>
          <w:rFonts w:eastAsiaTheme="minorEastAsia"/>
        </w:rPr>
      </w:pPr>
      <w:r>
        <w:rPr>
          <w:rFonts w:eastAsiaTheme="minorEastAsia"/>
        </w:rPr>
        <w:t>Half-life time</w:t>
      </w:r>
    </w:p>
    <w:p w14:paraId="376B5A0E" w14:textId="64B6993E" w:rsidR="00064C6F" w:rsidRPr="00064C6F" w:rsidRDefault="00064C6F" w:rsidP="00064C6F"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</m:sup>
          </m:sSup>
          <m: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</m:sup>
          </m:sSup>
          <m:r>
            <w:rPr>
              <w:rFonts w:ascii="Cambria Math" w:hAnsi="Cambria Math"/>
            </w:rPr>
            <m:t>=2⟹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=τ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3731A78A" w14:textId="347E7C1A" w:rsidR="007914BB" w:rsidRDefault="007914BB" w:rsidP="007914BB">
      <w:pPr>
        <w:pStyle w:val="Heading2"/>
        <w:rPr>
          <w:rFonts w:eastAsiaTheme="minorEastAsia"/>
        </w:rPr>
      </w:pPr>
      <w:r>
        <w:rPr>
          <w:rFonts w:eastAsiaTheme="minorEastAsia"/>
        </w:rPr>
        <w:t>Mean lifetime with different decay channels</w:t>
      </w:r>
    </w:p>
    <w:p w14:paraId="736BB9C0" w14:textId="3F48C4BA" w:rsidR="007914BB" w:rsidRPr="00064C6F" w:rsidRDefault="007914B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65AFDEDF" w14:textId="4BDED503" w:rsidR="00064C6F" w:rsidRDefault="00064C6F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</w:p>
    <w:p w14:paraId="3E9EA5E9" w14:textId="219EBE65" w:rsidR="00064C6F" w:rsidRPr="00064C6F" w:rsidRDefault="00064C6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1FAE143" w14:textId="70E0843F" w:rsidR="00064C6F" w:rsidRDefault="00064C6F" w:rsidP="00064C6F">
      <w:pPr>
        <w:pStyle w:val="Heading2"/>
        <w:rPr>
          <w:rFonts w:eastAsiaTheme="minorEastAsia"/>
        </w:rPr>
      </w:pPr>
      <w:r>
        <w:rPr>
          <w:rFonts w:eastAsiaTheme="minorEastAsia"/>
        </w:rPr>
        <w:t xml:space="preserve">Branching ratio of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>th decay mode</w:t>
      </w:r>
    </w:p>
    <w:p w14:paraId="703E4AB6" w14:textId="7BEE9C10" w:rsidR="00064C6F" w:rsidRPr="00064C6F" w:rsidRDefault="00064C6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0BE6165D" w14:textId="6ACC4D65" w:rsidR="00064C6F" w:rsidRDefault="00064C6F" w:rsidP="00064C6F">
      <w:pPr>
        <w:pStyle w:val="Heading1"/>
        <w:rPr>
          <w:rFonts w:eastAsiaTheme="minorEastAsia"/>
        </w:rPr>
      </w:pPr>
      <w:r>
        <w:rPr>
          <w:rFonts w:eastAsiaTheme="minorEastAsia"/>
        </w:rPr>
        <w:t>Cross Sections</w:t>
      </w:r>
    </w:p>
    <w:p w14:paraId="3AC2118E" w14:textId="03D7E7C7" w:rsidR="00064C6F" w:rsidRPr="00047493" w:rsidRDefault="00064C6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0CE368AE" w14:textId="7B0436E5" w:rsidR="00047493" w:rsidRDefault="00047493" w:rsidP="00047493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Scattering</w:t>
      </w:r>
    </w:p>
    <w:p w14:paraId="6BBAF097" w14:textId="1632DC6B" w:rsidR="00047493" w:rsidRPr="00047493" w:rsidRDefault="00047493" w:rsidP="00047493">
      <w:r>
        <w:t>Scattering is characterized by cross sections.</w:t>
      </w:r>
    </w:p>
    <w:p w14:paraId="58991CE5" w14:textId="7FA87F9D" w:rsidR="00047493" w:rsidRDefault="00047493" w:rsidP="00047493">
      <w:pPr>
        <w:pStyle w:val="Heading2"/>
      </w:pPr>
      <w:r>
        <w:t>Hard-sphere scattering</w:t>
      </w:r>
    </w:p>
    <w:p w14:paraId="7E34B8C5" w14:textId="77D1382F" w:rsidR="00047493" w:rsidRDefault="00047493" w:rsidP="00047493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BB02D1" wp14:editId="0BD76510">
            <wp:simplePos x="914400" y="1686296"/>
            <wp:positionH relativeFrom="column">
              <wp:align>center</wp:align>
            </wp:positionH>
            <wp:positionV relativeFrom="paragraph">
              <wp:posOffset>0</wp:posOffset>
            </wp:positionV>
            <wp:extent cx="3264408" cy="2450592"/>
            <wp:effectExtent l="0" t="0" r="0" b="6985"/>
            <wp:wrapTopAndBottom/>
            <wp:docPr id="1" name="Picture 1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engineering drawing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408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Imagine a particle bouncing elastically off a sphere of radius </w:t>
      </w:r>
      <m:oMath>
        <m:r>
          <w:rPr>
            <w:rFonts w:ascii="Cambria Math" w:hAnsi="Cambria Math"/>
          </w:rPr>
          <m:t>R</m:t>
        </m:r>
      </m:oMath>
      <w:r>
        <w:rPr>
          <w:rFonts w:eastAsiaTheme="minorEastAsia"/>
        </w:rPr>
        <w:t>. From the above figure, we have</w:t>
      </w:r>
    </w:p>
    <w:p w14:paraId="30654FCC" w14:textId="67EAC732" w:rsidR="00047493" w:rsidRPr="00047493" w:rsidRDefault="00047493" w:rsidP="0004749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b=R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α,  2α+θ=π.</m:t>
              </m:r>
            </m:e>
          </m:func>
        </m:oMath>
      </m:oMathPara>
    </w:p>
    <w:p w14:paraId="34E8C313" w14:textId="1D32059A" w:rsidR="00047493" w:rsidRDefault="00047493" w:rsidP="00047493">
      <w:pPr>
        <w:rPr>
          <w:rFonts w:eastAsiaTheme="minorEastAsia"/>
        </w:rPr>
      </w:pPr>
      <w:r>
        <w:rPr>
          <w:rFonts w:eastAsiaTheme="minorEastAsia"/>
        </w:rPr>
        <w:t>Thus,</w:t>
      </w:r>
    </w:p>
    <w:p w14:paraId="230DB652" w14:textId="3ADF5E62" w:rsidR="00047493" w:rsidRPr="00047493" w:rsidRDefault="00047493" w:rsidP="0004749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func>
            </m:e>
          </m:func>
        </m:oMath>
      </m:oMathPara>
    </w:p>
    <w:p w14:paraId="2634B9EF" w14:textId="73633880" w:rsidR="00047493" w:rsidRDefault="00047493" w:rsidP="00047493">
      <w:pPr>
        <w:rPr>
          <w:rFonts w:eastAsiaTheme="minorEastAsia"/>
        </w:rPr>
      </w:pPr>
      <w:r>
        <w:rPr>
          <w:rFonts w:eastAsiaTheme="minorEastAsia"/>
        </w:rPr>
        <w:t>and hence</w:t>
      </w:r>
    </w:p>
    <w:p w14:paraId="407B70C0" w14:textId="65E41957" w:rsidR="00047493" w:rsidRPr="00047493" w:rsidRDefault="00047493" w:rsidP="000474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b=R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θ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,  θ=2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</m:func>
            </m:e>
          </m:func>
          <m:r>
            <w:rPr>
              <w:rFonts w:ascii="Cambria Math" w:eastAsiaTheme="minorEastAsia" w:hAnsi="Cambria Math"/>
            </w:rPr>
            <m:t>.</m:t>
          </m:r>
        </m:oMath>
      </m:oMathPara>
    </w:p>
    <w:p w14:paraId="55D5FB20" w14:textId="6F785BBA" w:rsidR="00047493" w:rsidRDefault="00DE1728" w:rsidP="00DE1728">
      <w:pPr>
        <w:pStyle w:val="Heading2"/>
      </w:pPr>
      <w:r>
        <w:t>Differential (scattering) cross section</w:t>
      </w:r>
    </w:p>
    <w:p w14:paraId="7763E15B" w14:textId="183D4929" w:rsidR="00DE1728" w:rsidRDefault="00DE1728" w:rsidP="00047493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F35D6B" wp14:editId="4C594364">
            <wp:simplePos x="0" y="0"/>
            <wp:positionH relativeFrom="margin">
              <wp:align>center</wp:align>
            </wp:positionH>
            <wp:positionV relativeFrom="paragraph">
              <wp:posOffset>1102797</wp:posOffset>
            </wp:positionV>
            <wp:extent cx="5166360" cy="1984248"/>
            <wp:effectExtent l="0" t="0" r="0" b="0"/>
            <wp:wrapTopAndBottom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If the particle comes in with an impact parameter between </w:t>
      </w: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b+db</m:t>
        </m:r>
      </m:oMath>
      <w:r>
        <w:rPr>
          <w:rFonts w:eastAsiaTheme="minorEastAsia"/>
        </w:rPr>
        <w:t xml:space="preserve">, it will emerge with a scattering angle between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θ+dθ</m:t>
        </m:r>
      </m:oMath>
      <w:r>
        <w:rPr>
          <w:rFonts w:eastAsiaTheme="minorEastAsia"/>
        </w:rPr>
        <w:t xml:space="preserve">. More generally, if it passes through an infinitesimal area </w:t>
      </w:r>
      <m:oMath>
        <m:r>
          <w:rPr>
            <w:rFonts w:ascii="Cambria Math" w:eastAsiaTheme="minorEastAsia" w:hAnsi="Cambria Math"/>
          </w:rPr>
          <m:t>dσ</m:t>
        </m:r>
      </m:oMath>
      <w:r>
        <w:rPr>
          <w:rFonts w:eastAsiaTheme="minorEastAsia"/>
        </w:rPr>
        <w:t xml:space="preserve">, it will scatter into a corresponding solid angle </w:t>
      </w:r>
      <m:oMath>
        <m:r>
          <w:rPr>
            <w:rFonts w:ascii="Cambria Math" w:eastAsiaTheme="minorEastAsia" w:hAnsi="Cambria Math"/>
          </w:rPr>
          <m:t>d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 xml:space="preserve">. With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θ</m:t>
            </m:r>
          </m:e>
        </m:d>
      </m:oMath>
      <w:r>
        <w:rPr>
          <w:rFonts w:eastAsiaTheme="minorEastAsia"/>
        </w:rPr>
        <w:t xml:space="preserve"> being the differential (scattering) cross section, we have</w:t>
      </w:r>
    </w:p>
    <w:p w14:paraId="55947F4C" w14:textId="4A07CB06" w:rsidR="00DE1728" w:rsidRPr="00DE1728" w:rsidRDefault="00DE1728" w:rsidP="0004749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dσ=D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.</m:t>
          </m:r>
        </m:oMath>
      </m:oMathPara>
    </w:p>
    <w:p w14:paraId="096DA4A8" w14:textId="1FEED682" w:rsidR="00DE1728" w:rsidRDefault="00DE1728" w:rsidP="0004749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The name is poorly chosen, and is more apt for </w:t>
      </w:r>
      <m:oMath>
        <m:r>
          <w:rPr>
            <w:rFonts w:ascii="Cambria Math" w:eastAsiaTheme="minorEastAsia" w:hAnsi="Cambria Math"/>
          </w:rPr>
          <m:t>dσ</m:t>
        </m:r>
      </m:oMath>
      <w:r>
        <w:rPr>
          <w:rFonts w:eastAsiaTheme="minorEastAsia"/>
        </w:rPr>
        <w:t xml:space="preserve"> than to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dσ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den>
        </m:f>
      </m:oMath>
      <w:r>
        <w:rPr>
          <w:rFonts w:eastAsiaTheme="minorEastAsia"/>
        </w:rPr>
        <w:t>. We see from the figure above that</w:t>
      </w:r>
    </w:p>
    <w:p w14:paraId="28A7FF5C" w14:textId="4EB32950" w:rsidR="00DE1728" w:rsidRPr="00DF16E9" w:rsidRDefault="00DE1728" w:rsidP="000474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dσ=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 db dϕ</m:t>
              </m:r>
            </m:e>
          </m:d>
          <m:r>
            <w:rPr>
              <w:rFonts w:ascii="Cambria Math" w:eastAsiaTheme="minorEastAsia" w:hAnsi="Cambria Math"/>
            </w:rPr>
            <m:t>,  d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θ dϕ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4A44BE60" w14:textId="4C2C2DC6" w:rsidR="00DF16E9" w:rsidRDefault="00DF16E9" w:rsidP="00047493">
      <w:pPr>
        <w:rPr>
          <w:rFonts w:eastAsiaTheme="minorEastAsia"/>
        </w:rPr>
      </w:pPr>
      <w:r>
        <w:rPr>
          <w:rFonts w:eastAsiaTheme="minorEastAsia"/>
        </w:rPr>
        <w:t>Thus</w:t>
      </w:r>
    </w:p>
    <w:p w14:paraId="55E4D6E6" w14:textId="0CDAC0CF" w:rsidR="00DF16E9" w:rsidRPr="00DF16E9" w:rsidRDefault="00DF16E9" w:rsidP="00DF16E9">
      <w:pPr>
        <w:pStyle w:val="Heading3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 w:cstheme="minorBidi"/>
                  <w:color w:val="auto"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dσ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Bidi"/>
                  <w:color w:val="auto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Bidi"/>
                      <w:color w:val="auto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</m:den>
              </m:f>
              <m:d>
                <m:dPr>
                  <m:ctrlPr>
                    <w:rPr>
                      <w:rFonts w:ascii="Cambria Math" w:eastAsiaTheme="minorEastAsia" w:hAnsi="Cambria Math" w:cstheme="minorBidi"/>
                      <w:color w:val="auto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db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dθ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3F238736" w14:textId="4BE75408" w:rsidR="00DF16E9" w:rsidRDefault="00DF16E9" w:rsidP="00DF16E9">
      <w:pPr>
        <w:pStyle w:val="Heading3"/>
        <w:rPr>
          <w:rFonts w:eastAsiaTheme="minorEastAsia"/>
        </w:rPr>
      </w:pPr>
      <w:r>
        <w:rPr>
          <w:rFonts w:eastAsiaTheme="minorEastAsia"/>
        </w:rPr>
        <w:t>For the hard-sphere problem:</w:t>
      </w:r>
    </w:p>
    <w:p w14:paraId="048F8642" w14:textId="0929F4E2" w:rsidR="00DF16E9" w:rsidRPr="00DF16E9" w:rsidRDefault="00DF16E9" w:rsidP="0004749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db</m:t>
              </m:r>
            </m:num>
            <m:den>
              <m:r>
                <w:rPr>
                  <w:rFonts w:ascii="Cambria Math" w:eastAsiaTheme="minorEastAsia" w:hAnsi="Cambria Math"/>
                </w:rPr>
                <m:t>dθ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.</m:t>
          </m:r>
        </m:oMath>
      </m:oMathPara>
    </w:p>
    <w:p w14:paraId="7B69BB7B" w14:textId="15FFE8DE" w:rsidR="00DF16E9" w:rsidRDefault="00DF16E9" w:rsidP="00047493">
      <w:pPr>
        <w:rPr>
          <w:rFonts w:eastAsiaTheme="minorEastAsia"/>
        </w:rPr>
      </w:pPr>
      <w:r>
        <w:rPr>
          <w:rFonts w:eastAsiaTheme="minorEastAsia"/>
        </w:rPr>
        <w:t>Hence,</w:t>
      </w:r>
    </w:p>
    <w:p w14:paraId="15955CD3" w14:textId="43AFF05C" w:rsidR="00DF16E9" w:rsidRPr="00DF16E9" w:rsidRDefault="00DF16E9" w:rsidP="000474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Rb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4FA4C985" w14:textId="2C44AD8E" w:rsidR="00DF16E9" w:rsidRDefault="00DF16E9" w:rsidP="00047493">
      <w:pPr>
        <w:rPr>
          <w:rFonts w:eastAsiaTheme="minorEastAsia"/>
        </w:rPr>
      </w:pPr>
      <w:r>
        <w:rPr>
          <w:rFonts w:eastAsiaTheme="minorEastAsia"/>
        </w:rPr>
        <w:t xml:space="preserve">using a half-angle formula for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  <w:r>
        <w:rPr>
          <w:rFonts w:eastAsiaTheme="minorEastAsia"/>
        </w:rPr>
        <w:t>. Hence</w:t>
      </w:r>
    </w:p>
    <w:p w14:paraId="61C2FB3F" w14:textId="074988AD" w:rsidR="00DF16E9" w:rsidRPr="00DF16E9" w:rsidRDefault="00DF16E9" w:rsidP="000474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  <m:r>
                <w:rPr>
                  <w:rFonts w:ascii="Cambria Math" w:eastAsiaTheme="minorEastAsia" w:hAnsi="Cambria Math"/>
                </w:rPr>
                <m:t>=π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.</m:t>
          </m:r>
        </m:oMath>
      </m:oMathPara>
    </w:p>
    <w:p w14:paraId="2B0CF824" w14:textId="3EEA3C55" w:rsidR="00DF16E9" w:rsidRDefault="00AA1478" w:rsidP="00AA1478">
      <w:pPr>
        <w:pStyle w:val="Heading3"/>
        <w:rPr>
          <w:rFonts w:eastAsiaTheme="minorEastAsia"/>
        </w:rPr>
      </w:pPr>
      <w:r>
        <w:rPr>
          <w:rFonts w:eastAsiaTheme="minorEastAsia"/>
        </w:rPr>
        <w:t>For Rutherford scattering</w:t>
      </w:r>
    </w:p>
    <w:p w14:paraId="3B196A96" w14:textId="3214B372" w:rsidR="00AA1478" w:rsidRDefault="00AA1478" w:rsidP="00047493">
      <w:pPr>
        <w:rPr>
          <w:rFonts w:eastAsiaTheme="minorEastAsia"/>
        </w:rPr>
      </w:pPr>
      <w:r>
        <w:rPr>
          <w:rFonts w:eastAsiaTheme="minorEastAsia"/>
        </w:rPr>
        <w:t xml:space="preserve">A particle of charge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scatters off a stationary particle of charge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. See Goldstein, </w:t>
      </w:r>
      <w:r w:rsidRPr="00AA1478">
        <w:rPr>
          <w:rFonts w:eastAsiaTheme="minorEastAsia"/>
          <w:i/>
          <w:iCs/>
        </w:rPr>
        <w:t>Classical Mechanics</w:t>
      </w:r>
      <w:r>
        <w:rPr>
          <w:rFonts w:eastAsiaTheme="minorEastAsia"/>
        </w:rPr>
        <w:t>, 3</w:t>
      </w:r>
      <w:r w:rsidRPr="00AA1478">
        <w:rPr>
          <w:rFonts w:eastAsiaTheme="minorEastAsia"/>
          <w:vertAlign w:val="superscript"/>
        </w:rPr>
        <w:t>rd</w:t>
      </w:r>
      <w:r>
        <w:rPr>
          <w:rFonts w:eastAsiaTheme="minorEastAsia"/>
        </w:rPr>
        <w:t xml:space="preserve"> edition. From the cited source, the formula relating the impact parameter to the scattering angle is</w:t>
      </w:r>
      <w:r w:rsidR="00843B15">
        <w:rPr>
          <w:rFonts w:eastAsiaTheme="minorEastAsia"/>
        </w:rPr>
        <w:t xml:space="preserve"> given by</w:t>
      </w:r>
    </w:p>
    <w:p w14:paraId="1F573FDD" w14:textId="505EA3B9" w:rsidR="00AA1478" w:rsidRPr="00AA1478" w:rsidRDefault="00AA1478" w:rsidP="000474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4E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. </m:t>
          </m:r>
        </m:oMath>
      </m:oMathPara>
    </w:p>
    <w:p w14:paraId="00435C57" w14:textId="42A6F5EC" w:rsidR="00AA1478" w:rsidRDefault="00AA1478" w:rsidP="00047493">
      <w:pPr>
        <w:rPr>
          <w:rFonts w:eastAsiaTheme="minorEastAsia"/>
        </w:rPr>
      </w:pPr>
      <w:r>
        <w:rPr>
          <w:rFonts w:eastAsiaTheme="minorEastAsia"/>
        </w:rPr>
        <w:t>The differential cross section is therefore</w:t>
      </w:r>
    </w:p>
    <w:p w14:paraId="1A353042" w14:textId="26A88921" w:rsidR="00AA1478" w:rsidRPr="00843B15" w:rsidRDefault="00AA1478" w:rsidP="000474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4E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2AA1872A" w14:textId="43DB0257" w:rsidR="00843B15" w:rsidRDefault="00843B15" w:rsidP="00047493">
      <w:pPr>
        <w:rPr>
          <w:rFonts w:eastAsiaTheme="minorEastAsia"/>
        </w:rPr>
      </w:pPr>
      <w:r>
        <w:rPr>
          <w:rFonts w:eastAsiaTheme="minorEastAsia"/>
        </w:rPr>
        <w:t>Then</w:t>
      </w:r>
    </w:p>
    <w:p w14:paraId="43F59919" w14:textId="059ADC71" w:rsidR="00843B15" w:rsidRPr="00843B15" w:rsidRDefault="00843B15" w:rsidP="000474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σ=2π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4E</m:t>
                  </m:r>
                </m:den>
              </m:f>
            </m:e>
          </m:d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nary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θ dθ=∞.</m:t>
              </m:r>
            </m:e>
          </m:func>
        </m:oMath>
      </m:oMathPara>
    </w:p>
    <w:p w14:paraId="21079413" w14:textId="066E6D3C" w:rsidR="00843B15" w:rsidRDefault="00843B15" w:rsidP="00843B15">
      <w:pPr>
        <w:pStyle w:val="Heading1"/>
        <w:rPr>
          <w:rFonts w:eastAsiaTheme="minorEastAsia"/>
        </w:rPr>
      </w:pPr>
      <w:r>
        <w:rPr>
          <w:rFonts w:eastAsiaTheme="minorEastAsia"/>
        </w:rPr>
        <w:t>Luminosity</w:t>
      </w:r>
    </w:p>
    <w:p w14:paraId="55614EB1" w14:textId="169EB46E" w:rsidR="00843B15" w:rsidRDefault="00843B15" w:rsidP="00047493">
      <w:pPr>
        <w:rPr>
          <w:rFonts w:eastAsiaTheme="minorEastAsia"/>
        </w:rPr>
      </w:pPr>
      <w:r>
        <w:rPr>
          <w:rFonts w:eastAsiaTheme="minorEastAsia"/>
        </w:rPr>
        <w:t xml:space="preserve">Luminosity,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, is the number of particles passing down the beam line per unit time per unit area. Consider a beam of particles, with uniform luminosity. Then </w:t>
      </w:r>
      <m:oMath>
        <m:r>
          <w:rPr>
            <w:rFonts w:ascii="Cambria Math" w:eastAsiaTheme="minorEastAsia" w:hAnsi="Cambria Math"/>
          </w:rPr>
          <m:t>dN=</m:t>
        </m:r>
        <m:r>
          <m:rPr>
            <m:scr m:val="script"/>
          </m:rP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dσ</m:t>
        </m:r>
      </m:oMath>
      <w:r>
        <w:rPr>
          <w:rFonts w:eastAsiaTheme="minorEastAsia"/>
        </w:rPr>
        <w:t xml:space="preserve"> is the number of particles per unit time pass through area </w:t>
      </w:r>
      <m:oMath>
        <m:r>
          <w:rPr>
            <w:rFonts w:ascii="Cambria Math" w:eastAsiaTheme="minorEastAsia" w:hAnsi="Cambria Math"/>
          </w:rPr>
          <m:t>dσ</m:t>
        </m:r>
      </m:oMath>
      <w:r>
        <w:rPr>
          <w:rFonts w:eastAsiaTheme="minorEastAsia"/>
        </w:rPr>
        <w:t xml:space="preserve">, and hence also the number per unit time scattered into solid angle </w:t>
      </w:r>
      <m:oMath>
        <m:r>
          <w:rPr>
            <w:rFonts w:ascii="Cambria Math" w:eastAsiaTheme="minorEastAsia" w:hAnsi="Cambria Math"/>
          </w:rPr>
          <m:t>d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:</m:t>
        </m:r>
      </m:oMath>
    </w:p>
    <w:p w14:paraId="617CA498" w14:textId="24E09009" w:rsidR="00843B15" w:rsidRPr="00843B15" w:rsidRDefault="00843B15" w:rsidP="000474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dN=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r>
            <w:rPr>
              <w:rFonts w:ascii="Cambria Math" w:eastAsiaTheme="minorEastAsia" w:hAnsi="Cambria Math"/>
            </w:rPr>
            <m:t>dσ=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56026BBB" w14:textId="25922635" w:rsidR="00843B15" w:rsidRDefault="00843B15" w:rsidP="00047493">
      <w:pPr>
        <w:rPr>
          <w:rFonts w:eastAsiaTheme="minorEastAsia"/>
        </w:rPr>
      </w:pPr>
      <w:r>
        <w:rPr>
          <w:rFonts w:eastAsiaTheme="minorEastAsia"/>
        </w:rPr>
        <w:t xml:space="preserve">If we set up a detector that subtends a solid angle </w:t>
      </w:r>
      <m:oMath>
        <m:r>
          <w:rPr>
            <w:rFonts w:ascii="Cambria Math" w:eastAsiaTheme="minorEastAsia" w:hAnsi="Cambria Math"/>
          </w:rPr>
          <m:t>d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 xml:space="preserve"> with respect to the collision point (see figure on next page)</w:t>
      </w:r>
    </w:p>
    <w:p w14:paraId="5D6D7FFB" w14:textId="71A19FFC" w:rsidR="00843B15" w:rsidRDefault="00843B15" w:rsidP="00047493">
      <w:pPr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0837BF5" wp14:editId="57BFBC97">
            <wp:simplePos x="914400" y="914400"/>
            <wp:positionH relativeFrom="column">
              <wp:align>center</wp:align>
            </wp:positionH>
            <wp:positionV relativeFrom="paragraph">
              <wp:posOffset>0</wp:posOffset>
            </wp:positionV>
            <wp:extent cx="2834640" cy="1197864"/>
            <wp:effectExtent l="0" t="0" r="381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8DF00" w14:textId="102CB5C9" w:rsidR="00843B15" w:rsidRDefault="00932851" w:rsidP="00047493">
      <w:pPr>
        <w:rPr>
          <w:rFonts w:eastAsiaTheme="minorEastAsia"/>
        </w:rPr>
      </w:pPr>
      <w:r>
        <w:rPr>
          <w:rFonts w:eastAsiaTheme="minorEastAsia"/>
        </w:rPr>
        <w:t xml:space="preserve">The even rate is the number of particles per unit time, </w:t>
      </w:r>
      <m:oMath>
        <m:r>
          <w:rPr>
            <w:rFonts w:ascii="Cambria Math" w:eastAsiaTheme="minorEastAsia" w:hAnsi="Cambria Math"/>
          </w:rPr>
          <m:t>dN</m:t>
        </m:r>
      </m:oMath>
      <w:r>
        <w:rPr>
          <w:rFonts w:eastAsiaTheme="minorEastAsia"/>
        </w:rPr>
        <w:t>, reaching the detector. Experimentalists determine the solid angle, and the accelerator controls the luminosity. We obtain</w:t>
      </w:r>
    </w:p>
    <w:p w14:paraId="1E4699DE" w14:textId="64FEEBB7" w:rsidR="00932851" w:rsidRPr="00932851" w:rsidRDefault="00932851" w:rsidP="0004749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dσ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dN</m:t>
              </m:r>
            </m:num>
            <m:den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22A5C458" w14:textId="56DACF01" w:rsidR="00932851" w:rsidRDefault="00932851" w:rsidP="00047493">
      <w:pPr>
        <w:rPr>
          <w:rFonts w:eastAsiaTheme="minorEastAsia"/>
        </w:rPr>
      </w:pPr>
      <w:r>
        <w:rPr>
          <w:rFonts w:eastAsiaTheme="minorEastAsia"/>
        </w:rPr>
        <w:t xml:space="preserve">If the detector surrounds the target, then </w:t>
      </w:r>
      <m:oMath>
        <m:r>
          <w:rPr>
            <w:rFonts w:ascii="Cambria Math" w:eastAsiaTheme="minorEastAsia" w:hAnsi="Cambria Math"/>
          </w:rPr>
          <m:t>N=σ</m:t>
        </m:r>
        <m:r>
          <m:rPr>
            <m:scr m:val="script"/>
          </m:rPr>
          <w:rPr>
            <w:rFonts w:ascii="Cambria Math" w:eastAsiaTheme="minorEastAsia" w:hAnsi="Cambria Math"/>
          </w:rPr>
          <m:t>L.</m:t>
        </m:r>
      </m:oMath>
    </w:p>
    <w:p w14:paraId="23444BC8" w14:textId="77777777" w:rsidR="00932851" w:rsidRPr="00843B15" w:rsidRDefault="00932851" w:rsidP="00047493">
      <w:pPr>
        <w:rPr>
          <w:rFonts w:eastAsiaTheme="minorEastAsia"/>
        </w:rPr>
      </w:pPr>
    </w:p>
    <w:sectPr w:rsidR="00932851" w:rsidRPr="00843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6321"/>
    <w:rsid w:val="00047493"/>
    <w:rsid w:val="00064C6F"/>
    <w:rsid w:val="001F4E92"/>
    <w:rsid w:val="00354FC8"/>
    <w:rsid w:val="00516321"/>
    <w:rsid w:val="00790AAE"/>
    <w:rsid w:val="007914BB"/>
    <w:rsid w:val="00843B15"/>
    <w:rsid w:val="00932851"/>
    <w:rsid w:val="00AA1478"/>
    <w:rsid w:val="00CF4382"/>
    <w:rsid w:val="00D33D51"/>
    <w:rsid w:val="00D449F4"/>
    <w:rsid w:val="00DE1728"/>
    <w:rsid w:val="00DF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9313"/>
  <w15:docId w15:val="{0391FF5A-C0DF-4463-B23D-B95C21ABA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D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D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6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632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33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33D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16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2944</TotalTime>
  <Pages>4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Alaniz</dc:creator>
  <cp:keywords/>
  <dc:description/>
  <cp:lastModifiedBy>Alex Alaniz</cp:lastModifiedBy>
  <cp:revision>1</cp:revision>
  <dcterms:created xsi:type="dcterms:W3CDTF">2022-11-25T05:07:00Z</dcterms:created>
  <dcterms:modified xsi:type="dcterms:W3CDTF">2022-12-14T06:18:00Z</dcterms:modified>
</cp:coreProperties>
</file>