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pPr>
      <w:r>
        <w:rPr>
          <w:rFonts w:ascii="Segoe UI Semibold" w:hAnsi="Segoe UI Semibold"/>
          <w:b/>
          <w:color w:val="1A365D"/>
          <w:sz w:val="52"/>
        </w:rPr>
        <w:t>CAHIER DES CHARGES TECHNIQUE &amp; COMMERCIAL</w:t>
      </w:r>
    </w:p>
    <w:p>
      <w:pPr>
        <w:spacing w:before="0" w:after="800"/>
      </w:pPr>
      <w:r>
        <w:rPr>
          <w:rFonts w:ascii="Segoe UI" w:hAnsi="Segoe UI"/>
          <w:color w:val="2B6CB0"/>
          <w:sz w:val="28"/>
        </w:rPr>
        <w:t>Projet de Fork Amélioré de L0p4Map vers une Solution Commerciale Concurrentielle</w:t>
      </w:r>
    </w:p>
    <w:p>
      <w:pPr>
        <w:spacing w:after="3000"/>
      </w:pPr>
    </w:p>
    <w:p>
      <w:pPr>
        <w:spacing w:line="312" w:lineRule="auto"/>
      </w:pPr>
      <w:r>
        <w:rPr>
          <w:rFonts w:ascii="Segoe UI" w:hAnsi="Segoe UI"/>
          <w:color w:val="718096"/>
          <w:sz w:val="21"/>
        </w:rPr>
        <w:t>Statut du Document : CONFIDENTIEL R&amp;D</w:t>
        <w:br/>
        <w:t>Auteur : Direction Technique &amp; Stratégie</w:t>
        <w:br/>
        <w:t>Cible : Marché Corporate et Professionnels de la Cybersécurité</w:t>
        <w:br/>
        <w:t>Date d'édition : Septembre 2026</w:t>
      </w:r>
    </w:p>
    <w:p>
      <w:r>
        <w:br w:type="page"/>
      </w:r>
    </w:p>
    <w:p>
      <w:pPr>
        <w:keepNext/>
        <w:spacing w:before="480" w:after="160"/>
      </w:pPr>
      <w:r>
        <w:rPr>
          <w:rFonts w:ascii="Segoe UI Semibold" w:hAnsi="Segoe UI Semibold"/>
          <w:b/>
          <w:color w:val="1A365D"/>
          <w:sz w:val="36"/>
        </w:rPr>
        <w:t>1. Vision Stratégique du Fork Commercial</w:t>
      </w:r>
    </w:p>
    <w:p>
      <w:pPr>
        <w:spacing w:before="0" w:after="120" w:line="276" w:lineRule="auto"/>
      </w:pPr>
      <w:r>
        <w:rPr>
          <w:rFonts w:ascii="Segoe UI" w:hAnsi="Segoe UI"/>
          <w:i w:val="0"/>
          <w:color w:val="2D3748"/>
          <w:sz w:val="22"/>
        </w:rPr>
        <w:t>Le présent document pose les bases du développement d'une version commerciale dérivée (fork) de l'outil open-source L0p4Map. L'objectif est de transformer une interface graphique intuitive pour Nmap en une suite logicielle autonome de gestion de la surface d'attaque et de cartographie réseau, capable de rivaliser avec des solutions établies comme Advanced IP Scanner, Fing, Maltego et Netdisco.</w:t>
      </w:r>
    </w:p>
    <w:tbl>
      <w:tblPr>
        <w:tblW w:type="auto" w:w="0"/>
        <w:jc w:val="center"/>
        <w:tblLayout w:type="fixed"/>
        <w:tblLook w:firstColumn="1" w:firstRow="1" w:lastColumn="0" w:lastRow="0" w:noHBand="0" w:noVBand="1" w:val="04A0"/>
      </w:tblPr>
      <w:tblGrid>
        <w:gridCol w:w="9360"/>
      </w:tblGrid>
      <w:tr>
        <w:tc>
          <w:tcPr>
            <w:tcW w:type="dxa" w:w="9360"/>
            <w:shd w:fill="F7FAFC"/>
            <w:tcMar>
              <w:top w:w="144" w:type="dxa"/>
              <w:bottom w:w="144" w:type="dxa"/>
              <w:left w:w="216" w:type="dxa"/>
              <w:right w:w="216" w:type="dxa"/>
            </w:tcMar>
            <w:tcBorders>
              <w:left w:val="single" w:sz="24" w:space="0" w:color="2B6CB0"/>
              <w:top w:val="none"/>
              <w:bottom w:val="none"/>
              <w:right w:val="none"/>
            </w:tcBorders>
          </w:tcPr>
          <w:p>
            <w:pPr>
              <w:spacing w:before="0" w:after="80" w:line="276" w:lineRule="auto"/>
            </w:pPr>
            <w:r>
              <w:rPr>
                <w:rFonts w:ascii="Segoe UI" w:hAnsi="Segoe UI"/>
                <w:i/>
                <w:color w:val="2D3748"/>
                <w:sz w:val="21"/>
              </w:rPr>
              <w:t>Positionnement Concurrentiel Unique :</w:t>
            </w:r>
          </w:p>
          <w:p>
            <w:pPr>
              <w:spacing w:before="80" w:after="80" w:line="276" w:lineRule="auto"/>
            </w:pPr>
            <w:r>
              <w:rPr>
                <w:rFonts w:ascii="Segoe UI" w:hAnsi="Segoe UI"/>
                <w:i/>
                <w:color w:val="2D3748"/>
                <w:sz w:val="21"/>
              </w:rPr>
              <w:t>Garder la simplicité graphique et l'interactivité temps réel de L0p4Map tout en intégrant des briques d'automatisation d'entreprise, une base de données temporelle, une flexibilité Cloud et des capacités de scan actif non-destructif.</w:t>
            </w:r>
          </w:p>
        </w:tc>
      </w:tr>
    </w:tbl>
    <w:p>
      <w:pPr>
        <w:spacing w:after="240"/>
      </w:pPr>
    </w:p>
    <w:p>
      <w:pPr>
        <w:keepNext/>
        <w:spacing w:before="480" w:after="160"/>
      </w:pPr>
      <w:r>
        <w:rPr>
          <w:rFonts w:ascii="Segoe UI Semibold" w:hAnsi="Segoe UI Semibold"/>
          <w:b/>
          <w:color w:val="1A365D"/>
          <w:sz w:val="36"/>
        </w:rPr>
        <w:t>2. Spécifications Détaillées des Modules d'Amélioration Majoritaires</w:t>
      </w:r>
    </w:p>
    <w:p>
      <w:pPr>
        <w:spacing w:before="0" w:after="120" w:line="276" w:lineRule="auto"/>
      </w:pPr>
      <w:r>
        <w:rPr>
          <w:rFonts w:ascii="Segoe UI" w:hAnsi="Segoe UI"/>
          <w:i w:val="0"/>
          <w:color w:val="2D3748"/>
          <w:sz w:val="22"/>
        </w:rPr>
        <w:t>Pour garantir un niveau de compétitivité maximale sur le marché corporate, 7 modules majeurs manquants dans la solution initiale L0p4Map doivent être implémentés de façon prioritaire.</w:t>
      </w:r>
    </w:p>
    <w:p>
      <w:pPr>
        <w:keepNext/>
        <w:spacing w:before="320" w:after="120"/>
      </w:pPr>
      <w:r>
        <w:rPr>
          <w:rFonts w:ascii="Segoe UI Semibold" w:hAnsi="Segoe UI Semibold"/>
          <w:b/>
          <w:color w:val="2B6CB0"/>
          <w:sz w:val="28"/>
        </w:rPr>
        <w:t>Module 1 : Persistance des données et Historique (Time-Travel Network Diff)</w:t>
      </w:r>
    </w:p>
    <w:p>
      <w:pPr>
        <w:spacing w:before="0" w:after="120" w:line="276" w:lineRule="auto"/>
      </w:pPr>
      <w:r>
        <w:rPr>
          <w:rFonts w:ascii="Segoe UI" w:hAnsi="Segoe UI"/>
          <w:b/>
          <w:color w:val="2D3748"/>
          <w:sz w:val="22"/>
        </w:rPr>
        <w:t>**Limitation Actuelle : **</w:t>
      </w:r>
      <w:r>
        <w:rPr>
          <w:rFonts w:ascii="Segoe UI" w:hAnsi="Segoe UI"/>
          <w:i w:val="0"/>
          <w:color w:val="2D3748"/>
          <w:sz w:val="22"/>
        </w:rPr>
        <w:t>Actuellement, les scans exécutés au sein de L0p4Map sont volatils. La fermeture de l'application ou l'exécution d'un nouveau scan efface les résultats précédents, limitant l'outil à une vision purement instantanée.</w:t>
      </w:r>
    </w:p>
    <w:p>
      <w:pPr>
        <w:spacing w:before="0" w:after="120" w:line="276" w:lineRule="auto"/>
      </w:pPr>
      <w:r>
        <w:rPr>
          <w:rFonts w:ascii="Segoe UI" w:hAnsi="Segoe UI"/>
          <w:b/>
          <w:color w:val="2D3748"/>
          <w:sz w:val="22"/>
        </w:rPr>
        <w:t>**L'Amélioration &amp; Valeur Ajoutée : **</w:t>
      </w:r>
      <w:r>
        <w:rPr>
          <w:rFonts w:ascii="Segoe UI" w:hAnsi="Segoe UI"/>
          <w:i w:val="0"/>
          <w:color w:val="2D3748"/>
          <w:sz w:val="22"/>
        </w:rPr>
        <w:t>Intégrer un moteur de base de données locale légère (SQLite) ou de séries temporelles pour stocker l'historique de chaque scan. Développer un algorithme de comparaison différentielle dynamique (« Network Diff »).</w:t>
      </w:r>
    </w:p>
    <w:p>
      <w:pPr>
        <w:spacing w:before="0" w:after="120" w:line="276" w:lineRule="auto"/>
      </w:pPr>
      <w:r>
        <w:rPr>
          <w:rFonts w:ascii="Segoe UI" w:hAnsi="Segoe UI"/>
          <w:b/>
          <w:color w:val="2D3748"/>
          <w:sz w:val="22"/>
        </w:rPr>
        <w:t>**Cas d'usage applicatifs : **</w:t>
      </w:r>
      <w:r>
        <w:rPr>
          <w:rFonts w:ascii="Segoe UI" w:hAnsi="Segoe UI"/>
          <w:i w:val="0"/>
          <w:color w:val="2D3748"/>
          <w:sz w:val="22"/>
        </w:rPr>
        <w:t>Mettre en évidence les changements critiques d'un réseau entre deux instants précis. L'interface doit clairement notifier visuellement si :</w:t>
      </w:r>
    </w:p>
    <w:p>
      <w:pPr>
        <w:pStyle w:val="ListBullet"/>
        <w:spacing w:before="0" w:after="60" w:line="276" w:lineRule="auto"/>
      </w:pPr>
      <w:r>
        <w:rPr>
          <w:rFonts w:ascii="Segoe UI" w:hAnsi="Segoe UI"/>
          <w:b/>
          <w:color w:val="2D3748"/>
          <w:sz w:val="22"/>
        </w:rPr>
        <w:t xml:space="preserve">Ouverture de port suspecte : </w:t>
      </w:r>
      <w:r>
        <w:rPr>
          <w:rFonts w:ascii="Segoe UI" w:hAnsi="Segoe UI"/>
          <w:color w:val="2D3748"/>
          <w:sz w:val="22"/>
        </w:rPr>
        <w:t>Le port 22 (SSH) ou un port sensible s'est soudainement ouvert sur une machine depuis la veille.</w:t>
      </w:r>
    </w:p>
    <w:p>
      <w:pPr>
        <w:pStyle w:val="ListBullet"/>
        <w:spacing w:before="0" w:after="60" w:line="276" w:lineRule="auto"/>
      </w:pPr>
      <w:r>
        <w:rPr>
          <w:rFonts w:ascii="Segoe UI" w:hAnsi="Segoe UI"/>
          <w:b/>
          <w:color w:val="2D3748"/>
          <w:sz w:val="22"/>
        </w:rPr>
        <w:t xml:space="preserve">Changement de configuration d'hôte : </w:t>
      </w:r>
      <w:r>
        <w:rPr>
          <w:rFonts w:ascii="Segoe UI" w:hAnsi="Segoe UI"/>
          <w:color w:val="2D3748"/>
          <w:sz w:val="22"/>
        </w:rPr>
        <w:t>Une machine a changé d'adresse IP locale ou d'adresse MAC (suspicions d'attaques ARP Spoofing).</w:t>
      </w:r>
    </w:p>
    <w:p>
      <w:pPr>
        <w:pStyle w:val="ListBullet"/>
        <w:spacing w:before="0" w:after="60" w:line="276" w:lineRule="auto"/>
      </w:pPr>
      <w:r>
        <w:rPr>
          <w:rFonts w:ascii="Segoe UI" w:hAnsi="Segoe UI"/>
          <w:b/>
          <w:color w:val="2D3748"/>
          <w:sz w:val="22"/>
        </w:rPr>
        <w:t xml:space="preserve">Découverte de nouveaux actifs : </w:t>
      </w:r>
      <w:r>
        <w:rPr>
          <w:rFonts w:ascii="Segoe UI" w:hAnsi="Segoe UI"/>
          <w:color w:val="2D3748"/>
          <w:sz w:val="22"/>
        </w:rPr>
        <w:t>Un nouvel équipement inconnu s'est connecté au segment réseau.</w:t>
      </w:r>
    </w:p>
    <w:p>
      <w:pPr>
        <w:keepNext/>
        <w:spacing w:before="320" w:after="120"/>
      </w:pPr>
      <w:r>
        <w:rPr>
          <w:rFonts w:ascii="Segoe UI Semibold" w:hAnsi="Segoe UI Semibold"/>
          <w:b/>
          <w:color w:val="2B6CB0"/>
          <w:sz w:val="28"/>
        </w:rPr>
        <w:t>Module 2 : Planification des Scans Automatisés (Scheduling)</w:t>
      </w:r>
    </w:p>
    <w:p>
      <w:pPr>
        <w:spacing w:before="0" w:after="120" w:line="276" w:lineRule="auto"/>
      </w:pPr>
      <w:r>
        <w:rPr>
          <w:rFonts w:ascii="Segoe UI" w:hAnsi="Segoe UI"/>
          <w:b/>
          <w:color w:val="2D3748"/>
          <w:sz w:val="22"/>
        </w:rPr>
        <w:t>**Limitation Actuelle : **</w:t>
      </w:r>
      <w:r>
        <w:rPr>
          <w:rFonts w:ascii="Segoe UI" w:hAnsi="Segoe UI"/>
          <w:i w:val="0"/>
          <w:color w:val="2D3748"/>
          <w:sz w:val="22"/>
        </w:rPr>
        <w:t>L0p4Map requiert impérativement une action humaine manuelle (clic utilisateur) pour initier une découverte d'hôtes ou un scan de ports.</w:t>
      </w:r>
    </w:p>
    <w:p>
      <w:pPr>
        <w:spacing w:before="0" w:after="120" w:line="276" w:lineRule="auto"/>
      </w:pPr>
      <w:r>
        <w:rPr>
          <w:rFonts w:ascii="Segoe UI" w:hAnsi="Segoe UI"/>
          <w:b/>
          <w:color w:val="2D3748"/>
          <w:sz w:val="22"/>
        </w:rPr>
        <w:t>**L'Amélioration &amp; Valeur Ajoutée : **</w:t>
      </w:r>
      <w:r>
        <w:rPr>
          <w:rFonts w:ascii="Segoe UI" w:hAnsi="Segoe UI"/>
          <w:i w:val="0"/>
          <w:color w:val="2D3748"/>
          <w:sz w:val="22"/>
        </w:rPr>
        <w:t>Concevoir un planificateur de tâches natif (intégré en arrière-plan) permettant de configurer des routines périodiques sans intervention humaine.</w:t>
      </w:r>
    </w:p>
    <w:p>
      <w:pPr>
        <w:spacing w:before="0" w:after="120" w:line="276" w:lineRule="auto"/>
      </w:pPr>
      <w:r>
        <w:rPr>
          <w:rFonts w:ascii="Segoe UI" w:hAnsi="Segoe UI"/>
          <w:b/>
          <w:color w:val="2D3748"/>
          <w:sz w:val="22"/>
        </w:rPr>
        <w:t>**Cas d'usage applicatifs : **</w:t>
      </w:r>
      <w:r>
        <w:rPr>
          <w:rFonts w:ascii="Segoe UI" w:hAnsi="Segoe UI"/>
          <w:i w:val="0"/>
          <w:color w:val="2D3748"/>
          <w:sz w:val="22"/>
        </w:rPr>
        <w:t>L'administrateur système planifie un scan complet des sous-réseaux tous les jours à 02h00 du matin. Le système stocke le résultat en base de données, exécute le module « Network Diff » et prépare un rapport synthétique au réveil uniquement si une anomalie ou un changement structurel a été identifié.</w:t>
      </w:r>
    </w:p>
    <w:p>
      <w:pPr>
        <w:keepNext/>
        <w:spacing w:before="320" w:after="120"/>
      </w:pPr>
      <w:r>
        <w:rPr>
          <w:rFonts w:ascii="Segoe UI Semibold" w:hAnsi="Segoe UI Semibold"/>
          <w:b/>
          <w:color w:val="2B6CB0"/>
          <w:sz w:val="28"/>
        </w:rPr>
        <w:t>Module 3 : Système d'Alertes Multi-Canaux &amp; Notifications Distantes</w:t>
      </w:r>
    </w:p>
    <w:p>
      <w:pPr>
        <w:spacing w:before="0" w:after="120" w:line="276" w:lineRule="auto"/>
      </w:pPr>
      <w:r>
        <w:rPr>
          <w:rFonts w:ascii="Segoe UI" w:hAnsi="Segoe UI"/>
          <w:b/>
          <w:color w:val="2D3748"/>
          <w:sz w:val="22"/>
        </w:rPr>
        <w:t>**Limitation Actuelle : **</w:t>
      </w:r>
      <w:r>
        <w:rPr>
          <w:rFonts w:ascii="Segoe UI" w:hAnsi="Segoe UI"/>
          <w:i w:val="0"/>
          <w:color w:val="2D3748"/>
          <w:sz w:val="22"/>
        </w:rPr>
        <w:t>Les alertes de la surveillance passive (écoute des requêtes ARP/mDNS anonymes) ne sont visibles que sous forme de pop-up à l'intérieur de l'interface PyQt6. Si l'administrateur n'a pas les yeux sur son écran, l'alerte est manquée.</w:t>
      </w:r>
    </w:p>
    <w:p>
      <w:pPr>
        <w:spacing w:before="0" w:after="120" w:line="276" w:lineRule="auto"/>
      </w:pPr>
      <w:r>
        <w:rPr>
          <w:rFonts w:ascii="Segoe UI" w:hAnsi="Segoe UI"/>
          <w:b/>
          <w:color w:val="2D3748"/>
          <w:sz w:val="22"/>
        </w:rPr>
        <w:t>**L'Amélioration &amp; Valeur Ajoutée : **</w:t>
      </w:r>
      <w:r>
        <w:rPr>
          <w:rFonts w:ascii="Segoe UI" w:hAnsi="Segoe UI"/>
          <w:i w:val="0"/>
          <w:color w:val="2D3748"/>
          <w:sz w:val="22"/>
        </w:rPr>
        <w:t>Déporter le moteur d'alerte en dehors de l'interface graphique pour pousser l'information là où se trouvent les équipes techniques.</w:t>
      </w:r>
    </w:p>
    <w:p>
      <w:pPr>
        <w:spacing w:before="0" w:after="120" w:line="276" w:lineRule="auto"/>
      </w:pPr>
      <w:r>
        <w:rPr>
          <w:rFonts w:ascii="Segoe UI" w:hAnsi="Segoe UI"/>
          <w:b/>
          <w:color w:val="2D3748"/>
          <w:sz w:val="22"/>
        </w:rPr>
        <w:t>**Cas d'usage applicatifs : **</w:t>
      </w:r>
      <w:r>
        <w:rPr>
          <w:rFonts w:ascii="Segoe UI" w:hAnsi="Segoe UI"/>
          <w:i w:val="0"/>
          <w:color w:val="2D3748"/>
          <w:sz w:val="22"/>
        </w:rPr>
        <w:t>Dès que le démon passif capte un comportement malveillant ou un intrus :</w:t>
      </w:r>
    </w:p>
    <w:p>
      <w:pPr>
        <w:pStyle w:val="ListBullet"/>
        <w:spacing w:before="0" w:after="60" w:line="276" w:lineRule="auto"/>
      </w:pPr>
      <w:r>
        <w:rPr>
          <w:rFonts w:ascii="Segoe UI" w:hAnsi="Segoe UI"/>
          <w:b/>
          <w:color w:val="2D3748"/>
          <w:sz w:val="22"/>
        </w:rPr>
        <w:t xml:space="preserve">Intégration Webhooks : </w:t>
      </w:r>
      <w:r>
        <w:rPr>
          <w:rFonts w:ascii="Segoe UI" w:hAnsi="Segoe UI"/>
          <w:color w:val="2D3748"/>
          <w:sz w:val="22"/>
        </w:rPr>
        <w:t>Déclenchement d'un webhook HTTP pour notifier un canal spécifique sur Discord, Slack, ou Microsoft Teams avec les détails de l'appareil.</w:t>
      </w:r>
    </w:p>
    <w:p>
      <w:pPr>
        <w:pStyle w:val="ListBullet"/>
        <w:spacing w:before="0" w:after="60" w:line="276" w:lineRule="auto"/>
      </w:pPr>
      <w:r>
        <w:rPr>
          <w:rFonts w:ascii="Segoe UI" w:hAnsi="Segoe UI"/>
          <w:b/>
          <w:color w:val="2D3748"/>
          <w:sz w:val="22"/>
        </w:rPr>
        <w:t xml:space="preserve">Alertes Emails : </w:t>
      </w:r>
      <w:r>
        <w:rPr>
          <w:rFonts w:ascii="Segoe UI" w:hAnsi="Segoe UI"/>
          <w:color w:val="2D3748"/>
          <w:sz w:val="22"/>
        </w:rPr>
        <w:t>Envoi immédiat d'un rapport d'alerte structuré via protocole SMTP crypté.</w:t>
      </w:r>
    </w:p>
    <w:p>
      <w:pPr>
        <w:pStyle w:val="ListBullet"/>
        <w:spacing w:before="0" w:after="60" w:line="276" w:lineRule="auto"/>
      </w:pPr>
      <w:r>
        <w:rPr>
          <w:rFonts w:ascii="Segoe UI" w:hAnsi="Segoe UI"/>
          <w:b/>
          <w:color w:val="2D3748"/>
          <w:sz w:val="22"/>
        </w:rPr>
        <w:t xml:space="preserve">Conformité SIEM / Syslog : </w:t>
      </w:r>
      <w:r>
        <w:rPr>
          <w:rFonts w:ascii="Segoe UI" w:hAnsi="Segoe UI"/>
          <w:color w:val="2D3748"/>
          <w:sz w:val="22"/>
        </w:rPr>
        <w:t>Redirection des logs au format standardisé RFC 5424 vers le serveur Syslog / SIEM central de l'entreprise pour corrélation globale.</w:t>
      </w:r>
    </w:p>
    <w:p>
      <w:pPr>
        <w:keepNext/>
        <w:spacing w:before="320" w:after="120"/>
      </w:pPr>
      <w:r>
        <w:rPr>
          <w:rFonts w:ascii="Segoe UI Semibold" w:hAnsi="Segoe UI Semibold"/>
          <w:b/>
          <w:color w:val="2B6CB0"/>
          <w:sz w:val="28"/>
        </w:rPr>
        <w:t>Module 4 : Architecture Découplée « Headless » &amp; API Rest/GraphQL</w:t>
      </w:r>
    </w:p>
    <w:p>
      <w:pPr>
        <w:spacing w:before="0" w:after="120" w:line="276" w:lineRule="auto"/>
      </w:pPr>
      <w:r>
        <w:rPr>
          <w:rFonts w:ascii="Segoe UI" w:hAnsi="Segoe UI"/>
          <w:b/>
          <w:color w:val="2D3748"/>
          <w:sz w:val="22"/>
        </w:rPr>
        <w:t>**Limitation Actuelle : **</w:t>
      </w:r>
      <w:r>
        <w:rPr>
          <w:rFonts w:ascii="Segoe UI" w:hAnsi="Segoe UI"/>
          <w:i w:val="0"/>
          <w:color w:val="2D3748"/>
          <w:sz w:val="22"/>
        </w:rPr>
        <w:t>L'outil souffre d'un couplage fort entre le moteur d'exécution et l'interface graphique PyQt6. Il est impossible de l'exploiter de manière centralisée ou sur un serveur distant dépourvu d'environnement X11/Wayland.</w:t>
      </w:r>
    </w:p>
    <w:p>
      <w:pPr>
        <w:spacing w:before="0" w:after="120" w:line="276" w:lineRule="auto"/>
      </w:pPr>
      <w:r>
        <w:rPr>
          <w:rFonts w:ascii="Segoe UI" w:hAnsi="Segoe UI"/>
          <w:b/>
          <w:color w:val="2D3748"/>
          <w:sz w:val="22"/>
        </w:rPr>
        <w:t>**L'Amélioration &amp; Valeur Ajoutée : **</w:t>
      </w:r>
      <w:r>
        <w:rPr>
          <w:rFonts w:ascii="Segoe UI" w:hAnsi="Segoe UI"/>
          <w:i w:val="0"/>
          <w:color w:val="2D3748"/>
          <w:sz w:val="22"/>
        </w:rPr>
        <w:t>Séparer totalement l'application en deux entités distinctes : un Démon de Scan léger (Backend exécutable en tâche de fond sous Linux/Windows Server) et une Interface de Visualisation (Frontend). Développer une API REST / GraphQL documentée pour lier les deux.</w:t>
      </w:r>
    </w:p>
    <w:p>
      <w:pPr>
        <w:spacing w:before="0" w:after="120" w:line="276" w:lineRule="auto"/>
      </w:pPr>
      <w:r>
        <w:rPr>
          <w:rFonts w:ascii="Segoe UI" w:hAnsi="Segoe UI"/>
          <w:b/>
          <w:color w:val="2D3748"/>
          <w:sz w:val="22"/>
        </w:rPr>
        <w:t>**Cas d'usage applicatifs : **</w:t>
      </w:r>
      <w:r>
        <w:rPr>
          <w:rFonts w:ascii="Segoe UI" w:hAnsi="Segoe UI"/>
          <w:i w:val="0"/>
          <w:color w:val="2D3748"/>
          <w:sz w:val="22"/>
        </w:rPr>
        <w:t>Déployer le démon de scan sur une instance Cloud (AWS/Azure) ou sur un serveur au sein d'un VLAN d'administration isolé. Les analystes peuvent s'y connecter de n'importe où via une interface Web moderne ou piloter les scans à l'aide de scripts externes via l'API REST.</w:t>
      </w:r>
    </w:p>
    <w:p>
      <w:pPr>
        <w:keepNext/>
        <w:spacing w:before="320" w:after="120"/>
      </w:pPr>
      <w:r>
        <w:rPr>
          <w:rFonts w:ascii="Segoe UI Semibold" w:hAnsi="Segoe UI Semibold"/>
          <w:b/>
          <w:color w:val="2B6CB0"/>
          <w:sz w:val="28"/>
        </w:rPr>
        <w:t>Module 5 : Audit de Vulnérabilités Actif Non-Destructif (Mini-Nessus)</w:t>
      </w:r>
    </w:p>
    <w:p>
      <w:pPr>
        <w:spacing w:before="0" w:after="120" w:line="276" w:lineRule="auto"/>
      </w:pPr>
      <w:r>
        <w:rPr>
          <w:rFonts w:ascii="Segoe UI" w:hAnsi="Segoe UI"/>
          <w:b/>
          <w:color w:val="2D3748"/>
          <w:sz w:val="22"/>
        </w:rPr>
        <w:t>**Limitation Actuelle : **</w:t>
      </w:r>
      <w:r>
        <w:rPr>
          <w:rFonts w:ascii="Segoe UI" w:hAnsi="Segoe UI"/>
          <w:i w:val="0"/>
          <w:color w:val="2D3748"/>
          <w:sz w:val="22"/>
        </w:rPr>
        <w:t>L0p4Map se base uniquement sur le script Nmap 'Vulners' pour faire de la corrélation passive. Il lit la bannière de version renvoyée par un port et liste les CVE associées. Cela engendre un taux élevé de faux positifs (bannières modifiées, systèmes d'exploitation rétro-portant les patchs sans changer de version).</w:t>
      </w:r>
    </w:p>
    <w:p>
      <w:pPr>
        <w:spacing w:before="0" w:after="120" w:line="276" w:lineRule="auto"/>
      </w:pPr>
      <w:r>
        <w:rPr>
          <w:rFonts w:ascii="Segoe UI" w:hAnsi="Segoe UI"/>
          <w:b/>
          <w:color w:val="2D3748"/>
          <w:sz w:val="22"/>
        </w:rPr>
        <w:t>**L'Amélioration &amp; Valeur Ajoutée : **</w:t>
      </w:r>
      <w:r>
        <w:rPr>
          <w:rFonts w:ascii="Segoe UI" w:hAnsi="Segoe UI"/>
          <w:i w:val="0"/>
          <w:color w:val="2D3748"/>
          <w:sz w:val="22"/>
        </w:rPr>
        <w:t>Introduire un moteur d'audit actif, capable de valider concrètement l'existence d'une vulnérabilité ou d'un défaut de configuration sans perturber la production.</w:t>
      </w:r>
    </w:p>
    <w:p>
      <w:pPr>
        <w:spacing w:before="0" w:after="120" w:line="276" w:lineRule="auto"/>
      </w:pPr>
      <w:r>
        <w:rPr>
          <w:rFonts w:ascii="Segoe UI" w:hAnsi="Segoe UI"/>
          <w:b/>
          <w:color w:val="2D3748"/>
          <w:sz w:val="22"/>
        </w:rPr>
        <w:t>**Cas d'usage applicatifs : **</w:t>
      </w:r>
      <w:r>
        <w:rPr>
          <w:rFonts w:ascii="Segoe UI" w:hAnsi="Segoe UI"/>
          <w:i w:val="0"/>
          <w:color w:val="2D3748"/>
          <w:sz w:val="22"/>
        </w:rPr>
        <w:t>Tester la robustesse des systèmes découverts en exécutant :</w:t>
      </w:r>
    </w:p>
    <w:p>
      <w:pPr>
        <w:pStyle w:val="ListBullet"/>
        <w:spacing w:before="0" w:after="60" w:line="276" w:lineRule="auto"/>
      </w:pPr>
      <w:r>
        <w:rPr>
          <w:rFonts w:ascii="Segoe UI" w:hAnsi="Segoe UI"/>
          <w:b/>
          <w:color w:val="2D3748"/>
          <w:sz w:val="22"/>
        </w:rPr>
        <w:t xml:space="preserve">Vérification des mots de passe par défaut : </w:t>
      </w:r>
      <w:r>
        <w:rPr>
          <w:rFonts w:ascii="Segoe UI" w:hAnsi="Segoe UI"/>
          <w:color w:val="2D3748"/>
          <w:sz w:val="22"/>
        </w:rPr>
        <w:t>Des tests de dictionnaire automatisés sur les protocoles SSH, Telnet, et formulaires HTTP pour intercepter les identifiants d'usine (ex: admin/admin).</w:t>
      </w:r>
    </w:p>
    <w:p>
      <w:pPr>
        <w:pStyle w:val="ListBullet"/>
        <w:spacing w:before="0" w:after="60" w:line="276" w:lineRule="auto"/>
      </w:pPr>
      <w:r>
        <w:rPr>
          <w:rFonts w:ascii="Segoe UI" w:hAnsi="Segoe UI"/>
          <w:b/>
          <w:color w:val="2D3748"/>
          <w:sz w:val="22"/>
        </w:rPr>
        <w:t xml:space="preserve">Audit de configuration SSL/TLS : </w:t>
      </w:r>
      <w:r>
        <w:rPr>
          <w:rFonts w:ascii="Segoe UI" w:hAnsi="Segoe UI"/>
          <w:color w:val="2D3748"/>
          <w:sz w:val="22"/>
        </w:rPr>
        <w:t>Vérification automatique des versions acceptées (bloquer SSL v3/TLS 1.0) et des certificats expirés.</w:t>
      </w:r>
    </w:p>
    <w:p>
      <w:pPr>
        <w:pStyle w:val="ListBullet"/>
        <w:spacing w:before="0" w:after="60" w:line="276" w:lineRule="auto"/>
      </w:pPr>
      <w:r>
        <w:rPr>
          <w:rFonts w:ascii="Segoe UI" w:hAnsi="Segoe UI"/>
          <w:b/>
          <w:color w:val="2D3748"/>
          <w:sz w:val="22"/>
        </w:rPr>
        <w:t xml:space="preserve">Analyse des partages réseau ouverts : </w:t>
      </w:r>
      <w:r>
        <w:rPr>
          <w:rFonts w:ascii="Segoe UI" w:hAnsi="Segoe UI"/>
          <w:color w:val="2D3748"/>
          <w:sz w:val="22"/>
        </w:rPr>
        <w:t>Tester la présence de partages de fichiers SMB/NFS accessibles publiquement en lecture/écriture sans authentification.</w:t>
      </w:r>
    </w:p>
    <w:p>
      <w:pPr>
        <w:keepNext/>
        <w:spacing w:before="320" w:after="120"/>
      </w:pPr>
      <w:r>
        <w:rPr>
          <w:rFonts w:ascii="Segoe UI Semibold" w:hAnsi="Segoe UI Semibold"/>
          <w:b/>
          <w:color w:val="2B6CB0"/>
          <w:sz w:val="28"/>
        </w:rPr>
        <w:t>Module 6 : Cartographie Hybride LAN &amp; Environnements Multi-Cloud</w:t>
      </w:r>
    </w:p>
    <w:p>
      <w:pPr>
        <w:spacing w:before="0" w:after="120" w:line="276" w:lineRule="auto"/>
      </w:pPr>
      <w:r>
        <w:rPr>
          <w:rFonts w:ascii="Segoe UI" w:hAnsi="Segoe UI"/>
          <w:b/>
          <w:color w:val="2D3748"/>
          <w:sz w:val="22"/>
        </w:rPr>
        <w:t>**Limitation Actuelle : **</w:t>
      </w:r>
      <w:r>
        <w:rPr>
          <w:rFonts w:ascii="Segoe UI" w:hAnsi="Segoe UI"/>
          <w:i w:val="0"/>
          <w:color w:val="2D3748"/>
          <w:sz w:val="22"/>
        </w:rPr>
        <w:t>L0p4Map est pensé exclusivement pour l'analyse des couches de liaisons et réseaux physiques locaux (VLANs, sous-réseaux LAN via requêtes ARP/ICMP). Les infrastructures modernes éclatées dans le Cloud lui échappent.</w:t>
      </w:r>
    </w:p>
    <w:p>
      <w:pPr>
        <w:spacing w:before="0" w:after="120" w:line="276" w:lineRule="auto"/>
      </w:pPr>
      <w:r>
        <w:rPr>
          <w:rFonts w:ascii="Segoe UI" w:hAnsi="Segoe UI"/>
          <w:b/>
          <w:color w:val="2D3748"/>
          <w:sz w:val="22"/>
        </w:rPr>
        <w:t>**L'Amélioration &amp; Valeur Ajoutée : **</w:t>
      </w:r>
      <w:r>
        <w:rPr>
          <w:rFonts w:ascii="Segoe UI" w:hAnsi="Segoe UI"/>
          <w:i w:val="0"/>
          <w:color w:val="2D3748"/>
          <w:sz w:val="22"/>
        </w:rPr>
        <w:t>Développer des connecteurs d'API optionnels pour interfacer l'application avec les principaux fournisseurs de Cloud public (Amazon Web Services, Microsoft Azure, Google Cloud Platform).</w:t>
      </w:r>
    </w:p>
    <w:p>
      <w:pPr>
        <w:spacing w:before="0" w:after="120" w:line="276" w:lineRule="auto"/>
      </w:pPr>
      <w:r>
        <w:rPr>
          <w:rFonts w:ascii="Segoe UI" w:hAnsi="Segoe UI"/>
          <w:b/>
          <w:color w:val="2D3748"/>
          <w:sz w:val="22"/>
        </w:rPr>
        <w:t>**Cas d'usage applicatifs : **</w:t>
      </w:r>
      <w:r>
        <w:rPr>
          <w:rFonts w:ascii="Segoe UI" w:hAnsi="Segoe UI"/>
          <w:i w:val="0"/>
          <w:color w:val="2D3748"/>
          <w:sz w:val="22"/>
        </w:rPr>
        <w:t>La carte interactive réseau ne se limite plus aux machines physiques du bureau. Elle génère une vue unifiée montrant d'un côté le réseau local d'entreprise, les passerelles VPN, et de l'autre côté les instances de machines virtuelles (EC2/VM), les bases de données managées et les conteneurs instanciés dans le Cloud.</w:t>
      </w:r>
    </w:p>
    <w:p>
      <w:pPr>
        <w:keepNext/>
        <w:spacing w:before="320" w:after="120"/>
      </w:pPr>
      <w:r>
        <w:rPr>
          <w:rFonts w:ascii="Segoe UI Semibold" w:hAnsi="Segoe UI Semibold"/>
          <w:b/>
          <w:color w:val="2B6CB0"/>
          <w:sz w:val="28"/>
        </w:rPr>
        <w:t>Module 7 : Moteur de Reporting Professionnel Automatisé (PDF / Executive Summary)</w:t>
      </w:r>
    </w:p>
    <w:p>
      <w:pPr>
        <w:spacing w:before="0" w:after="120" w:line="276" w:lineRule="auto"/>
      </w:pPr>
      <w:r>
        <w:rPr>
          <w:rFonts w:ascii="Segoe UI" w:hAnsi="Segoe UI"/>
          <w:b/>
          <w:color w:val="2D3748"/>
          <w:sz w:val="22"/>
        </w:rPr>
        <w:t>**Limitation Actuelle : **</w:t>
      </w:r>
      <w:r>
        <w:rPr>
          <w:rFonts w:ascii="Segoe UI" w:hAnsi="Segoe UI"/>
          <w:i w:val="0"/>
          <w:color w:val="2D3748"/>
          <w:sz w:val="22"/>
        </w:rPr>
        <w:t>Les fonctions d'export se limitent à du texte brut et des fichiers plats au format CSV. C'est inexploitable pour une présentation à un décideur, un DSI ou un client final lors d'un audit.</w:t>
      </w:r>
    </w:p>
    <w:p>
      <w:pPr>
        <w:spacing w:before="0" w:after="120" w:line="276" w:lineRule="auto"/>
      </w:pPr>
      <w:r>
        <w:rPr>
          <w:rFonts w:ascii="Segoe UI" w:hAnsi="Segoe UI"/>
          <w:b/>
          <w:color w:val="2D3748"/>
          <w:sz w:val="22"/>
        </w:rPr>
        <w:t>**L'Amélioration &amp; Valeur Ajoutée : **</w:t>
      </w:r>
      <w:r>
        <w:rPr>
          <w:rFonts w:ascii="Segoe UI" w:hAnsi="Segoe UI"/>
          <w:i w:val="0"/>
          <w:color w:val="2D3748"/>
          <w:sz w:val="22"/>
        </w:rPr>
        <w:t>Concevoir un moteur d'édition de rapports graphiques automatisés exportables au format PDF haut de gamme.</w:t>
      </w:r>
    </w:p>
    <w:p>
      <w:pPr>
        <w:spacing w:before="0" w:after="120" w:line="276" w:lineRule="auto"/>
      </w:pPr>
      <w:r>
        <w:rPr>
          <w:rFonts w:ascii="Segoe UI" w:hAnsi="Segoe UI"/>
          <w:b/>
          <w:color w:val="2D3748"/>
          <w:sz w:val="22"/>
        </w:rPr>
        <w:t>**Cas d'usage applicatifs : **</w:t>
      </w:r>
      <w:r>
        <w:rPr>
          <w:rFonts w:ascii="Segoe UI" w:hAnsi="Segoe UI"/>
          <w:i w:val="0"/>
          <w:color w:val="2D3748"/>
          <w:sz w:val="22"/>
        </w:rPr>
        <w:t>Permettre aux auditeurs et consultants en cybersécurité de générer en un clic un document comprenant : Un Executive Summary épuré avec des graphiques en camembert (répartition des OS), des indicateurs clés (nombre d'alertes critiques), et un tableau détaillé classant les vulnérabilités par score de criticité CVSS (Critique, Élevé, Moyen, Faible).</w:t>
      </w:r>
    </w:p>
    <w:p>
      <w:r>
        <w:br w:type="page"/>
      </w:r>
    </w:p>
    <w:p>
      <w:pPr>
        <w:keepNext/>
        <w:spacing w:before="480" w:after="160"/>
      </w:pPr>
      <w:r>
        <w:rPr>
          <w:rFonts w:ascii="Segoe UI Semibold" w:hAnsi="Segoe UI Semibold"/>
          <w:b/>
          <w:color w:val="1A365D"/>
          <w:sz w:val="36"/>
        </w:rPr>
        <w:t>3. Stratégie Commerciale et Modèle de Monétisation</w:t>
      </w:r>
    </w:p>
    <w:p>
      <w:pPr>
        <w:spacing w:before="0" w:after="120" w:line="276" w:lineRule="auto"/>
      </w:pPr>
      <w:r>
        <w:rPr>
          <w:rFonts w:ascii="Segoe UI" w:hAnsi="Segoe UI"/>
          <w:i w:val="0"/>
          <w:color w:val="2D3748"/>
          <w:sz w:val="22"/>
        </w:rPr>
        <w:t>La commercialisation du fork requiert un découpage précis des fonctionnalités pour attirer la communauté open-source tout en convertissant les entreprises vers des options payantes.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A365D"/>
            <w:tcMar>
              <w:top w:w="120" w:type="dxa"/>
              <w:bottom w:w="120" w:type="dxa"/>
              <w:left w:w="120" w:type="dxa"/>
              <w:right w:w="120" w:type="dxa"/>
            </w:tcMar>
          </w:tcPr>
          <w:p>
            <w:pPr>
              <w:jc w:val="center"/>
            </w:pPr>
            <w:r>
              <w:rPr>
                <w:rFonts w:ascii="Segoe UI Semibold" w:hAnsi="Segoe UI Semibold"/>
                <w:b/>
                <w:color w:val="FFFFFF"/>
                <w:sz w:val="20"/>
              </w:rPr>
              <w:t>Édition</w:t>
            </w:r>
          </w:p>
        </w:tc>
        <w:tc>
          <w:tcPr>
            <w:tcW w:type="dxa" w:w="2592"/>
            <w:shd w:fill="1A365D"/>
            <w:tcMar>
              <w:top w:w="120" w:type="dxa"/>
              <w:bottom w:w="120" w:type="dxa"/>
              <w:left w:w="120" w:type="dxa"/>
              <w:right w:w="120" w:type="dxa"/>
            </w:tcMar>
          </w:tcPr>
          <w:p>
            <w:pPr>
              <w:jc w:val="center"/>
            </w:pPr>
            <w:r>
              <w:rPr>
                <w:rFonts w:ascii="Segoe UI Semibold" w:hAnsi="Segoe UI Semibold"/>
                <w:b/>
                <w:color w:val="FFFFFF"/>
                <w:sz w:val="20"/>
              </w:rPr>
              <w:t>Public Cible</w:t>
            </w:r>
          </w:p>
        </w:tc>
        <w:tc>
          <w:tcPr>
            <w:tcW w:type="dxa" w:w="2880"/>
            <w:shd w:fill="1A365D"/>
            <w:tcMar>
              <w:top w:w="120" w:type="dxa"/>
              <w:bottom w:w="120" w:type="dxa"/>
              <w:left w:w="120" w:type="dxa"/>
              <w:right w:w="120" w:type="dxa"/>
            </w:tcMar>
          </w:tcPr>
          <w:p>
            <w:pPr>
              <w:jc w:val="center"/>
            </w:pPr>
            <w:r>
              <w:rPr>
                <w:rFonts w:ascii="Segoe UI Semibold" w:hAnsi="Segoe UI Semibold"/>
                <w:b/>
                <w:color w:val="FFFFFF"/>
                <w:sz w:val="20"/>
              </w:rPr>
              <w:t>Fonctionnalités Incluses</w:t>
            </w:r>
          </w:p>
        </w:tc>
        <w:tc>
          <w:tcPr>
            <w:tcW w:type="dxa" w:w="2160"/>
            <w:shd w:fill="1A365D"/>
            <w:tcMar>
              <w:top w:w="120" w:type="dxa"/>
              <w:bottom w:w="120" w:type="dxa"/>
              <w:left w:w="120" w:type="dxa"/>
              <w:right w:w="120" w:type="dxa"/>
            </w:tcMar>
          </w:tcPr>
          <w:p>
            <w:pPr>
              <w:jc w:val="center"/>
            </w:pPr>
            <w:r>
              <w:rPr>
                <w:rFonts w:ascii="Segoe UI Semibold" w:hAnsi="Segoe UI Semibold"/>
                <w:b/>
                <w:color w:val="FFFFFF"/>
                <w:sz w:val="20"/>
              </w:rPr>
              <w:t>Modèle Tarifaire</w:t>
            </w:r>
          </w:p>
        </w:tc>
      </w:tr>
      <w:tr>
        <w:tc>
          <w:tcPr>
            <w:tcW w:type="dxa" w:w="1728"/>
            <w:shd w:fill="F7FAFC"/>
            <w:tcMar>
              <w:top w:w="100" w:type="dxa"/>
              <w:bottom w:w="100" w:type="dxa"/>
              <w:left w:w="100" w:type="dxa"/>
              <w:right w:w="100" w:type="dxa"/>
            </w:tcMar>
          </w:tcPr>
          <w:p>
            <w:r>
              <w:rPr>
                <w:rFonts w:ascii="Segoe UI" w:hAnsi="Segoe UI"/>
                <w:b/>
                <w:color w:val="2D3748"/>
                <w:sz w:val="19"/>
              </w:rPr>
              <w:t>Community (Open-Core)</w:t>
            </w:r>
          </w:p>
        </w:tc>
        <w:tc>
          <w:tcPr>
            <w:tcW w:type="dxa" w:w="2592"/>
            <w:shd w:fill="F7FAFC"/>
            <w:tcMar>
              <w:top w:w="100" w:type="dxa"/>
              <w:bottom w:w="100" w:type="dxa"/>
              <w:left w:w="100" w:type="dxa"/>
              <w:right w:w="100" w:type="dxa"/>
            </w:tcMar>
          </w:tcPr>
          <w:p>
            <w:r>
              <w:rPr>
                <w:rFonts w:ascii="Segoe UI" w:hAnsi="Segoe UI"/>
                <w:color w:val="2D3748"/>
                <w:sz w:val="19"/>
              </w:rPr>
              <w:t>Développeurs, passionnés, petits labos.</w:t>
            </w:r>
          </w:p>
        </w:tc>
        <w:tc>
          <w:tcPr>
            <w:tcW w:type="dxa" w:w="2880"/>
            <w:shd w:fill="F7FAFC"/>
            <w:tcMar>
              <w:top w:w="100" w:type="dxa"/>
              <w:bottom w:w="100" w:type="dxa"/>
              <w:left w:w="100" w:type="dxa"/>
              <w:right w:w="100" w:type="dxa"/>
            </w:tcMar>
          </w:tcPr>
          <w:p>
            <w:r>
              <w:rPr>
                <w:rFonts w:ascii="Segoe UI" w:hAnsi="Segoe UI"/>
                <w:color w:val="2D3748"/>
                <w:sz w:val="19"/>
              </w:rPr>
              <w:t>Interface L0p4Map d'origine, scans actifs manuels Nmap, cartographie locale basique.</w:t>
            </w:r>
          </w:p>
        </w:tc>
        <w:tc>
          <w:tcPr>
            <w:tcW w:type="dxa" w:w="2160"/>
            <w:shd w:fill="F7FAFC"/>
            <w:tcMar>
              <w:top w:w="100" w:type="dxa"/>
              <w:bottom w:w="100" w:type="dxa"/>
              <w:left w:w="100" w:type="dxa"/>
              <w:right w:w="100" w:type="dxa"/>
            </w:tcMar>
          </w:tcPr>
          <w:p>
            <w:r>
              <w:rPr>
                <w:rFonts w:ascii="Segoe UI" w:hAnsi="Segoe UI"/>
                <w:color w:val="2D3748"/>
                <w:sz w:val="19"/>
              </w:rPr>
              <w:t>Gratuit / Open-Source (Maintien de la communauté)</w:t>
            </w:r>
          </w:p>
        </w:tc>
      </w:tr>
      <w:tr>
        <w:tc>
          <w:tcPr>
            <w:tcW w:type="dxa" w:w="1728"/>
            <w:shd w:fill="FFFFFF"/>
            <w:tcMar>
              <w:top w:w="100" w:type="dxa"/>
              <w:bottom w:w="100" w:type="dxa"/>
              <w:left w:w="100" w:type="dxa"/>
              <w:right w:w="100" w:type="dxa"/>
            </w:tcMar>
          </w:tcPr>
          <w:p>
            <w:r>
              <w:rPr>
                <w:rFonts w:ascii="Segoe UI" w:hAnsi="Segoe UI"/>
                <w:b/>
                <w:color w:val="2D3748"/>
                <w:sz w:val="19"/>
              </w:rPr>
              <w:t>Professional / PME</w:t>
            </w:r>
          </w:p>
        </w:tc>
        <w:tc>
          <w:tcPr>
            <w:tcW w:type="dxa" w:w="2592"/>
            <w:shd w:fill="FFFFFF"/>
            <w:tcMar>
              <w:top w:w="100" w:type="dxa"/>
              <w:bottom w:w="100" w:type="dxa"/>
              <w:left w:w="100" w:type="dxa"/>
              <w:right w:w="100" w:type="dxa"/>
            </w:tcMar>
          </w:tcPr>
          <w:p>
            <w:r>
              <w:rPr>
                <w:rFonts w:ascii="Segoe UI" w:hAnsi="Segoe UI"/>
                <w:color w:val="2D3748"/>
                <w:sz w:val="19"/>
              </w:rPr>
              <w:t>Administrateurs SysOps, consultants indépendants.</w:t>
            </w:r>
          </w:p>
        </w:tc>
        <w:tc>
          <w:tcPr>
            <w:tcW w:type="dxa" w:w="2880"/>
            <w:shd w:fill="FFFFFF"/>
            <w:tcMar>
              <w:top w:w="100" w:type="dxa"/>
              <w:bottom w:w="100" w:type="dxa"/>
              <w:left w:w="100" w:type="dxa"/>
              <w:right w:w="100" w:type="dxa"/>
            </w:tcMar>
          </w:tcPr>
          <w:p>
            <w:r>
              <w:rPr>
                <w:rFonts w:ascii="Segoe UI" w:hAnsi="Segoe UI"/>
                <w:color w:val="2D3748"/>
                <w:sz w:val="19"/>
              </w:rPr>
              <w:t>Module 1 (Historique/Diff), Module 2 (Planification), Module 3 (Alertes Webhooks/Emails), Module 7 (Rapports PDF).</w:t>
            </w:r>
          </w:p>
        </w:tc>
        <w:tc>
          <w:tcPr>
            <w:tcW w:type="dxa" w:w="2160"/>
            <w:shd w:fill="FFFFFF"/>
            <w:tcMar>
              <w:top w:w="100" w:type="dxa"/>
              <w:bottom w:w="100" w:type="dxa"/>
              <w:left w:w="100" w:type="dxa"/>
              <w:right w:w="100" w:type="dxa"/>
            </w:tcMar>
          </w:tcPr>
          <w:p>
            <w:r>
              <w:rPr>
                <w:rFonts w:ascii="Segoe UI" w:hAnsi="Segoe UI"/>
                <w:color w:val="2D3748"/>
                <w:sz w:val="19"/>
              </w:rPr>
              <w:t>Licence par utilisateur / par an (Abonnement SaaS léger)</w:t>
            </w:r>
          </w:p>
        </w:tc>
      </w:tr>
      <w:tr>
        <w:tc>
          <w:tcPr>
            <w:tcW w:type="dxa" w:w="1728"/>
            <w:shd w:fill="F7FAFC"/>
            <w:tcMar>
              <w:top w:w="100" w:type="dxa"/>
              <w:bottom w:w="100" w:type="dxa"/>
              <w:left w:w="100" w:type="dxa"/>
              <w:right w:w="100" w:type="dxa"/>
            </w:tcMar>
          </w:tcPr>
          <w:p>
            <w:r>
              <w:rPr>
                <w:rFonts w:ascii="Segoe UI" w:hAnsi="Segoe UI"/>
                <w:b/>
                <w:color w:val="2D3748"/>
                <w:sz w:val="19"/>
              </w:rPr>
              <w:t>Enterprise Suite</w:t>
            </w:r>
          </w:p>
        </w:tc>
        <w:tc>
          <w:tcPr>
            <w:tcW w:type="dxa" w:w="2592"/>
            <w:shd w:fill="F7FAFC"/>
            <w:tcMar>
              <w:top w:w="100" w:type="dxa"/>
              <w:bottom w:w="100" w:type="dxa"/>
              <w:left w:w="100" w:type="dxa"/>
              <w:right w:w="100" w:type="dxa"/>
            </w:tcMar>
          </w:tcPr>
          <w:p>
            <w:r>
              <w:rPr>
                <w:rFonts w:ascii="Segoe UI" w:hAnsi="Segoe UI"/>
                <w:color w:val="2D3748"/>
                <w:sz w:val="19"/>
              </w:rPr>
              <w:t>DSI, SOC, Grandes Entreprises, Secteur Public.</w:t>
            </w:r>
          </w:p>
        </w:tc>
        <w:tc>
          <w:tcPr>
            <w:tcW w:type="dxa" w:w="2880"/>
            <w:shd w:fill="F7FAFC"/>
            <w:tcMar>
              <w:top w:w="100" w:type="dxa"/>
              <w:bottom w:w="100" w:type="dxa"/>
              <w:left w:w="100" w:type="dxa"/>
              <w:right w:w="100" w:type="dxa"/>
            </w:tcMar>
          </w:tcPr>
          <w:p>
            <w:r>
              <w:rPr>
                <w:rFonts w:ascii="Segoe UI" w:hAnsi="Segoe UI"/>
                <w:color w:val="2D3748"/>
                <w:sz w:val="19"/>
              </w:rPr>
              <w:t>Intégration totale : Module 4 (Architecture Headless + API), Module 5 (Audit Actif), Module 6 (Connecteurs Multi-Cloud), Support 24/7.</w:t>
            </w:r>
          </w:p>
        </w:tc>
        <w:tc>
          <w:tcPr>
            <w:tcW w:type="dxa" w:w="2160"/>
            <w:shd w:fill="F7FAFC"/>
            <w:tcMar>
              <w:top w:w="100" w:type="dxa"/>
              <w:bottom w:w="100" w:type="dxa"/>
              <w:left w:w="100" w:type="dxa"/>
              <w:right w:w="100" w:type="dxa"/>
            </w:tcMar>
          </w:tcPr>
          <w:p>
            <w:r>
              <w:rPr>
                <w:rFonts w:ascii="Segoe UI" w:hAnsi="Segoe UI"/>
                <w:color w:val="2D3748"/>
                <w:sz w:val="19"/>
              </w:rPr>
              <w:t>Tarification par nœuds supervisés / Engagement annuel</w:t>
            </w:r>
          </w:p>
        </w:tc>
      </w:tr>
    </w:tbl>
    <w:p>
      <w:pPr>
        <w:spacing w:after="240"/>
      </w:pPr>
    </w:p>
    <w:p>
      <w:pPr>
        <w:keepNext/>
        <w:spacing w:before="480" w:after="160"/>
      </w:pPr>
      <w:r>
        <w:rPr>
          <w:rFonts w:ascii="Segoe UI Semibold" w:hAnsi="Segoe UI Semibold"/>
          <w:b/>
          <w:color w:val="1A365D"/>
          <w:sz w:val="36"/>
        </w:rPr>
        <w:t>4. Contraintes Légales et Propriété Intellectuelle</w:t>
      </w:r>
    </w:p>
    <w:p>
      <w:pPr>
        <w:spacing w:before="0" w:after="120" w:line="276" w:lineRule="auto"/>
      </w:pPr>
      <w:r>
        <w:rPr>
          <w:rFonts w:ascii="Segoe UI" w:hAnsi="Segoe UI"/>
          <w:i w:val="0"/>
          <w:color w:val="2D3748"/>
          <w:sz w:val="22"/>
        </w:rPr>
        <w:t>La commercialisation d'un fork logiciel implique le strict respect des licences des technologies parentes. Une analyse préalable est indispensable pour sécuriser l'entreprise.</w:t>
      </w:r>
    </w:p>
    <w:p>
      <w:pPr>
        <w:keepNext/>
        <w:spacing w:before="320" w:after="120"/>
      </w:pPr>
      <w:r>
        <w:rPr>
          <w:rFonts w:ascii="Segoe UI Semibold" w:hAnsi="Segoe UI Semibold"/>
          <w:b/>
          <w:color w:val="2B6CB0"/>
          <w:sz w:val="28"/>
        </w:rPr>
        <w:t>4.1. Analyse de la Licence d'Origine de L0p4Map</w:t>
      </w:r>
    </w:p>
    <w:p>
      <w:pPr>
        <w:pStyle w:val="ListBullet"/>
        <w:spacing w:before="0" w:after="60" w:line="276" w:lineRule="auto"/>
      </w:pPr>
      <w:r>
        <w:rPr>
          <w:rFonts w:ascii="Segoe UI" w:hAnsi="Segoe UI"/>
          <w:b/>
          <w:color w:val="2D3748"/>
          <w:sz w:val="22"/>
        </w:rPr>
        <w:t xml:space="preserve">Cas d'une licence MIT / Apache : </w:t>
      </w:r>
      <w:r>
        <w:rPr>
          <w:rFonts w:ascii="Segoe UI" w:hAnsi="Segoe UI"/>
          <w:color w:val="2D3748"/>
          <w:sz w:val="22"/>
        </w:rPr>
        <w:t>Si le code d'origine utilise une licence permissive (ex: MIT, Apache 2.0), vous êtes légalement autorisé à modifier le code, à fermer les modules propriétaires ajoutés, et à commercialiser le tout sous une licence commerciale fermée, à condition de conserver la mention des droits d'auteur originaux.</w:t>
      </w:r>
    </w:p>
    <w:p>
      <w:pPr>
        <w:pStyle w:val="ListBullet"/>
        <w:spacing w:before="0" w:after="60" w:line="276" w:lineRule="auto"/>
      </w:pPr>
      <w:r>
        <w:rPr>
          <w:rFonts w:ascii="Segoe UI" w:hAnsi="Segoe UI"/>
          <w:b/>
          <w:color w:val="2D3748"/>
          <w:sz w:val="22"/>
        </w:rPr>
        <w:t xml:space="preserve">Cas d'une licence restrictive GPL : </w:t>
      </w:r>
      <w:r>
        <w:rPr>
          <w:rFonts w:ascii="Segoe UI" w:hAnsi="Segoe UI"/>
          <w:color w:val="2D3748"/>
          <w:sz w:val="22"/>
        </w:rPr>
        <w:t>Si L0p4Map intègre du code sous licence GPL (v2 ou v3), l'obligation de réciprocité s'applique. Tout travail dérivé doit obligatoirement être redistribué sous la même licence GPL avec accès complet au code source. Dans ce scénario, le modèle commercial devra reposer exclusivement sur la vente de services associés, de support technique, ou sur l'architecture découplée (le cœur reste open-source, mais l'interface Web ou les connecteurs Cloud distants sont facturés en tant que services SaaS indépendants).</w:t>
      </w:r>
    </w:p>
    <w:p>
      <w:pPr>
        <w:keepNext/>
        <w:spacing w:before="320" w:after="120"/>
      </w:pPr>
      <w:r>
        <w:rPr>
          <w:rFonts w:ascii="Segoe UI Semibold" w:hAnsi="Segoe UI Semibold"/>
          <w:b/>
          <w:color w:val="2B6CB0"/>
          <w:sz w:val="28"/>
        </w:rPr>
        <w:t>4.2. La Dépendance Critique à Nmap (Licence Nmap OEM)</w:t>
      </w:r>
    </w:p>
    <w:p>
      <w:pPr>
        <w:spacing w:before="0" w:after="120" w:line="276" w:lineRule="auto"/>
      </w:pPr>
      <w:r>
        <w:rPr>
          <w:rFonts w:ascii="Segoe UI" w:hAnsi="Segoe UI"/>
          <w:b/>
          <w:color w:val="2D3748"/>
          <w:sz w:val="22"/>
        </w:rPr>
        <w:t xml:space="preserve">Point de vigilance majeur : </w:t>
      </w:r>
      <w:r>
        <w:rPr>
          <w:rFonts w:ascii="Segoe UI" w:hAnsi="Segoe UI"/>
          <w:i w:val="0"/>
          <w:color w:val="2D3748"/>
          <w:sz w:val="22"/>
        </w:rPr>
        <w:t>Puisque L0p4Map encapsule et appelle Nmap pour exécuter ses fonctions avancées, la commercialisation conjointe pose un risque juridique fort. La licence standard de Nmap (Nmap Public Source License / NPSL) interdit explicitement l'incorporation ou la redistribution de Nmap dans des logiciels commerciaux propriétaires sans accord spécifique.</w:t>
      </w:r>
    </w:p>
    <w:p>
      <w:pPr>
        <w:spacing w:before="0" w:after="120" w:line="276" w:lineRule="auto"/>
      </w:pPr>
      <w:r>
        <w:rPr>
          <w:rFonts w:ascii="Segoe UI" w:hAnsi="Segoe UI"/>
          <w:b/>
          <w:color w:val="2D3748"/>
          <w:sz w:val="22"/>
        </w:rPr>
        <w:t xml:space="preserve">Solution recommandée : </w:t>
      </w:r>
      <w:r>
        <w:rPr>
          <w:rFonts w:ascii="Segoe UI" w:hAnsi="Segoe UI"/>
          <w:i w:val="0"/>
          <w:color w:val="2D3748"/>
          <w:sz w:val="22"/>
        </w:rPr>
        <w:t>Pour commercialiser légalement la solution sans contraindre le client final à installer lui-même Nmap manuellement en ligne de commande, l'entreprise devra souscrire à une licence commerciale spécifique appelée Nmap OEM. Cela permet d'embarquer légalement le moteur de scan Nmap de manière silencieuse et packagée au sein de l'installateur du fork commercial commercialisé.</w:t>
      </w:r>
    </w:p>
    <w:p>
      <w:pPr>
        <w:keepNext/>
        <w:spacing w:before="480" w:after="160"/>
      </w:pPr>
      <w:r>
        <w:rPr>
          <w:rFonts w:ascii="Segoe UI Semibold" w:hAnsi="Segoe UI Semibold"/>
          <w:b/>
          <w:color w:val="1A365D"/>
          <w:sz w:val="36"/>
        </w:rPr>
        <w:t>5. Feuille de Route de Développement (Roadmap 6 Mois)</w:t>
      </w:r>
    </w:p>
    <w:p>
      <w:pPr>
        <w:keepNext/>
        <w:spacing w:before="320" w:after="120"/>
      </w:pPr>
      <w:r>
        <w:rPr>
          <w:rFonts w:ascii="Segoe UI Semibold" w:hAnsi="Segoe UI Semibold"/>
          <w:b/>
          <w:color w:val="2B6CB0"/>
          <w:sz w:val="28"/>
        </w:rPr>
        <w:t>Phase 1 : Refactoring et Persistance (Mois 1 - 2)</w:t>
      </w:r>
    </w:p>
    <w:p>
      <w:pPr>
        <w:pStyle w:val="ListBullet"/>
        <w:spacing w:before="0" w:after="60" w:line="276" w:lineRule="auto"/>
      </w:pPr>
      <w:r>
        <w:rPr>
          <w:rFonts w:ascii="Segoe UI" w:hAnsi="Segoe UI"/>
          <w:color w:val="2D3748"/>
          <w:sz w:val="22"/>
        </w:rPr>
        <w:t>Séparation du moteur PyQt6 et création du démon d'écoute / scan (Préparation du Module 4).</w:t>
      </w:r>
    </w:p>
    <w:p>
      <w:pPr>
        <w:pStyle w:val="ListBullet"/>
        <w:spacing w:before="0" w:after="60" w:line="276" w:lineRule="auto"/>
      </w:pPr>
      <w:r>
        <w:rPr>
          <w:rFonts w:ascii="Segoe UI" w:hAnsi="Segoe UI"/>
          <w:color w:val="2D3748"/>
          <w:sz w:val="22"/>
        </w:rPr>
        <w:t>Mise en place de la base de données SQLite locale et écriture de l'algorithme différentiel (Module 1).</w:t>
      </w:r>
    </w:p>
    <w:p>
      <w:pPr>
        <w:keepNext/>
        <w:spacing w:before="320" w:after="120"/>
      </w:pPr>
      <w:r>
        <w:rPr>
          <w:rFonts w:ascii="Segoe UI Semibold" w:hAnsi="Segoe UI Semibold"/>
          <w:b/>
          <w:color w:val="2B6CB0"/>
          <w:sz w:val="28"/>
        </w:rPr>
        <w:t>Phase 2 : Automatisation et Canaux d'Alerte (Mois 3 - 4)</w:t>
      </w:r>
    </w:p>
    <w:p>
      <w:pPr>
        <w:pStyle w:val="ListBullet"/>
        <w:spacing w:before="0" w:after="60" w:line="276" w:lineRule="auto"/>
      </w:pPr>
      <w:r>
        <w:rPr>
          <w:rFonts w:ascii="Segoe UI" w:hAnsi="Segoe UI"/>
          <w:color w:val="2D3748"/>
          <w:sz w:val="22"/>
        </w:rPr>
        <w:t>Développement du planificateur interne (Module 2) pour l'exécution nocturne.</w:t>
      </w:r>
    </w:p>
    <w:p>
      <w:pPr>
        <w:pStyle w:val="ListBullet"/>
        <w:spacing w:before="0" w:after="60" w:line="276" w:lineRule="auto"/>
      </w:pPr>
      <w:r>
        <w:rPr>
          <w:rFonts w:ascii="Segoe UI" w:hAnsi="Segoe UI"/>
          <w:color w:val="2D3748"/>
          <w:sz w:val="22"/>
        </w:rPr>
        <w:t>Création du gestionnaire de notifications externes : raccordement des Webhooks Discord/Slack et serveur SMTP (Module 3).</w:t>
      </w:r>
    </w:p>
    <w:p>
      <w:pPr>
        <w:pStyle w:val="ListBullet"/>
        <w:spacing w:before="0" w:after="60" w:line="276" w:lineRule="auto"/>
      </w:pPr>
      <w:r>
        <w:rPr>
          <w:rFonts w:ascii="Segoe UI" w:hAnsi="Segoe UI"/>
          <w:color w:val="2D3748"/>
          <w:sz w:val="22"/>
        </w:rPr>
        <w:t>Développement du moteur d'export PDF avec ReportLab pour les livrables d'audit (Module 7).</w:t>
      </w:r>
    </w:p>
    <w:p>
      <w:pPr>
        <w:keepNext/>
        <w:spacing w:before="320" w:after="120"/>
      </w:pPr>
      <w:r>
        <w:rPr>
          <w:rFonts w:ascii="Segoe UI Semibold" w:hAnsi="Segoe UI Semibold"/>
          <w:b/>
          <w:color w:val="2B6CB0"/>
          <w:sz w:val="28"/>
        </w:rPr>
        <w:t>Phase 3 : Sécurité Active &amp; Connecteurs Cloud (Mois 5)</w:t>
      </w:r>
    </w:p>
    <w:p>
      <w:pPr>
        <w:pStyle w:val="ListBullet"/>
        <w:spacing w:before="0" w:after="60" w:line="276" w:lineRule="auto"/>
      </w:pPr>
      <w:r>
        <w:rPr>
          <w:rFonts w:ascii="Segoe UI" w:hAnsi="Segoe UI"/>
          <w:color w:val="2D3748"/>
          <w:sz w:val="22"/>
        </w:rPr>
        <w:t>Implémentation des modules d'audit de mots de passe usine et de défauts SSL (Module 5).</w:t>
      </w:r>
    </w:p>
    <w:p>
      <w:pPr>
        <w:pStyle w:val="ListBullet"/>
        <w:spacing w:before="0" w:after="60" w:line="276" w:lineRule="auto"/>
      </w:pPr>
      <w:r>
        <w:rPr>
          <w:rFonts w:ascii="Segoe UI" w:hAnsi="Segoe UI"/>
          <w:color w:val="2D3748"/>
          <w:sz w:val="22"/>
        </w:rPr>
        <w:t>Développement des scripts de requêtage d'API Cloud AWS/Azure (Module 6).</w:t>
      </w:r>
    </w:p>
    <w:p>
      <w:pPr>
        <w:keepNext/>
        <w:spacing w:before="320" w:after="120"/>
      </w:pPr>
      <w:r>
        <w:rPr>
          <w:rFonts w:ascii="Segoe UI Semibold" w:hAnsi="Segoe UI Semibold"/>
          <w:b/>
          <w:color w:val="2B6CB0"/>
          <w:sz w:val="28"/>
        </w:rPr>
        <w:t>Phase 4 : Bêta et Lancement Commercial (Mois 6)</w:t>
      </w:r>
    </w:p>
    <w:p>
      <w:pPr>
        <w:pStyle w:val="ListBullet"/>
        <w:spacing w:before="0" w:after="60" w:line="276" w:lineRule="auto"/>
      </w:pPr>
      <w:r>
        <w:rPr>
          <w:rFonts w:ascii="Segoe UI" w:hAnsi="Segoe UI"/>
          <w:color w:val="2D3748"/>
          <w:sz w:val="22"/>
        </w:rPr>
        <w:t>Phase de test fermée (Audit MSSP et Consultants partenaires).</w:t>
      </w:r>
    </w:p>
    <w:p>
      <w:pPr>
        <w:pStyle w:val="ListBullet"/>
        <w:spacing w:before="0" w:after="60" w:line="276" w:lineRule="auto"/>
      </w:pPr>
      <w:r>
        <w:rPr>
          <w:rFonts w:ascii="Segoe UI" w:hAnsi="Segoe UI"/>
          <w:color w:val="2D3748"/>
          <w:sz w:val="22"/>
        </w:rPr>
        <w:t>Mise en conformité des licences (Validation Nmap OEM) et déploiement du portail de vente de licences SaaS.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18096"/>
        <w:sz w:val="17"/>
      </w:rPr>
      <w:t>CONFIDENTIEL - Document de Travail R&amp;D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18096"/>
        <w:sz w:val="17"/>
      </w:rPr>
      <w:t>CAHIER DES CHARGES : STRATÉGIE COMMERCIALISATION &amp; EVOLUTION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