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643" w:rsidRPr="00F93643" w:rsidRDefault="00F93643" w:rsidP="00F9364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What are three conclusions we can make about Kickstarter campaigns given the provided data?</w:t>
      </w:r>
    </w:p>
    <w:p w:rsidR="00F93643" w:rsidRPr="00F93643" w:rsidRDefault="00F93643" w:rsidP="00F9364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 xml:space="preserve">2015 was a peak year for Kickstarted in terms of total </w:t>
      </w:r>
      <w:proofErr w:type="spellStart"/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numbe</w:t>
      </w:r>
      <w:proofErr w:type="spellEnd"/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 xml:space="preserve"> </w:t>
      </w:r>
      <w:proofErr w:type="spellStart"/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rof</w:t>
      </w:r>
      <w:proofErr w:type="spellEnd"/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 xml:space="preserve"> campaigns, both failed and successful</w:t>
      </w:r>
    </w:p>
    <w:p w:rsidR="00F93643" w:rsidRPr="00F93643" w:rsidRDefault="00F93643" w:rsidP="00F9364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2009 was the worst year for successful campaigns</w:t>
      </w:r>
    </w:p>
    <w:p w:rsidR="00F93643" w:rsidRPr="00F93643" w:rsidRDefault="00F93643" w:rsidP="00F9364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Video/Documentary Sub Category is the most successful sub category</w:t>
      </w:r>
    </w:p>
    <w:p w:rsid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</w:p>
    <w:p w:rsid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</w:p>
    <w:p w:rsid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</w:p>
    <w:p w:rsid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  <w:r>
        <w:rPr>
          <w:noProof/>
        </w:rPr>
        <w:drawing>
          <wp:inline distT="0" distB="0" distL="0" distR="0" wp14:anchorId="69B0A160" wp14:editId="11277050">
            <wp:extent cx="5167423" cy="3160661"/>
            <wp:effectExtent l="0" t="0" r="1460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21437F-68DC-8248-9966-BCA25B21D1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</w:p>
    <w:p w:rsidR="00F93643" w:rsidRP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</w:p>
    <w:p w:rsidR="00F93643" w:rsidRPr="00F93643" w:rsidRDefault="00F93643" w:rsidP="00F9364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What are some of the limitations of this dataset?</w:t>
      </w:r>
    </w:p>
    <w:p w:rsidR="00F93643" w:rsidRPr="00F93643" w:rsidRDefault="00F93643" w:rsidP="00F9364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We don't have a strong grip on successful sub categories as most are blank</w:t>
      </w:r>
    </w:p>
    <w:p w:rsidR="00F93643" w:rsidRPr="00F93643" w:rsidRDefault="00F93643" w:rsidP="00F9364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It's hard to determine a causal relationship around some of the changes we see as there is no data around other aspects of the business or trends.</w:t>
      </w:r>
    </w:p>
    <w:p w:rsid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</w:p>
    <w:p w:rsid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</w:p>
    <w:p w:rsid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</w:p>
    <w:p w:rsidR="00F93643" w:rsidRPr="00F93643" w:rsidRDefault="00F93643" w:rsidP="00F93643">
      <w:pPr>
        <w:textAlignment w:val="center"/>
        <w:rPr>
          <w:rFonts w:ascii="Calibri" w:eastAsia="Times New Roman" w:hAnsi="Calibri" w:cs="Calibri"/>
          <w:color w:val="24292E"/>
        </w:rPr>
      </w:pPr>
      <w:bookmarkStart w:id="0" w:name="_GoBack"/>
      <w:bookmarkEnd w:id="0"/>
    </w:p>
    <w:p w:rsidR="00F93643" w:rsidRPr="00F93643" w:rsidRDefault="00F93643" w:rsidP="00F9364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What are some other possible tables/graphs that we could create?</w:t>
      </w:r>
    </w:p>
    <w:p w:rsidR="00F93643" w:rsidRPr="00F93643" w:rsidRDefault="00F93643" w:rsidP="00F9364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24292E"/>
        </w:rPr>
      </w:pPr>
      <w:r w:rsidRPr="00F93643">
        <w:rPr>
          <w:rFonts w:ascii="-apple-system" w:eastAsia="Times New Roman" w:hAnsi="-apple-system" w:cs="Calibri"/>
          <w:color w:val="24292E"/>
          <w:shd w:val="clear" w:color="auto" w:fill="FFFFFF"/>
        </w:rPr>
        <w:t>We can create a scatter plot to understand if there's a correlation between certain categories, years and sub categories with success or failure.</w:t>
      </w:r>
    </w:p>
    <w:p w:rsidR="000A3AFA" w:rsidRDefault="000B41E2"/>
    <w:sectPr w:rsidR="000A3AFA" w:rsidSect="006A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9F9"/>
    <w:multiLevelType w:val="multilevel"/>
    <w:tmpl w:val="3D7C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43"/>
    <w:rsid w:val="000B41E2"/>
    <w:rsid w:val="002866DC"/>
    <w:rsid w:val="006A752A"/>
    <w:rsid w:val="00F9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E41C4"/>
  <w15:chartTrackingRefBased/>
  <w15:docId w15:val="{FB25A87D-61F2-234F-BC17-89AF531B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irtonkamdem/Library/Containers/com.microsoft.Excel/Data/Download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[StarterBook.xlsx]Sheet16!PivotTable14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3.028202555761611E-2"/>
          <c:y val="3.5674470457079152E-2"/>
          <c:w val="0.75913152747798418"/>
          <c:h val="0.92374968179144834"/>
        </c:manualLayout>
      </c:layout>
      <c:lineChart>
        <c:grouping val="standard"/>
        <c:varyColors val="0"/>
        <c:ser>
          <c:idx val="0"/>
          <c:order val="0"/>
          <c:tx>
            <c:strRef>
              <c:f>Sheet16!$B$3:$B$4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Sheet16!$A$5:$A$15</c:f>
              <c:strCache>
                <c:ptCount val="10"/>
                <c:pt idx="0">
                  <c:v>&lt;5/17/09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Sheet16!$B$5:$B$15</c:f>
              <c:numCache>
                <c:formatCode>General</c:formatCode>
                <c:ptCount val="10"/>
                <c:pt idx="1">
                  <c:v>1</c:v>
                </c:pt>
                <c:pt idx="2">
                  <c:v>1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80</c:v>
                </c:pt>
                <c:pt idx="7">
                  <c:v>131</c:v>
                </c:pt>
                <c:pt idx="8">
                  <c:v>99</c:v>
                </c:pt>
                <c:pt idx="9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99-1D4F-B1B6-E0EC54CF6F77}"/>
            </c:ext>
          </c:extLst>
        </c:ser>
        <c:ser>
          <c:idx val="1"/>
          <c:order val="1"/>
          <c:tx>
            <c:strRef>
              <c:f>Sheet16!$C$3:$C$4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Sheet16!$A$5:$A$15</c:f>
              <c:strCache>
                <c:ptCount val="10"/>
                <c:pt idx="0">
                  <c:v>&lt;5/17/09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Sheet16!$C$5:$C$15</c:f>
              <c:numCache>
                <c:formatCode>General</c:formatCode>
                <c:ptCount val="10"/>
                <c:pt idx="1">
                  <c:v>4</c:v>
                </c:pt>
                <c:pt idx="2">
                  <c:v>15</c:v>
                </c:pt>
                <c:pt idx="3">
                  <c:v>28</c:v>
                </c:pt>
                <c:pt idx="4">
                  <c:v>60</c:v>
                </c:pt>
                <c:pt idx="5">
                  <c:v>67</c:v>
                </c:pt>
                <c:pt idx="6">
                  <c:v>422</c:v>
                </c:pt>
                <c:pt idx="7">
                  <c:v>527</c:v>
                </c:pt>
                <c:pt idx="8">
                  <c:v>376</c:v>
                </c:pt>
                <c:pt idx="9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99-1D4F-B1B6-E0EC54CF6F77}"/>
            </c:ext>
          </c:extLst>
        </c:ser>
        <c:ser>
          <c:idx val="2"/>
          <c:order val="2"/>
          <c:tx>
            <c:strRef>
              <c:f>Sheet16!$D$3:$D$4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Sheet16!$A$5:$A$15</c:f>
              <c:strCache>
                <c:ptCount val="10"/>
                <c:pt idx="0">
                  <c:v>&lt;5/17/09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Sheet16!$D$5:$D$15</c:f>
              <c:numCache>
                <c:formatCode>General</c:formatCode>
                <c:ptCount val="10"/>
                <c:pt idx="9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99-1D4F-B1B6-E0EC54CF6F77}"/>
            </c:ext>
          </c:extLst>
        </c:ser>
        <c:ser>
          <c:idx val="3"/>
          <c:order val="3"/>
          <c:tx>
            <c:strRef>
              <c:f>Sheet16!$E$3:$E$4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Sheet16!$A$5:$A$15</c:f>
              <c:strCache>
                <c:ptCount val="10"/>
                <c:pt idx="0">
                  <c:v>&lt;5/17/09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Sheet16!$E$5:$E$15</c:f>
              <c:numCache>
                <c:formatCode>General</c:formatCode>
                <c:ptCount val="10"/>
                <c:pt idx="1">
                  <c:v>9</c:v>
                </c:pt>
                <c:pt idx="2">
                  <c:v>49</c:v>
                </c:pt>
                <c:pt idx="3">
                  <c:v>136</c:v>
                </c:pt>
                <c:pt idx="4">
                  <c:v>216</c:v>
                </c:pt>
                <c:pt idx="5">
                  <c:v>200</c:v>
                </c:pt>
                <c:pt idx="6">
                  <c:v>474</c:v>
                </c:pt>
                <c:pt idx="7">
                  <c:v>567</c:v>
                </c:pt>
                <c:pt idx="8">
                  <c:v>475</c:v>
                </c:pt>
                <c:pt idx="9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99-1D4F-B1B6-E0EC54CF6F77}"/>
            </c:ext>
          </c:extLst>
        </c:ser>
        <c:ser>
          <c:idx val="4"/>
          <c:order val="4"/>
          <c:tx>
            <c:strRef>
              <c:f>Sheet16!$F$3:$F$4</c:f>
              <c:strCache>
                <c:ptCount val="1"/>
                <c:pt idx="0">
                  <c:v>(blank)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Sheet16!$A$5:$A$15</c:f>
              <c:strCache>
                <c:ptCount val="10"/>
                <c:pt idx="0">
                  <c:v>&lt;5/17/09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Sheet16!$F$5:$F$15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99-1D4F-B1B6-E0EC54CF6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4019743"/>
        <c:axId val="2114020991"/>
      </c:lineChart>
      <c:catAx>
        <c:axId val="2114019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4020991"/>
        <c:crosses val="autoZero"/>
        <c:auto val="1"/>
        <c:lblAlgn val="ctr"/>
        <c:lblOffset val="100"/>
        <c:noMultiLvlLbl val="0"/>
      </c:catAx>
      <c:valAx>
        <c:axId val="211402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401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Tatoug Kamdem</dc:creator>
  <cp:keywords/>
  <dc:description/>
  <cp:lastModifiedBy>Airton Tatoug Kamdem</cp:lastModifiedBy>
  <cp:revision>1</cp:revision>
  <dcterms:created xsi:type="dcterms:W3CDTF">2018-10-27T14:11:00Z</dcterms:created>
  <dcterms:modified xsi:type="dcterms:W3CDTF">2018-10-27T14:28:00Z</dcterms:modified>
</cp:coreProperties>
</file>