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8FC41E0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AI &amp; ML </w:t>
      </w:r>
      <w:r w:rsidR="00722454">
        <w:rPr>
          <w:b/>
          <w:i/>
          <w:color w:val="101E40"/>
        </w:rPr>
        <w:t xml:space="preserve">Principal </w:t>
      </w:r>
      <w:r>
        <w:rPr>
          <w:b/>
          <w:i/>
          <w:color w:val="101E40"/>
        </w:rPr>
        <w:t>Leader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353375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4B304DF0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293A39">
        <w:rPr>
          <w:rFonts w:ascii="Calibri" w:hAnsi="Calibri" w:cs="Calibri"/>
          <w:sz w:val="22"/>
          <w:szCs w:val="20"/>
        </w:rPr>
        <w:t xml:space="preserve">solution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>A g</w:t>
      </w:r>
      <w:r w:rsidR="00C06DB2">
        <w:rPr>
          <w:rFonts w:ascii="Calibri" w:hAnsi="Calibri" w:cs="Calibri"/>
          <w:sz w:val="22"/>
          <w:szCs w:val="20"/>
        </w:rPr>
        <w:t xml:space="preserve">rowth-focused 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E2191">
        <w:rPr>
          <w:rFonts w:ascii="Calibri" w:hAnsi="Calibri" w:cs="Calibri"/>
          <w:sz w:val="22"/>
          <w:szCs w:val="20"/>
        </w:rPr>
        <w:t xml:space="preserve">on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</w:t>
      </w:r>
      <w:r w:rsidR="00293A39">
        <w:rPr>
          <w:rFonts w:ascii="Calibri" w:hAnsi="Calibri" w:cs="Calibri"/>
          <w:sz w:val="22"/>
          <w:szCs w:val="20"/>
        </w:rPr>
        <w:t xml:space="preserve">executing </w:t>
      </w:r>
      <w:r w:rsidR="00266AF4">
        <w:rPr>
          <w:rFonts w:ascii="Calibri" w:hAnsi="Calibri" w:cs="Calibri"/>
          <w:sz w:val="22"/>
          <w:szCs w:val="20"/>
        </w:rPr>
        <w:t xml:space="preserve">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053E9A">
        <w:rPr>
          <w:rFonts w:ascii="Calibri" w:hAnsi="Calibri" w:cs="Calibri"/>
          <w:sz w:val="22"/>
          <w:szCs w:val="20"/>
        </w:rPr>
        <w:t xml:space="preserve"> modeling</w:t>
      </w:r>
      <w:r w:rsidR="00044D5F">
        <w:rPr>
          <w:rFonts w:ascii="Calibri" w:hAnsi="Calibri" w:cs="Calibri"/>
          <w:sz w:val="22"/>
          <w:szCs w:val="20"/>
        </w:rPr>
        <w:t xml:space="preserve"> 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8B0FCB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3FC31D07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7EEB1121" w14:textId="0987808C" w:rsidR="00226D17" w:rsidRPr="00226D17" w:rsidRDefault="005068AF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</w:t>
      </w:r>
      <w:r w:rsidR="00E05480">
        <w:rPr>
          <w:rFonts w:ascii="Calibri" w:hAnsi="Calibri"/>
          <w:sz w:val="22"/>
        </w:rPr>
        <w:t>d</w:t>
      </w:r>
      <w:r w:rsidR="00626786">
        <w:rPr>
          <w:rFonts w:ascii="Calibri" w:hAnsi="Calibri"/>
          <w:sz w:val="22"/>
        </w:rPr>
        <w:t xml:space="preserve">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C70DC9">
        <w:rPr>
          <w:rFonts w:ascii="Calibri" w:hAnsi="Calibri"/>
          <w:sz w:val="22"/>
        </w:rPr>
        <w:t xml:space="preserve">multi-label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 xml:space="preserve">incorporating </w:t>
      </w:r>
      <w:r>
        <w:rPr>
          <w:rFonts w:ascii="Calibri" w:hAnsi="Calibri"/>
          <w:sz w:val="22"/>
        </w:rPr>
        <w:t xml:space="preserve">NER, </w:t>
      </w:r>
      <w:r w:rsidR="00626786">
        <w:rPr>
          <w:rFonts w:ascii="Calibri" w:hAnsi="Calibri"/>
          <w:sz w:val="22"/>
        </w:rPr>
        <w:t>coreference resolution</w:t>
      </w:r>
      <w:r>
        <w:rPr>
          <w:rFonts w:ascii="Calibri" w:hAnsi="Calibri"/>
          <w:sz w:val="22"/>
        </w:rPr>
        <w:t xml:space="preserve">, and </w:t>
      </w:r>
      <w:r w:rsidR="00626786">
        <w:rPr>
          <w:rFonts w:ascii="Calibri" w:hAnsi="Calibri"/>
          <w:sz w:val="22"/>
        </w:rPr>
        <w:t xml:space="preserve">semantic matching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 xml:space="preserve">mortgage loan claims, legal case briefs, and police misconduct allegation </w:t>
      </w:r>
      <w:r w:rsidR="000D53D6">
        <w:rPr>
          <w:rFonts w:ascii="Calibri" w:hAnsi="Calibri"/>
          <w:sz w:val="22"/>
        </w:rPr>
        <w:t xml:space="preserve">client use cases </w:t>
      </w:r>
      <w:r w:rsidR="000C4FCE">
        <w:rPr>
          <w:rFonts w:ascii="Calibri" w:hAnsi="Calibri"/>
          <w:sz w:val="22"/>
        </w:rPr>
        <w:t xml:space="preserve"> </w:t>
      </w:r>
    </w:p>
    <w:p w14:paraId="65E79ED5" w14:textId="68C8A0A1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 w:rsidR="002433FD">
        <w:rPr>
          <w:rFonts w:ascii="Calibri" w:hAnsi="Calibri"/>
          <w:sz w:val="22"/>
        </w:rPr>
        <w:t xml:space="preserve">global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>inventory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2054D28B" w14:textId="190C983D" w:rsidR="006E5BC3" w:rsidRPr="00F22CEC" w:rsidRDefault="00F85F92" w:rsidP="00F22CE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6E09B30D" w14:textId="77777777" w:rsidR="005F5A1B" w:rsidRDefault="005F5A1B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4E5889C" w14:textId="1D80B76E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22F6CC3C" w14:textId="77777777" w:rsidR="00D1031A" w:rsidRDefault="00D1031A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br w:type="page"/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23AC7576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062B4E2B" w14:textId="195D4A3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2826046A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2718F5">
        <w:rPr>
          <w:rFonts w:ascii="Calibri" w:hAnsi="Calibri" w:cs="Calibri"/>
          <w:iCs/>
          <w:sz w:val="22"/>
          <w:szCs w:val="22"/>
        </w:rPr>
        <w:t xml:space="preserve">Spark NLP, </w:t>
      </w:r>
      <w:r>
        <w:rPr>
          <w:rFonts w:ascii="Calibri" w:hAnsi="Calibri" w:cs="Calibri"/>
          <w:iCs/>
          <w:sz w:val="22"/>
          <w:szCs w:val="22"/>
        </w:rPr>
        <w:t>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140631">
      <w:type w:val="continuous"/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122C"/>
    <w:rsid w:val="00091A8D"/>
    <w:rsid w:val="00094EC8"/>
    <w:rsid w:val="000952CA"/>
    <w:rsid w:val="00097104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454BF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1EE8"/>
    <w:rsid w:val="00722454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2E4A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E7B11"/>
    <w:rsid w:val="008F1AE4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3EAF"/>
    <w:rsid w:val="00E05480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001B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3</Pages>
  <Words>1370</Words>
  <Characters>9047</Characters>
  <Application>Microsoft Office Word</Application>
  <DocSecurity>0</DocSecurity>
  <Lines>139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573</cp:revision>
  <cp:lastPrinted>2019-12-11T06:31:00Z</cp:lastPrinted>
  <dcterms:created xsi:type="dcterms:W3CDTF">2018-04-28T13:27:00Z</dcterms:created>
  <dcterms:modified xsi:type="dcterms:W3CDTF">2020-07-14T22:39:00Z</dcterms:modified>
</cp:coreProperties>
</file>