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FF378E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240E1FC2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Machine </w:t>
      </w:r>
      <w:r w:rsidR="003F6683">
        <w:rPr>
          <w:rFonts w:ascii="Calibri" w:hAnsi="Calibri" w:cs="Calibri"/>
          <w:iCs/>
          <w:sz w:val="22"/>
          <w:szCs w:val="20"/>
        </w:rPr>
        <w:t>Learning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A704CB">
        <w:rPr>
          <w:rFonts w:ascii="Calibri" w:hAnsi="Calibri" w:cs="Calibri"/>
          <w:iCs/>
          <w:sz w:val="22"/>
          <w:szCs w:val="20"/>
        </w:rPr>
        <w:t>and Data centric 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 xml:space="preserve">aligning technology delivery with business strategy and initiatives, and expressing </w:t>
      </w:r>
      <w:r w:rsidR="00F82B0B">
        <w:rPr>
          <w:rFonts w:ascii="Calibri" w:hAnsi="Calibri" w:cs="Calibri"/>
          <w:sz w:val="22"/>
          <w:szCs w:val="20"/>
        </w:rPr>
        <w:t>compelling</w:t>
      </w:r>
      <w:r>
        <w:rPr>
          <w:rFonts w:ascii="Calibri" w:hAnsi="Calibri" w:cs="Calibri"/>
          <w:sz w:val="22"/>
          <w:szCs w:val="20"/>
        </w:rPr>
        <w:t xml:space="preserve"> narratives.  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F82B0B">
        <w:rPr>
          <w:rFonts w:ascii="Calibri" w:hAnsi="Calibri" w:cs="Calibri"/>
          <w:sz w:val="22"/>
          <w:szCs w:val="20"/>
        </w:rPr>
        <w:t>and infrastructure</w:t>
      </w:r>
      <w:r w:rsidR="00A704CB">
        <w:rPr>
          <w:rFonts w:ascii="Calibri" w:hAnsi="Calibri" w:cs="Calibri"/>
          <w:sz w:val="22"/>
          <w:szCs w:val="20"/>
        </w:rPr>
        <w:t xml:space="preserve"> </w:t>
      </w:r>
      <w:r>
        <w:rPr>
          <w:rFonts w:ascii="Calibri" w:hAnsi="Calibri" w:cs="Calibri"/>
          <w:sz w:val="22"/>
          <w:szCs w:val="20"/>
        </w:rPr>
        <w:t>product development, client relationship management, and cross-functional team leadership.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industries </w:t>
      </w:r>
      <w:r w:rsidR="00F82B0B">
        <w:rPr>
          <w:rFonts w:ascii="Calibri" w:hAnsi="Calibri" w:cs="Calibri"/>
          <w:sz w:val="22"/>
          <w:szCs w:val="20"/>
        </w:rPr>
        <w:t xml:space="preserve">in </w:t>
      </w:r>
      <w:r w:rsidR="00266AF4">
        <w:rPr>
          <w:rFonts w:ascii="Calibri" w:hAnsi="Calibri" w:cs="Calibri"/>
          <w:sz w:val="22"/>
          <w:szCs w:val="20"/>
        </w:rPr>
        <w:t xml:space="preserve">Natural Language,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23E11799" w14:textId="3D5A1436" w:rsidR="007478E8" w:rsidRDefault="007478E8" w:rsidP="00D72983">
      <w:pPr>
        <w:rPr>
          <w:rFonts w:ascii="Calibri" w:hAnsi="Calibri"/>
          <w:sz w:val="22"/>
        </w:rPr>
      </w:pPr>
      <w:r w:rsidRPr="00404F34">
        <w:rPr>
          <w:rFonts w:ascii="Calibri" w:hAnsi="Calibri"/>
          <w:sz w:val="22"/>
          <w:u w:val="single"/>
        </w:rPr>
        <w:t>Sample Clients:</w:t>
      </w:r>
      <w:r>
        <w:rPr>
          <w:rFonts w:ascii="Calibri" w:hAnsi="Calibri"/>
          <w:sz w:val="22"/>
        </w:rPr>
        <w:t xml:space="preserve"> ExxonMobil, Planet Fitness, McKinsey &amp; Co, Verizon Security, Mango, Humana, MCG Innovation</w:t>
      </w:r>
    </w:p>
    <w:p w14:paraId="7FA1C1BB" w14:textId="137A4E4A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hape portfolio offerings and capabilities in machine intelligent </w:t>
      </w:r>
      <w:r>
        <w:rPr>
          <w:rFonts w:ascii="Calibri" w:hAnsi="Calibri"/>
          <w:sz w:val="22"/>
        </w:rPr>
        <w:t>solutions</w:t>
      </w:r>
      <w:r>
        <w:rPr>
          <w:rFonts w:ascii="Calibri" w:hAnsi="Calibri"/>
          <w:sz w:val="22"/>
        </w:rPr>
        <w:t xml:space="preserve"> and infrastructure</w:t>
      </w:r>
      <w:r>
        <w:rPr>
          <w:rFonts w:ascii="Calibri" w:hAnsi="Calibri"/>
          <w:sz w:val="22"/>
        </w:rPr>
        <w:t xml:space="preserve">, accelerate business opportunities and early-stage demand 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deliverables that scale. </w:t>
      </w:r>
      <w:r w:rsidR="007C4BB1">
        <w:rPr>
          <w:rFonts w:ascii="Calibri" w:hAnsi="Calibri"/>
          <w:sz w:val="22"/>
        </w:rPr>
        <w:t xml:space="preserve">Translate business expectations from </w:t>
      </w:r>
      <w:r w:rsidR="00CC3D6D">
        <w:rPr>
          <w:rFonts w:ascii="Calibri" w:hAnsi="Calibri"/>
          <w:sz w:val="22"/>
        </w:rPr>
        <w:t>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</w:t>
      </w:r>
      <w:r w:rsidR="007C4BB1">
        <w:rPr>
          <w:rFonts w:ascii="Calibri" w:hAnsi="Calibri"/>
          <w:sz w:val="22"/>
        </w:rPr>
        <w:t>outcomes</w:t>
      </w:r>
      <w:r w:rsidR="007478E8">
        <w:rPr>
          <w:rFonts w:ascii="Calibri" w:hAnsi="Calibri"/>
          <w:sz w:val="22"/>
        </w:rPr>
        <w:t xml:space="preserve"> and decisions.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6069A8C7" w14:textId="0EBA33E8" w:rsidR="007478E8" w:rsidRP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the development </w:t>
      </w:r>
      <w:r w:rsidR="00C46793">
        <w:rPr>
          <w:rFonts w:ascii="Calibri" w:hAnsi="Calibri"/>
          <w:sz w:val="22"/>
        </w:rPr>
        <w:t>in</w:t>
      </w:r>
      <w:r>
        <w:rPr>
          <w:rFonts w:ascii="Calibri" w:hAnsi="Calibri"/>
          <w:sz w:val="22"/>
        </w:rPr>
        <w:t xml:space="preserve"> improving contextual machine intelligence solutions per Natural Language Processing (NLP) use cases such as contextual enterprise search, document classification</w:t>
      </w:r>
      <w:r w:rsidR="00C46793"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</w:t>
      </w:r>
      <w:r w:rsidR="00C46793">
        <w:rPr>
          <w:rFonts w:ascii="Calibri" w:hAnsi="Calibri"/>
          <w:sz w:val="22"/>
        </w:rPr>
        <w:t>&amp; entity recognition</w:t>
      </w:r>
      <w:r w:rsidR="003F6683">
        <w:rPr>
          <w:rFonts w:ascii="Calibri" w:hAnsi="Calibri"/>
          <w:sz w:val="22"/>
        </w:rPr>
        <w:t>,</w:t>
      </w:r>
      <w:r w:rsidR="00C46793">
        <w:rPr>
          <w:rFonts w:ascii="Calibri" w:hAnsi="Calibri"/>
          <w:sz w:val="22"/>
        </w:rPr>
        <w:t xml:space="preserve"> including </w:t>
      </w:r>
      <w:r>
        <w:rPr>
          <w:rFonts w:ascii="Calibri" w:hAnsi="Calibri"/>
          <w:sz w:val="22"/>
        </w:rPr>
        <w:t>content governance</w:t>
      </w:r>
      <w:r w:rsidR="00C46793">
        <w:rPr>
          <w:rFonts w:ascii="Calibri" w:hAnsi="Calibri"/>
          <w:sz w:val="22"/>
        </w:rPr>
        <w:t xml:space="preserve"> </w:t>
      </w:r>
      <w:r w:rsidR="003F6683">
        <w:rPr>
          <w:rFonts w:ascii="Calibri" w:hAnsi="Calibri"/>
          <w:sz w:val="22"/>
        </w:rPr>
        <w:t xml:space="preserve">collaboration for </w:t>
      </w:r>
      <w:r>
        <w:rPr>
          <w:rFonts w:ascii="Calibri" w:hAnsi="Calibri"/>
          <w:sz w:val="22"/>
        </w:rPr>
        <w:t xml:space="preserve">continuous high-fidelity training data </w:t>
      </w:r>
      <w:r w:rsidR="003F6683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model analysis</w:t>
      </w:r>
    </w:p>
    <w:p w14:paraId="5F899ACF" w14:textId="59274F81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Co-develop numerous discovery client strategy workshops, guide technical assessments in client acquisitions, followed by delivery engagements, aligning technical delivery with customer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2300931F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>Learning (</w:t>
      </w:r>
      <w:r w:rsidR="009322B7">
        <w:rPr>
          <w:rFonts w:ascii="Calibri" w:hAnsi="Calibri"/>
          <w:sz w:val="22"/>
        </w:rPr>
        <w:t xml:space="preserve">RLlib,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D72983"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71B212CC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 and technical solution architecture client partnership engagements to improve product development and industry technology adoption of Deep Learning based solutions</w:t>
      </w:r>
    </w:p>
    <w:p w14:paraId="3A5EFC29" w14:textId="42A24CC1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customer feasibility studies and POCs per industrial automotive computer vision multimodal welding detection, </w:t>
      </w:r>
      <w:r w:rsidR="009322B7">
        <w:rPr>
          <w:rFonts w:ascii="Calibri" w:hAnsi="Calibri"/>
          <w:sz w:val="22"/>
        </w:rPr>
        <w:t xml:space="preserve">high cardinality NLP models via BERT, and </w:t>
      </w:r>
      <w:r>
        <w:rPr>
          <w:rFonts w:ascii="Calibri" w:hAnsi="Calibri"/>
          <w:sz w:val="22"/>
        </w:rPr>
        <w:t xml:space="preserve">SKIL </w:t>
      </w:r>
      <w:r w:rsidR="00404F34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Model Serving</w:t>
      </w:r>
      <w:r w:rsidR="00404F34">
        <w:rPr>
          <w:rFonts w:ascii="Calibri" w:hAnsi="Calibri"/>
          <w:sz w:val="22"/>
        </w:rPr>
        <w:t xml:space="preserve"> (</w:t>
      </w:r>
      <w:r w:rsidR="009322B7">
        <w:rPr>
          <w:rFonts w:ascii="Calibri" w:hAnsi="Calibri"/>
          <w:sz w:val="22"/>
        </w:rPr>
        <w:t>TF</w:t>
      </w:r>
      <w:r w:rsidR="00404F34">
        <w:rPr>
          <w:rFonts w:ascii="Calibri" w:hAnsi="Calibri"/>
          <w:sz w:val="22"/>
        </w:rPr>
        <w:t xml:space="preserve">, </w:t>
      </w:r>
      <w:r w:rsidR="00123993">
        <w:rPr>
          <w:rFonts w:ascii="Calibri" w:hAnsi="Calibri"/>
          <w:sz w:val="22"/>
        </w:rPr>
        <w:t xml:space="preserve">Keras, </w:t>
      </w:r>
      <w:r w:rsidR="00404F34">
        <w:rPr>
          <w:rFonts w:ascii="Calibri" w:hAnsi="Calibri"/>
          <w:sz w:val="22"/>
        </w:rPr>
        <w:t>DL4J, ONNX)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42EDE197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</w:t>
      </w:r>
      <w:r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24E7F9D6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</w:p>
    <w:p w14:paraId="2E152BEF" w14:textId="37B935F8" w:rsidR="00D72983" w:rsidRPr="00404F34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367F4644" w14:textId="77777777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lastRenderedPageBreak/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19F3CE98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Python, Scala, Java, R, SQL, C, C++, JS, D3, Node, 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621BD1BA" w:rsidR="00530785" w:rsidRP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Sklearn</w:t>
            </w:r>
            <w:r w:rsidR="00530785">
              <w:rPr>
                <w:sz w:val="22"/>
                <w:szCs w:val="22"/>
              </w:rPr>
              <w:t>, Spacy, NLTK, Gensim, OpenCV, H20</w:t>
            </w:r>
            <w:r>
              <w:rPr>
                <w:sz w:val="22"/>
                <w:szCs w:val="22"/>
              </w:rPr>
              <w:t>, Anaconda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095AC6A6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Jupyter, 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1E5FDEB4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544CC8FA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 xml:space="preserve">Maven, SBT, </w:t>
            </w:r>
            <w:r>
              <w:rPr>
                <w:sz w:val="22"/>
                <w:szCs w:val="22"/>
              </w:rPr>
              <w:t xml:space="preserve">CMake,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 Docker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 xml:space="preserve">, </w:t>
            </w:r>
            <w:r w:rsidR="00144F0C">
              <w:rPr>
                <w:sz w:val="22"/>
                <w:szCs w:val="22"/>
              </w:rPr>
              <w:t>Prometheus</w:t>
            </w:r>
          </w:p>
        </w:tc>
        <w:bookmarkStart w:id="0" w:name="_GoBack"/>
        <w:bookmarkEnd w:id="0"/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32853A68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15BB"/>
    <w:rsid w:val="00303AB3"/>
    <w:rsid w:val="00305B16"/>
    <w:rsid w:val="00311711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0744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22B7"/>
    <w:rsid w:val="00933311"/>
    <w:rsid w:val="00934252"/>
    <w:rsid w:val="009346F1"/>
    <w:rsid w:val="009379B0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1FB3"/>
    <w:rsid w:val="009D24A1"/>
    <w:rsid w:val="009D7705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648D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14DA0-0872-8740-8B92-03B7C0F4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171</cp:revision>
  <cp:lastPrinted>2018-04-28T13:27:00Z</cp:lastPrinted>
  <dcterms:created xsi:type="dcterms:W3CDTF">2018-04-28T13:27:00Z</dcterms:created>
  <dcterms:modified xsi:type="dcterms:W3CDTF">2019-10-21T17:14:00Z</dcterms:modified>
</cp:coreProperties>
</file>