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 w:before="0"/>
        <w:jc w:val="center"/>
      </w:pPr>
      <w:r>
        <w:rPr>
          <w:rFonts w:ascii="Arial" w:cs="Arial" w:eastAsia="Arial" w:hAnsi="Arial"/>
          <w:b/>
          <w:bCs/>
          <w:color w:val="2E75B6"/>
          <w:spacing w:val="300"/>
          <w:sz w:val="28"/>
          <w:szCs w:val="28"/>
        </w:rPr>
        <w:t xml:space="preserve">PROJECT REPORT</w:t>
      </w:r>
    </w:p>
    <w:p>
      <w:pPr>
        <w:pBdr>
          <w:bottom w:val="single" w:color="C9A227" w:sz="12" w:space="4"/>
        </w:pBdr>
        <w:spacing w:after="60" w:before="0"/>
        <w:jc w:val="center"/>
      </w:pPr>
    </w:p>
    <w:p>
      <w:pPr>
        <w:spacing w:after="0" w:before="80"/>
      </w:pPr>
    </w:p>
    <w:p>
      <w:pPr>
        <w:spacing w:after="40" w:before="0"/>
        <w:jc w:val="center"/>
      </w:pPr>
      <w:r>
        <w:rPr>
          <w:rFonts w:ascii="Arial" w:cs="Arial" w:eastAsia="Arial" w:hAnsi="Arial"/>
          <w:b/>
          <w:bCs/>
          <w:color w:val="1F3864"/>
          <w:sz w:val="52"/>
          <w:szCs w:val="52"/>
        </w:rPr>
        <w:t xml:space="preserve">RECORD-TO-REPORT (R2R)</w:t>
      </w:r>
    </w:p>
    <w:p>
      <w:pPr>
        <w:spacing w:after="80" w:before="0"/>
        <w:jc w:val="center"/>
      </w:pPr>
      <w:r>
        <w:rPr>
          <w:rFonts w:ascii="Arial" w:cs="Arial" w:eastAsia="Arial" w:hAnsi="Arial"/>
          <w:b w:val="false"/>
          <w:bCs w:val="false"/>
          <w:color w:val="2E75B6"/>
          <w:sz w:val="36"/>
          <w:szCs w:val="36"/>
        </w:rPr>
        <w:t xml:space="preserve">Month-End / Year-End Financial Close</w:t>
      </w:r>
    </w:p>
    <w:p>
      <w:pPr>
        <w:pBdr>
          <w:bottom w:val="single" w:color="D6E4F0" w:sz="4" w:space="2"/>
        </w:pBdr>
        <w:spacing w:after="80" w:before="80"/>
        <w:jc w:val="center"/>
      </w:pPr>
      <w:r>
        <w:rPr>
          <w:rFonts w:ascii="Arial" w:cs="Arial" w:eastAsia="Arial" w:hAnsi="Arial"/>
          <w:i/>
          <w:iCs/>
          <w:color w:val="555555"/>
          <w:sz w:val="26"/>
          <w:szCs w:val="26"/>
        </w:rPr>
        <w:t xml:space="preserve">End-to-End Process Documentation &amp; Step-by-Step Guide</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Submitted By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Akancha Khaitan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Branch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Information Technology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Roll Number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2306178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Subject / Course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SAP Data Analytics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Specialization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Finance &amp; Accounting – R2R Domain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Date of Submission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19 April 2026</w:t>
            </w:r>
          </w:p>
        </w:tc>
      </w:tr>
    </w:tbl>
    <w:p>
      <w:pPr>
        <w:spacing w:after="0" w:before="600"/>
      </w:pPr>
    </w:p>
    <w:p>
      <w:pPr>
        <w:jc w:val="center"/>
      </w:pPr>
      <w:r>
        <w:rPr>
          <w:rFonts w:ascii="Arial" w:cs="Arial" w:eastAsia="Arial" w:hAnsi="Arial"/>
          <w:color w:val="999999"/>
          <w:spacing w:val="100"/>
          <w:sz w:val="18"/>
          <w:szCs w:val="18"/>
        </w:rPr>
        <w:t xml:space="preserve">CONFIDENTIAL — FOR ACADEMIC SUBMISSION ONLY</w:t>
      </w:r>
    </w:p>
    <w:p>
      <w:r>
        <w:br w:type="page"/>
      </w:r>
    </w:p>
    <w:p>
      <w:pPr>
        <w:pStyle w:val="Heading1"/>
        <w:pBdr>
          <w:bottom w:val="single" w:color="2E75B6" w:sz="6" w:space="1"/>
        </w:pBdr>
        <w:spacing w:after="120" w:before="360"/>
      </w:pPr>
      <w:r>
        <w:rPr>
          <w:rFonts w:ascii="Arial" w:cs="Arial" w:eastAsia="Arial" w:hAnsi="Arial"/>
          <w:b/>
          <w:bCs/>
          <w:color w:val="1F3864"/>
          <w:sz w:val="36"/>
          <w:szCs w:val="36"/>
        </w:rPr>
        <w:t xml:space="preserve">Table of Contents</w:t>
      </w:r>
    </w:p>
    <w:p>
      <w:pPr>
        <w:spacing w:after="0" w:before="40"/>
      </w:pPr>
    </w:p>
    <w:p>
      <w:pPr>
        <w:tabs>
          <w:tab w:val="right" w:pos="8800"/>
        </w:tabs>
        <w:spacing w:after="60" w:before="60"/>
      </w:pPr>
      <w:r>
        <w:rPr>
          <w:rFonts w:ascii="Arial" w:cs="Arial" w:eastAsia="Arial" w:hAnsi="Arial"/>
          <w:color w:val="1A1A2E"/>
          <w:sz w:val="22"/>
          <w:szCs w:val="22"/>
        </w:rPr>
        <w:t xml:space="preserve">1.  Executive Summary</w:t>
      </w:r>
      <w:r>
        <w:rPr>
          <w:rFonts w:ascii="Arial" w:cs="Arial" w:eastAsia="Arial" w:hAnsi="Arial"/>
          <w:b/>
          <w:bCs/>
          <w:color w:val="2E75B6"/>
          <w:sz w:val="22"/>
          <w:szCs w:val="22"/>
        </w:rPr>
        <w:t xml:space="preserve">	3</w:t>
      </w:r>
    </w:p>
    <w:p>
      <w:pPr>
        <w:tabs>
          <w:tab w:val="right" w:pos="8800"/>
        </w:tabs>
        <w:spacing w:after="60" w:before="60"/>
      </w:pPr>
      <w:r>
        <w:rPr>
          <w:rFonts w:ascii="Arial" w:cs="Arial" w:eastAsia="Arial" w:hAnsi="Arial"/>
          <w:color w:val="1A1A2E"/>
          <w:sz w:val="22"/>
          <w:szCs w:val="22"/>
        </w:rPr>
        <w:t xml:space="preserve">2.  Introduction to Record-to-Report (R2R)</w:t>
      </w:r>
      <w:r>
        <w:rPr>
          <w:rFonts w:ascii="Arial" w:cs="Arial" w:eastAsia="Arial" w:hAnsi="Arial"/>
          <w:b/>
          <w:bCs/>
          <w:color w:val="2E75B6"/>
          <w:sz w:val="22"/>
          <w:szCs w:val="22"/>
        </w:rPr>
        <w:t xml:space="preserve">	3</w:t>
      </w:r>
    </w:p>
    <w:p>
      <w:pPr>
        <w:tabs>
          <w:tab w:val="right" w:pos="8800"/>
        </w:tabs>
        <w:spacing w:after="60" w:before="60"/>
      </w:pPr>
      <w:r>
        <w:rPr>
          <w:rFonts w:ascii="Arial" w:cs="Arial" w:eastAsia="Arial" w:hAnsi="Arial"/>
          <w:color w:val="1A1A2E"/>
          <w:sz w:val="22"/>
          <w:szCs w:val="22"/>
        </w:rPr>
        <w:t xml:space="preserve">3.  R2R Process Overview &amp; Objectives</w:t>
      </w:r>
      <w:r>
        <w:rPr>
          <w:rFonts w:ascii="Arial" w:cs="Arial" w:eastAsia="Arial" w:hAnsi="Arial"/>
          <w:b/>
          <w:bCs/>
          <w:color w:val="2E75B6"/>
          <w:sz w:val="22"/>
          <w:szCs w:val="22"/>
        </w:rPr>
        <w:t xml:space="preserve">	4</w:t>
      </w:r>
    </w:p>
    <w:p>
      <w:pPr>
        <w:tabs>
          <w:tab w:val="right" w:pos="8800"/>
        </w:tabs>
        <w:spacing w:after="60" w:before="60"/>
      </w:pPr>
      <w:r>
        <w:rPr>
          <w:rFonts w:ascii="Arial" w:cs="Arial" w:eastAsia="Arial" w:hAnsi="Arial"/>
          <w:color w:val="1A1A2E"/>
          <w:sz w:val="22"/>
          <w:szCs w:val="22"/>
        </w:rPr>
        <w:t xml:space="preserve">4.  Key Stakeholders &amp; Roles</w:t>
      </w:r>
      <w:r>
        <w:rPr>
          <w:rFonts w:ascii="Arial" w:cs="Arial" w:eastAsia="Arial" w:hAnsi="Arial"/>
          <w:b/>
          <w:bCs/>
          <w:color w:val="2E75B6"/>
          <w:sz w:val="22"/>
          <w:szCs w:val="22"/>
        </w:rPr>
        <w:t xml:space="preserve">	4</w:t>
      </w:r>
    </w:p>
    <w:p>
      <w:pPr>
        <w:tabs>
          <w:tab w:val="right" w:pos="8800"/>
        </w:tabs>
        <w:spacing w:after="60" w:before="60"/>
      </w:pPr>
      <w:r>
        <w:rPr>
          <w:rFonts w:ascii="Arial" w:cs="Arial" w:eastAsia="Arial" w:hAnsi="Arial"/>
          <w:color w:val="1A1A2E"/>
          <w:sz w:val="22"/>
          <w:szCs w:val="22"/>
        </w:rPr>
        <w:t xml:space="preserve">5.  Step-by-Step R2R Process — Month-End Close</w:t>
      </w:r>
      <w:r>
        <w:rPr>
          <w:rFonts w:ascii="Arial" w:cs="Arial" w:eastAsia="Arial" w:hAnsi="Arial"/>
          <w:b/>
          <w:bCs/>
          <w:color w:val="2E75B6"/>
          <w:sz w:val="22"/>
          <w:szCs w:val="22"/>
        </w:rPr>
        <w:t xml:space="preserve">	5</w:t>
      </w:r>
    </w:p>
    <w:p>
      <w:pPr>
        <w:tabs>
          <w:tab w:val="right" w:pos="8800"/>
        </w:tabs>
        <w:spacing w:after="60" w:before="60"/>
      </w:pPr>
      <w:r>
        <w:rPr>
          <w:rFonts w:ascii="Arial" w:cs="Arial" w:eastAsia="Arial" w:hAnsi="Arial"/>
          <w:color w:val="1A1A2E"/>
          <w:sz w:val="22"/>
          <w:szCs w:val="22"/>
        </w:rPr>
        <w:t xml:space="preserve">   5.1  Pre-Close Preparation</w:t>
      </w:r>
      <w:r>
        <w:rPr>
          <w:rFonts w:ascii="Arial" w:cs="Arial" w:eastAsia="Arial" w:hAnsi="Arial"/>
          <w:b/>
          <w:bCs/>
          <w:color w:val="2E75B6"/>
          <w:sz w:val="22"/>
          <w:szCs w:val="22"/>
        </w:rPr>
        <w:t xml:space="preserve">	5</w:t>
      </w:r>
    </w:p>
    <w:p>
      <w:pPr>
        <w:tabs>
          <w:tab w:val="right" w:pos="8800"/>
        </w:tabs>
        <w:spacing w:after="60" w:before="60"/>
      </w:pPr>
      <w:r>
        <w:rPr>
          <w:rFonts w:ascii="Arial" w:cs="Arial" w:eastAsia="Arial" w:hAnsi="Arial"/>
          <w:color w:val="1A1A2E"/>
          <w:sz w:val="22"/>
          <w:szCs w:val="22"/>
        </w:rPr>
        <w:t xml:space="preserve">   5.2  Transaction Processing &amp; Sub-Ledger Close</w:t>
      </w:r>
      <w:r>
        <w:rPr>
          <w:rFonts w:ascii="Arial" w:cs="Arial" w:eastAsia="Arial" w:hAnsi="Arial"/>
          <w:b/>
          <w:bCs/>
          <w:color w:val="2E75B6"/>
          <w:sz w:val="22"/>
          <w:szCs w:val="22"/>
        </w:rPr>
        <w:t xml:space="preserve">	5</w:t>
      </w:r>
    </w:p>
    <w:p>
      <w:pPr>
        <w:tabs>
          <w:tab w:val="right" w:pos="8800"/>
        </w:tabs>
        <w:spacing w:after="60" w:before="60"/>
      </w:pPr>
      <w:r>
        <w:rPr>
          <w:rFonts w:ascii="Arial" w:cs="Arial" w:eastAsia="Arial" w:hAnsi="Arial"/>
          <w:color w:val="1A1A2E"/>
          <w:sz w:val="22"/>
          <w:szCs w:val="22"/>
        </w:rPr>
        <w:t xml:space="preserve">   5.3  General Ledger Activities</w:t>
      </w:r>
      <w:r>
        <w:rPr>
          <w:rFonts w:ascii="Arial" w:cs="Arial" w:eastAsia="Arial" w:hAnsi="Arial"/>
          <w:b/>
          <w:bCs/>
          <w:color w:val="2E75B6"/>
          <w:sz w:val="22"/>
          <w:szCs w:val="22"/>
        </w:rPr>
        <w:t xml:space="preserve">	6</w:t>
      </w:r>
    </w:p>
    <w:p>
      <w:pPr>
        <w:tabs>
          <w:tab w:val="right" w:pos="8800"/>
        </w:tabs>
        <w:spacing w:after="60" w:before="60"/>
      </w:pPr>
      <w:r>
        <w:rPr>
          <w:rFonts w:ascii="Arial" w:cs="Arial" w:eastAsia="Arial" w:hAnsi="Arial"/>
          <w:color w:val="1A1A2E"/>
          <w:sz w:val="22"/>
          <w:szCs w:val="22"/>
        </w:rPr>
        <w:t xml:space="preserve">   5.4  Reconciliations &amp; Adjustments</w:t>
      </w:r>
      <w:r>
        <w:rPr>
          <w:rFonts w:ascii="Arial" w:cs="Arial" w:eastAsia="Arial" w:hAnsi="Arial"/>
          <w:b/>
          <w:bCs/>
          <w:color w:val="2E75B6"/>
          <w:sz w:val="22"/>
          <w:szCs w:val="22"/>
        </w:rPr>
        <w:t xml:space="preserve">	6</w:t>
      </w:r>
    </w:p>
    <w:p>
      <w:pPr>
        <w:tabs>
          <w:tab w:val="right" w:pos="8800"/>
        </w:tabs>
        <w:spacing w:after="60" w:before="60"/>
      </w:pPr>
      <w:r>
        <w:rPr>
          <w:rFonts w:ascii="Arial" w:cs="Arial" w:eastAsia="Arial" w:hAnsi="Arial"/>
          <w:color w:val="1A1A2E"/>
          <w:sz w:val="22"/>
          <w:szCs w:val="22"/>
        </w:rPr>
        <w:t xml:space="preserve">   5.5  Financial Reporting &amp; Review</w:t>
      </w:r>
      <w:r>
        <w:rPr>
          <w:rFonts w:ascii="Arial" w:cs="Arial" w:eastAsia="Arial" w:hAnsi="Arial"/>
          <w:b/>
          <w:bCs/>
          <w:color w:val="2E75B6"/>
          <w:sz w:val="22"/>
          <w:szCs w:val="22"/>
        </w:rPr>
        <w:t xml:space="preserve">	7</w:t>
      </w:r>
    </w:p>
    <w:p>
      <w:pPr>
        <w:tabs>
          <w:tab w:val="right" w:pos="8800"/>
        </w:tabs>
        <w:spacing w:after="60" w:before="60"/>
      </w:pPr>
      <w:r>
        <w:rPr>
          <w:rFonts w:ascii="Arial" w:cs="Arial" w:eastAsia="Arial" w:hAnsi="Arial"/>
          <w:color w:val="1A1A2E"/>
          <w:sz w:val="22"/>
          <w:szCs w:val="22"/>
        </w:rPr>
        <w:t xml:space="preserve">   5.6  Close Sign-Off &amp; Lock</w:t>
      </w:r>
      <w:r>
        <w:rPr>
          <w:rFonts w:ascii="Arial" w:cs="Arial" w:eastAsia="Arial" w:hAnsi="Arial"/>
          <w:b/>
          <w:bCs/>
          <w:color w:val="2E75B6"/>
          <w:sz w:val="22"/>
          <w:szCs w:val="22"/>
        </w:rPr>
        <w:t xml:space="preserve">	7</w:t>
      </w:r>
    </w:p>
    <w:p>
      <w:pPr>
        <w:tabs>
          <w:tab w:val="right" w:pos="8800"/>
        </w:tabs>
        <w:spacing w:after="60" w:before="60"/>
      </w:pPr>
      <w:r>
        <w:rPr>
          <w:rFonts w:ascii="Arial" w:cs="Arial" w:eastAsia="Arial" w:hAnsi="Arial"/>
          <w:color w:val="1A1A2E"/>
          <w:sz w:val="22"/>
          <w:szCs w:val="22"/>
        </w:rPr>
        <w:t xml:space="preserve">6.  Year-End Close — Additional Steps</w:t>
      </w:r>
      <w:r>
        <w:rPr>
          <w:rFonts w:ascii="Arial" w:cs="Arial" w:eastAsia="Arial" w:hAnsi="Arial"/>
          <w:b/>
          <w:bCs/>
          <w:color w:val="2E75B6"/>
          <w:sz w:val="22"/>
          <w:szCs w:val="22"/>
        </w:rPr>
        <w:t xml:space="preserve">	8</w:t>
      </w:r>
    </w:p>
    <w:p>
      <w:pPr>
        <w:tabs>
          <w:tab w:val="right" w:pos="8800"/>
        </w:tabs>
        <w:spacing w:after="60" w:before="60"/>
      </w:pPr>
      <w:r>
        <w:rPr>
          <w:rFonts w:ascii="Arial" w:cs="Arial" w:eastAsia="Arial" w:hAnsi="Arial"/>
          <w:color w:val="1A1A2E"/>
          <w:sz w:val="22"/>
          <w:szCs w:val="22"/>
        </w:rPr>
        <w:t xml:space="preserve">7.  Key Controls &amp; Risk Areas</w:t>
      </w:r>
      <w:r>
        <w:rPr>
          <w:rFonts w:ascii="Arial" w:cs="Arial" w:eastAsia="Arial" w:hAnsi="Arial"/>
          <w:b/>
          <w:bCs/>
          <w:color w:val="2E75B6"/>
          <w:sz w:val="22"/>
          <w:szCs w:val="22"/>
        </w:rPr>
        <w:t xml:space="preserve">	9</w:t>
      </w:r>
    </w:p>
    <w:p>
      <w:pPr>
        <w:tabs>
          <w:tab w:val="right" w:pos="8800"/>
        </w:tabs>
        <w:spacing w:after="60" w:before="60"/>
      </w:pPr>
      <w:r>
        <w:rPr>
          <w:rFonts w:ascii="Arial" w:cs="Arial" w:eastAsia="Arial" w:hAnsi="Arial"/>
          <w:color w:val="1A1A2E"/>
          <w:sz w:val="22"/>
          <w:szCs w:val="22"/>
        </w:rPr>
        <w:t xml:space="preserve">8.  Systems &amp; Tools Used in R2R</w:t>
      </w:r>
      <w:r>
        <w:rPr>
          <w:rFonts w:ascii="Arial" w:cs="Arial" w:eastAsia="Arial" w:hAnsi="Arial"/>
          <w:b/>
          <w:bCs/>
          <w:color w:val="2E75B6"/>
          <w:sz w:val="22"/>
          <w:szCs w:val="22"/>
        </w:rPr>
        <w:t xml:space="preserve">	9</w:t>
      </w:r>
    </w:p>
    <w:p>
      <w:pPr>
        <w:tabs>
          <w:tab w:val="right" w:pos="8800"/>
        </w:tabs>
        <w:spacing w:after="60" w:before="60"/>
      </w:pPr>
      <w:r>
        <w:rPr>
          <w:rFonts w:ascii="Arial" w:cs="Arial" w:eastAsia="Arial" w:hAnsi="Arial"/>
          <w:color w:val="1A1A2E"/>
          <w:sz w:val="22"/>
          <w:szCs w:val="22"/>
        </w:rPr>
        <w:t xml:space="preserve">9.  Common Challenges &amp; Best Practices</w:t>
      </w:r>
      <w:r>
        <w:rPr>
          <w:rFonts w:ascii="Arial" w:cs="Arial" w:eastAsia="Arial" w:hAnsi="Arial"/>
          <w:b/>
          <w:bCs/>
          <w:color w:val="2E75B6"/>
          <w:sz w:val="22"/>
          <w:szCs w:val="22"/>
        </w:rPr>
        <w:t xml:space="preserve">	10</w:t>
      </w:r>
    </w:p>
    <w:p>
      <w:pPr>
        <w:tabs>
          <w:tab w:val="right" w:pos="8800"/>
        </w:tabs>
        <w:spacing w:after="60" w:before="60"/>
      </w:pPr>
      <w:r>
        <w:rPr>
          <w:rFonts w:ascii="Arial" w:cs="Arial" w:eastAsia="Arial" w:hAnsi="Arial"/>
          <w:color w:val="1A1A2E"/>
          <w:sz w:val="22"/>
          <w:szCs w:val="22"/>
        </w:rPr>
        <w:t xml:space="preserve">10.  R2R KPIs &amp; Performance Metrics</w:t>
      </w:r>
      <w:r>
        <w:rPr>
          <w:rFonts w:ascii="Arial" w:cs="Arial" w:eastAsia="Arial" w:hAnsi="Arial"/>
          <w:b/>
          <w:bCs/>
          <w:color w:val="2E75B6"/>
          <w:sz w:val="22"/>
          <w:szCs w:val="22"/>
        </w:rPr>
        <w:t xml:space="preserve">	10</w:t>
      </w:r>
    </w:p>
    <w:p>
      <w:pPr>
        <w:tabs>
          <w:tab w:val="right" w:pos="8800"/>
        </w:tabs>
        <w:spacing w:after="60" w:before="60"/>
      </w:pPr>
      <w:r>
        <w:rPr>
          <w:rFonts w:ascii="Arial" w:cs="Arial" w:eastAsia="Arial" w:hAnsi="Arial"/>
          <w:color w:val="1A1A2E"/>
          <w:sz w:val="22"/>
          <w:szCs w:val="22"/>
        </w:rPr>
        <w:t xml:space="preserve">11.  Conclusion</w:t>
      </w:r>
      <w:r>
        <w:rPr>
          <w:rFonts w:ascii="Arial" w:cs="Arial" w:eastAsia="Arial" w:hAnsi="Arial"/>
          <w:b/>
          <w:bCs/>
          <w:color w:val="2E75B6"/>
          <w:sz w:val="22"/>
          <w:szCs w:val="22"/>
        </w:rPr>
        <w:t xml:space="preserve">	11</w:t>
      </w:r>
    </w:p>
    <w:p>
      <w:r>
        <w:br w:type="page"/>
      </w:r>
    </w:p>
    <w:p>
      <w:pPr>
        <w:pStyle w:val="Heading1"/>
        <w:pBdr>
          <w:bottom w:val="single" w:color="2E75B6" w:sz="6" w:space="1"/>
        </w:pBdr>
        <w:spacing w:after="120" w:before="360"/>
      </w:pPr>
      <w:r>
        <w:rPr>
          <w:rFonts w:ascii="Arial" w:cs="Arial" w:eastAsia="Arial" w:hAnsi="Arial"/>
          <w:b/>
          <w:bCs/>
          <w:color w:val="1F3864"/>
          <w:sz w:val="36"/>
          <w:szCs w:val="36"/>
        </w:rPr>
        <w:t xml:space="preserve">1. Executive Summary</w:t>
      </w:r>
    </w:p>
    <w:p>
      <w:pPr>
        <w:spacing w:after="120" w:before="60"/>
        <w:jc w:val="both"/>
      </w:pPr>
      <w:r>
        <w:rPr>
          <w:rFonts w:ascii="Arial" w:cs="Arial" w:eastAsia="Arial" w:hAnsi="Arial"/>
          <w:color w:val="1A1A2E"/>
          <w:sz w:val="22"/>
          <w:szCs w:val="22"/>
        </w:rPr>
        <w:t xml:space="preserve">This project report provides a comprehensive, step-by-step documentation of the Record-to-Report (R2R) process, with a specific focus on the Month-End and Year-End Financial Close cycle. R2R is a critical Finance and Accounting process that spans the full spectrum of financial data collection, processing, reconciliation, and reporting.</w:t>
      </w:r>
    </w:p>
    <w:p>
      <w:pPr>
        <w:spacing w:after="120" w:before="60"/>
        <w:jc w:val="both"/>
      </w:pPr>
      <w:r>
        <w:rPr>
          <w:rFonts w:ascii="Arial" w:cs="Arial" w:eastAsia="Arial" w:hAnsi="Arial"/>
          <w:color w:val="1A1A2E"/>
          <w:sz w:val="22"/>
          <w:szCs w:val="22"/>
        </w:rPr>
        <w:t xml:space="preserve">The report details each phase of the R2R cycle — from pre-close preparation through sub-ledger closing, general ledger adjustments, account reconciliations, financial statement preparation, and final close sign-off. It covers both month-end and year-end close procedures, identifies key stakeholders, highlights critical controls, and outlines performance metrics used to evaluate process efficiency.</w:t>
      </w:r>
    </w:p>
    <w:p>
      <w:pPr>
        <w:spacing w:after="120" w:before="60"/>
        <w:jc w:val="both"/>
      </w:pPr>
      <w:r>
        <w:rPr>
          <w:rFonts w:ascii="Arial" w:cs="Arial" w:eastAsia="Arial" w:hAnsi="Arial"/>
          <w:color w:val="1A1A2E"/>
          <w:sz w:val="22"/>
          <w:szCs w:val="22"/>
        </w:rPr>
        <w:t xml:space="preserve">This document serves as a practical reference guide for finance professionals, auditors, and ERP practitioners involved in the financial close process.</w:t>
      </w:r>
    </w:p>
    <w:p>
      <w:pPr>
        <w:pStyle w:val="Heading1"/>
        <w:pBdr>
          <w:bottom w:val="single" w:color="2E75B6" w:sz="6" w:space="1"/>
        </w:pBdr>
        <w:spacing w:after="120" w:before="360"/>
      </w:pPr>
      <w:r>
        <w:rPr>
          <w:rFonts w:ascii="Arial" w:cs="Arial" w:eastAsia="Arial" w:hAnsi="Arial"/>
          <w:b/>
          <w:bCs/>
          <w:color w:val="1F3864"/>
          <w:sz w:val="36"/>
          <w:szCs w:val="36"/>
        </w:rPr>
        <w:t xml:space="preserve">2. Introduction to Record-to-Report (R2R)</w:t>
      </w:r>
    </w:p>
    <w:p>
      <w:pPr>
        <w:spacing w:after="120" w:before="60"/>
        <w:jc w:val="both"/>
      </w:pPr>
      <w:r>
        <w:rPr>
          <w:rFonts w:ascii="Arial" w:cs="Arial" w:eastAsia="Arial" w:hAnsi="Arial"/>
          <w:color w:val="1A1A2E"/>
          <w:sz w:val="22"/>
          <w:szCs w:val="22"/>
        </w:rPr>
        <w:t xml:space="preserve">Record-to-Report (R2R) is a Finance and Accounting (F&amp;A) management process that involves collecting, processing, and presenting accurate financial data. It is one of the core processes in the Finance function and is a fundamental component of Global Business Services (GBS) and Shared Service Centers (SSC) worldwide.</w:t>
      </w:r>
    </w:p>
    <w:p>
      <w:pPr>
        <w:spacing w:after="0" w:before="60"/>
      </w:pPr>
    </w:p>
    <w:p>
      <w:pPr>
        <w:spacing w:after="60" w:before="60"/>
      </w:pPr>
      <w:r>
        <w:rPr>
          <w:rFonts w:ascii="Arial" w:cs="Arial" w:eastAsia="Arial" w:hAnsi="Arial"/>
          <w:b/>
          <w:bCs/>
          <w:color w:val="1A1A2E"/>
          <w:sz w:val="22"/>
          <w:szCs w:val="22"/>
        </w:rPr>
        <w:t xml:space="preserve">Definition: </w:t>
      </w:r>
      <w:r>
        <w:rPr>
          <w:rFonts w:ascii="Arial" w:cs="Arial" w:eastAsia="Arial" w:hAnsi="Arial"/>
          <w:color w:val="1A1A2E"/>
          <w:sz w:val="22"/>
          <w:szCs w:val="22"/>
        </w:rPr>
        <w:t xml:space="preserve">R2R encompasses the entire process of recording financial transactions in the books of accounts, reconciling all ledger balances, and ultimately reporting the financial performance and position of an organization.</w:t>
      </w:r>
    </w:p>
    <w:p>
      <w:pPr>
        <w:spacing w:after="0" w:before="60"/>
      </w:pPr>
    </w:p>
    <w:p>
      <w:pPr>
        <w:spacing w:after="120" w:before="60"/>
        <w:jc w:val="both"/>
      </w:pPr>
      <w:r>
        <w:rPr>
          <w:rFonts w:ascii="Arial" w:cs="Arial" w:eastAsia="Arial" w:hAnsi="Arial"/>
          <w:color w:val="1A1A2E"/>
          <w:sz w:val="22"/>
          <w:szCs w:val="22"/>
        </w:rPr>
        <w:t xml:space="preserve">The R2R process sits at the intersection of Operational Finance and Strategic Finance, providing the data backbone for:</w:t>
      </w:r>
    </w:p>
    <w:p>
      <w:pPr>
        <w:pStyle w:val="ListParagraph"/>
        <w:numPr>
          <w:ilvl w:val="0"/>
          <w:numId w:val="2"/>
        </w:numPr>
        <w:spacing w:after="40" w:before="40"/>
      </w:pPr>
      <w:r>
        <w:rPr>
          <w:rFonts w:ascii="Arial" w:cs="Arial" w:eastAsia="Arial" w:hAnsi="Arial"/>
          <w:color w:val="1A1A2E"/>
          <w:sz w:val="22"/>
          <w:szCs w:val="22"/>
        </w:rPr>
        <w:t xml:space="preserve">Management decision-making and corporate governance</w:t>
      </w:r>
    </w:p>
    <w:p>
      <w:pPr>
        <w:pStyle w:val="ListParagraph"/>
        <w:numPr>
          <w:ilvl w:val="0"/>
          <w:numId w:val="2"/>
        </w:numPr>
        <w:spacing w:after="40" w:before="40"/>
      </w:pPr>
      <w:r>
        <w:rPr>
          <w:rFonts w:ascii="Arial" w:cs="Arial" w:eastAsia="Arial" w:hAnsi="Arial"/>
          <w:color w:val="1A1A2E"/>
          <w:sz w:val="22"/>
          <w:szCs w:val="22"/>
        </w:rPr>
        <w:t xml:space="preserve">Statutory and regulatory compliance (GAAP, IFRS, SOX)</w:t>
      </w:r>
    </w:p>
    <w:p>
      <w:pPr>
        <w:pStyle w:val="ListParagraph"/>
        <w:numPr>
          <w:ilvl w:val="0"/>
          <w:numId w:val="2"/>
        </w:numPr>
        <w:spacing w:after="40" w:before="40"/>
      </w:pPr>
      <w:r>
        <w:rPr>
          <w:rFonts w:ascii="Arial" w:cs="Arial" w:eastAsia="Arial" w:hAnsi="Arial"/>
          <w:color w:val="1A1A2E"/>
          <w:sz w:val="22"/>
          <w:szCs w:val="22"/>
        </w:rPr>
        <w:t xml:space="preserve">External financial reporting to shareholders, regulators, and tax authorities</w:t>
      </w:r>
    </w:p>
    <w:p>
      <w:pPr>
        <w:pStyle w:val="ListParagraph"/>
        <w:numPr>
          <w:ilvl w:val="0"/>
          <w:numId w:val="2"/>
        </w:numPr>
        <w:spacing w:after="40" w:before="40"/>
      </w:pPr>
      <w:r>
        <w:rPr>
          <w:rFonts w:ascii="Arial" w:cs="Arial" w:eastAsia="Arial" w:hAnsi="Arial"/>
          <w:color w:val="1A1A2E"/>
          <w:sz w:val="22"/>
          <w:szCs w:val="22"/>
        </w:rPr>
        <w:t xml:space="preserve">Internal reporting for budgeting, forecasting, and performance management</w:t>
      </w:r>
    </w:p>
    <w:p>
      <w:pPr>
        <w:spacing w:after="0" w:before="80"/>
      </w:pPr>
    </w:p>
    <w:p>
      <w:pPr>
        <w:spacing w:after="120" w:before="60"/>
        <w:jc w:val="both"/>
      </w:pPr>
      <w:r>
        <w:rPr>
          <w:rFonts w:ascii="Arial" w:cs="Arial" w:eastAsia="Arial" w:hAnsi="Arial"/>
          <w:color w:val="1A1A2E"/>
          <w:sz w:val="22"/>
          <w:szCs w:val="22"/>
        </w:rPr>
        <w:t xml:space="preserve">In a typical organization, the R2R cycle is triggered at the end of each accounting period — monthly, quarterly, and annually — making it one of the most time-sensitive and high-stakes processes in finance.</w:t>
      </w:r>
    </w:p>
    <w:p>
      <w:pPr>
        <w:pStyle w:val="Heading1"/>
        <w:pBdr>
          <w:bottom w:val="single" w:color="2E75B6" w:sz="6" w:space="1"/>
        </w:pBdr>
        <w:spacing w:after="120" w:before="360"/>
      </w:pPr>
      <w:r>
        <w:rPr>
          <w:rFonts w:ascii="Arial" w:cs="Arial" w:eastAsia="Arial" w:hAnsi="Arial"/>
          <w:b/>
          <w:bCs/>
          <w:color w:val="1F3864"/>
          <w:sz w:val="36"/>
          <w:szCs w:val="36"/>
        </w:rPr>
        <w:t xml:space="preserve">3. R2R Process Overview &amp; Objectives</w:t>
      </w:r>
    </w:p>
    <w:p>
      <w:pPr>
        <w:spacing w:after="120" w:before="60"/>
        <w:jc w:val="both"/>
      </w:pPr>
      <w:r>
        <w:rPr>
          <w:rFonts w:ascii="Arial" w:cs="Arial" w:eastAsia="Arial" w:hAnsi="Arial"/>
          <w:color w:val="1A1A2E"/>
          <w:sz w:val="22"/>
          <w:szCs w:val="22"/>
        </w:rPr>
        <w:t xml:space="preserve">The R2R process is structured around the financial close calendar and follows a defined sequence of activities. The overarching objective is to produce accurate, complete, and timely financial statements that reflect the true economic activity of the organization.</w:t>
      </w:r>
    </w:p>
    <w:p>
      <w:pPr>
        <w:spacing w:after="0" w:before="60"/>
      </w:pPr>
    </w:p>
    <w:p>
      <w:pPr>
        <w:spacing w:after="80" w:before="60"/>
      </w:pPr>
      <w:r>
        <w:rPr>
          <w:rFonts w:ascii="Arial" w:cs="Arial" w:eastAsia="Arial" w:hAnsi="Arial"/>
          <w:b/>
          <w:bCs/>
          <w:color w:val="1A1A2E"/>
          <w:sz w:val="22"/>
          <w:szCs w:val="22"/>
        </w:rPr>
        <w:t xml:space="preserve">Key Objectives of R2R:</w:t>
      </w:r>
    </w:p>
    <w:p>
      <w:pPr>
        <w:pStyle w:val="ListParagraph"/>
        <w:numPr>
          <w:ilvl w:val="0"/>
          <w:numId w:val="2"/>
        </w:numPr>
        <w:spacing w:after="40" w:before="40"/>
      </w:pPr>
      <w:r>
        <w:rPr>
          <w:rFonts w:ascii="Arial" w:cs="Arial" w:eastAsia="Arial" w:hAnsi="Arial"/>
          <w:color w:val="1A1A2E"/>
          <w:sz w:val="22"/>
          <w:szCs w:val="22"/>
        </w:rPr>
        <w:t xml:space="preserve">Ensure all financial transactions are accurately captured and classified</w:t>
      </w:r>
    </w:p>
    <w:p>
      <w:pPr>
        <w:pStyle w:val="ListParagraph"/>
        <w:numPr>
          <w:ilvl w:val="0"/>
          <w:numId w:val="2"/>
        </w:numPr>
        <w:spacing w:after="40" w:before="40"/>
      </w:pPr>
      <w:r>
        <w:rPr>
          <w:rFonts w:ascii="Arial" w:cs="Arial" w:eastAsia="Arial" w:hAnsi="Arial"/>
          <w:color w:val="1A1A2E"/>
          <w:sz w:val="22"/>
          <w:szCs w:val="22"/>
        </w:rPr>
        <w:t xml:space="preserve">Close all sub-ledgers (AP, AR, Payroll, Fixed Assets, Inventory) within defined timelines</w:t>
      </w:r>
    </w:p>
    <w:p>
      <w:pPr>
        <w:pStyle w:val="ListParagraph"/>
        <w:numPr>
          <w:ilvl w:val="0"/>
          <w:numId w:val="2"/>
        </w:numPr>
        <w:spacing w:after="40" w:before="40"/>
      </w:pPr>
      <w:r>
        <w:rPr>
          <w:rFonts w:ascii="Arial" w:cs="Arial" w:eastAsia="Arial" w:hAnsi="Arial"/>
          <w:color w:val="1A1A2E"/>
          <w:sz w:val="22"/>
          <w:szCs w:val="22"/>
        </w:rPr>
        <w:t xml:space="preserve">Perform comprehensive account reconciliations to identify and resolve discrepancies</w:t>
      </w:r>
    </w:p>
    <w:p>
      <w:pPr>
        <w:pStyle w:val="ListParagraph"/>
        <w:numPr>
          <w:ilvl w:val="0"/>
          <w:numId w:val="2"/>
        </w:numPr>
        <w:spacing w:after="40" w:before="40"/>
      </w:pPr>
      <w:r>
        <w:rPr>
          <w:rFonts w:ascii="Arial" w:cs="Arial" w:eastAsia="Arial" w:hAnsi="Arial"/>
          <w:color w:val="1A1A2E"/>
          <w:sz w:val="22"/>
          <w:szCs w:val="22"/>
        </w:rPr>
        <w:t xml:space="preserve">Apply accruals, prepayments, and adjusting journal entries in accordance with accounting standards</w:t>
      </w:r>
    </w:p>
    <w:p>
      <w:pPr>
        <w:pStyle w:val="ListParagraph"/>
        <w:numPr>
          <w:ilvl w:val="0"/>
          <w:numId w:val="2"/>
        </w:numPr>
        <w:spacing w:after="40" w:before="40"/>
      </w:pPr>
      <w:r>
        <w:rPr>
          <w:rFonts w:ascii="Arial" w:cs="Arial" w:eastAsia="Arial" w:hAnsi="Arial"/>
          <w:color w:val="1A1A2E"/>
          <w:sz w:val="22"/>
          <w:szCs w:val="22"/>
        </w:rPr>
        <w:t xml:space="preserve">Prepare consolidated financial statements — P&amp;L, Balance Sheet, and Cash Flow</w:t>
      </w:r>
    </w:p>
    <w:p>
      <w:pPr>
        <w:pStyle w:val="ListParagraph"/>
        <w:numPr>
          <w:ilvl w:val="0"/>
          <w:numId w:val="2"/>
        </w:numPr>
        <w:spacing w:after="40" w:before="40"/>
      </w:pPr>
      <w:r>
        <w:rPr>
          <w:rFonts w:ascii="Arial" w:cs="Arial" w:eastAsia="Arial" w:hAnsi="Arial"/>
          <w:color w:val="1A1A2E"/>
          <w:sz w:val="22"/>
          <w:szCs w:val="22"/>
        </w:rPr>
        <w:t xml:space="preserve">Ensure compliance with internal controls, audit requirements, and regulatory standards</w:t>
      </w:r>
    </w:p>
    <w:p>
      <w:pPr>
        <w:pStyle w:val="ListParagraph"/>
        <w:numPr>
          <w:ilvl w:val="0"/>
          <w:numId w:val="2"/>
        </w:numPr>
        <w:spacing w:after="40" w:before="40"/>
      </w:pPr>
      <w:r>
        <w:rPr>
          <w:rFonts w:ascii="Arial" w:cs="Arial" w:eastAsia="Arial" w:hAnsi="Arial"/>
          <w:color w:val="1A1A2E"/>
          <w:sz w:val="22"/>
          <w:szCs w:val="22"/>
        </w:rPr>
        <w:t xml:space="preserve">Deliver management reports and variance analysis to business stakeholders</w:t>
      </w:r>
    </w:p>
    <w:p>
      <w:pPr>
        <w:spacing w:after="0" w:before="80"/>
      </w:pPr>
    </w:p>
    <w:p>
      <w:pPr>
        <w:spacing w:after="80" w:before="60"/>
      </w:pPr>
      <w:r>
        <w:rPr>
          <w:rFonts w:ascii="Arial" w:cs="Arial" w:eastAsia="Arial" w:hAnsi="Arial"/>
          <w:b/>
          <w:bCs/>
          <w:color w:val="1A1A2E"/>
          <w:sz w:val="22"/>
          <w:szCs w:val="22"/>
        </w:rPr>
        <w:t xml:space="preserve">R2R Process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Pre-Close Preparation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Calendar setup, checklist, cut-off comms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Finance Controller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Sub-Ledger Close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AP, AR, Payroll, FA, Inventory close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Sub-Ledger Teams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GL Activities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Journal entries, accruals, allocations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GL Accountants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Reconciliations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Account &amp; intercompany recon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Reconciliation Team</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Financial Reporting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FS preparation, consolidation, review</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Reporting Team / CFO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Close Sign-Off &amp; 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Period lock, audit trail, archival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Finance Controller</w:t>
            </w:r>
          </w:p>
        </w:tc>
      </w:tr>
    </w:tbl>
    <w:p>
      <w:pPr>
        <w:pStyle w:val="Heading1"/>
        <w:pBdr>
          <w:bottom w:val="single" w:color="2E75B6" w:sz="6" w:space="1"/>
        </w:pBdr>
        <w:spacing w:after="120" w:before="360"/>
      </w:pPr>
      <w:r>
        <w:rPr>
          <w:rFonts w:ascii="Arial" w:cs="Arial" w:eastAsia="Arial" w:hAnsi="Arial"/>
          <w:b/>
          <w:bCs/>
          <w:color w:val="1F3864"/>
          <w:sz w:val="36"/>
          <w:szCs w:val="36"/>
        </w:rPr>
        <w:t xml:space="preserve">4. Key Stakeholders &amp; Roles</w:t>
      </w:r>
    </w:p>
    <w:p>
      <w:pPr>
        <w:spacing w:after="120" w:before="60"/>
        <w:jc w:val="both"/>
      </w:pPr>
      <w:r>
        <w:rPr>
          <w:rFonts w:ascii="Arial" w:cs="Arial" w:eastAsia="Arial" w:hAnsi="Arial"/>
          <w:color w:val="1A1A2E"/>
          <w:sz w:val="22"/>
          <w:szCs w:val="22"/>
        </w:rPr>
        <w:t xml:space="preserve">A successful R2R close requires coordination across multiple roles and functions within the Finance organization. The following table outlines the key stakeholders and their responsibilities: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 Stakeholder</w:t>
            </w:r>
          </w:p>
        </w:tc>
        <w:tc>
          <w:tcPr>
            <w:tcW w:type="dxa" w:w="3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Department</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 in R2R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Finance Controller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Finance &amp; Accounting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Overall ownership of close process, approvals, escalations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GL Accountant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General Ledger Team</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Journal entries, accruals, prepayments, period-end adjustments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AP Accountant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Accounts Payable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Invoice processing, AP sub-ledger close, vendor reconciliations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AR Accountant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Accounts Receivable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Collections, AR close, customer account reconciliations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Payroll Accountant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Payroll / HR Finance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Payroll close, salary accruals, payroll GL postings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Fixed Assets Accountant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Asset Management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Depreciation run, additions/disposals, FA sub-ledger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Inventory Accountant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Supply Chain Finance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Inventory valuation, COGS booking, stock reconciliation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Reporting Analyst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FP&amp;A / Reporting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Financial statement preparation, management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Internal Auditor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Internal Audit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Control testing, SOX compliance, period-end review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CFO / Finance Director</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Senior Finance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Final sign-off, board reporting, external disclosure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IT / ERP Support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IT Department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System availability, period open/close in ERP, data integrity</w:t>
            </w:r>
          </w:p>
        </w:tc>
      </w:tr>
    </w:tbl>
    <w:p>
      <w:pPr>
        <w:pStyle w:val="Heading1"/>
        <w:pBdr>
          <w:bottom w:val="single" w:color="2E75B6" w:sz="6" w:space="1"/>
        </w:pBdr>
        <w:spacing w:after="120" w:before="360"/>
      </w:pPr>
      <w:r>
        <w:rPr>
          <w:rFonts w:ascii="Arial" w:cs="Arial" w:eastAsia="Arial" w:hAnsi="Arial"/>
          <w:b/>
          <w:bCs/>
          <w:color w:val="1F3864"/>
          <w:sz w:val="36"/>
          <w:szCs w:val="36"/>
        </w:rPr>
        <w:t xml:space="preserve">5. Step-by-Step R2R Process — Month-End Close</w:t>
      </w:r>
    </w:p>
    <w:p>
      <w:pPr>
        <w:spacing w:after="120" w:before="60"/>
        <w:jc w:val="both"/>
      </w:pPr>
      <w:r>
        <w:rPr>
          <w:rFonts w:ascii="Arial" w:cs="Arial" w:eastAsia="Arial" w:hAnsi="Arial"/>
          <w:color w:val="1A1A2E"/>
          <w:sz w:val="22"/>
          <w:szCs w:val="22"/>
        </w:rPr>
        <w:t xml:space="preserve">The month-end close follows a structured timeline, typically spanning 3–7 business days after period end. The following sub-sections describe each phase in detail.</w:t>
      </w:r>
    </w:p>
    <w:p>
      <w:pPr>
        <w:pStyle w:val="Heading2"/>
        <w:spacing w:after="120" w:before="240"/>
      </w:pPr>
      <w:r>
        <w:rPr>
          <w:rFonts w:ascii="Arial" w:cs="Arial" w:eastAsia="Arial" w:hAnsi="Arial"/>
          <w:b/>
          <w:bCs/>
          <w:color w:val="2E75B6"/>
          <w:sz w:val="28"/>
          <w:szCs w:val="28"/>
        </w:rPr>
        <w:t xml:space="preserve">5.1 Phase 1: Pre-Close Preparation</w:t>
      </w:r>
    </w:p>
    <w:p>
      <w:pPr>
        <w:spacing w:after="120" w:before="60"/>
        <w:jc w:val="both"/>
      </w:pPr>
      <w:r>
        <w:rPr>
          <w:rFonts w:ascii="Arial" w:cs="Arial" w:eastAsia="Arial" w:hAnsi="Arial"/>
          <w:color w:val="1A1A2E"/>
          <w:sz w:val="22"/>
          <w:szCs w:val="22"/>
        </w:rPr>
        <w:t xml:space="preserve">Pre-close preparation is the foundation of a smooth financial close. It ensures all teams are aligned, systems are ready, and cut-off dates are enforced before the period ends.</w:t>
      </w:r>
    </w:p>
    <w:p>
      <w:pPr>
        <w:spacing w:after="0" w:before="60"/>
      </w:pPr>
    </w:p>
    <w:p>
      <w:pPr>
        <w:pStyle w:val="ListParagraph"/>
        <w:numPr>
          <w:ilvl w:val="0"/>
          <w:numId w:val="3"/>
        </w:numPr>
        <w:spacing w:after="60" w:before="60"/>
      </w:pPr>
      <w:r>
        <w:rPr>
          <w:rFonts w:ascii="Arial" w:cs="Arial" w:eastAsia="Arial" w:hAnsi="Arial"/>
          <w:color w:val="1A1A2E"/>
          <w:sz w:val="22"/>
          <w:szCs w:val="22"/>
        </w:rPr>
        <w:t xml:space="preserve">Publish the Monthly Close Calendar: Finance Controller issues the close schedule (T-5 to T+5) at least 10 business days before period end, specifying deadlines for each sub-ledger team.</w:t>
      </w:r>
    </w:p>
    <w:p>
      <w:pPr>
        <w:pStyle w:val="ListParagraph"/>
        <w:numPr>
          <w:ilvl w:val="0"/>
          <w:numId w:val="3"/>
        </w:numPr>
        <w:spacing w:after="60" w:before="60"/>
      </w:pPr>
      <w:r>
        <w:rPr>
          <w:rFonts w:ascii="Arial" w:cs="Arial" w:eastAsia="Arial" w:hAnsi="Arial"/>
          <w:color w:val="1A1A2E"/>
          <w:sz w:val="22"/>
          <w:szCs w:val="22"/>
        </w:rPr>
        <w:t xml:space="preserve">Communicate Transaction Cut-Off Dates: Send formal cut-off notifications to business units specifying the last date for purchase orders, expense submissions, invoices, and sales orders to be recognized in the current period.</w:t>
      </w:r>
    </w:p>
    <w:p>
      <w:pPr>
        <w:pStyle w:val="ListParagraph"/>
        <w:numPr>
          <w:ilvl w:val="0"/>
          <w:numId w:val="3"/>
        </w:numPr>
        <w:spacing w:after="60" w:before="60"/>
      </w:pPr>
      <w:r>
        <w:rPr>
          <w:rFonts w:ascii="Arial" w:cs="Arial" w:eastAsia="Arial" w:hAnsi="Arial"/>
          <w:color w:val="1A1A2E"/>
          <w:sz w:val="22"/>
          <w:szCs w:val="22"/>
        </w:rPr>
        <w:t xml:space="preserve">Verify System Readiness: IT/ERP team confirms the ERP system (SAP / Oracle / D365) is available, the new period is open for postings, and all interfaces and integrations are functioning correctly.</w:t>
      </w:r>
    </w:p>
    <w:p>
      <w:pPr>
        <w:pStyle w:val="ListParagraph"/>
        <w:numPr>
          <w:ilvl w:val="0"/>
          <w:numId w:val="3"/>
        </w:numPr>
        <w:spacing w:after="60" w:before="60"/>
      </w:pPr>
      <w:r>
        <w:rPr>
          <w:rFonts w:ascii="Arial" w:cs="Arial" w:eastAsia="Arial" w:hAnsi="Arial"/>
          <w:color w:val="1A1A2E"/>
          <w:sz w:val="22"/>
          <w:szCs w:val="22"/>
        </w:rPr>
        <w:t xml:space="preserve">Distribute Close Checklists: Each accountant receives their specific close checklist, with tasks, owners, deadlines, and dependencies pre-populated from prior month templates.</w:t>
      </w:r>
    </w:p>
    <w:p>
      <w:pPr>
        <w:pStyle w:val="ListParagraph"/>
        <w:numPr>
          <w:ilvl w:val="0"/>
          <w:numId w:val="3"/>
        </w:numPr>
        <w:spacing w:after="60" w:before="60"/>
      </w:pPr>
      <w:r>
        <w:rPr>
          <w:rFonts w:ascii="Arial" w:cs="Arial" w:eastAsia="Arial" w:hAnsi="Arial"/>
          <w:color w:val="1A1A2E"/>
          <w:sz w:val="22"/>
          <w:szCs w:val="22"/>
        </w:rPr>
        <w:t xml:space="preserve">Review Prior Month Open Items: All unresolved items from the previous close (reconciling items, unapproved journals, escalations) are reviewed and cleared or carried forward with documented justification.</w:t>
      </w:r>
    </w:p>
    <w:p>
      <w:pPr>
        <w:pStyle w:val="ListParagraph"/>
        <w:numPr>
          <w:ilvl w:val="0"/>
          <w:numId w:val="3"/>
        </w:numPr>
        <w:spacing w:after="60" w:before="60"/>
      </w:pPr>
      <w:r>
        <w:rPr>
          <w:rFonts w:ascii="Arial" w:cs="Arial" w:eastAsia="Arial" w:hAnsi="Arial"/>
          <w:color w:val="1A1A2E"/>
          <w:sz w:val="22"/>
          <w:szCs w:val="22"/>
        </w:rPr>
        <w:t xml:space="preserve">Set Up Accrual Templates: Standard accrual templates (payroll, utilities, rent, depreciation) are pre-populated based on contracts and prior period trends for review and approval.</w:t>
      </w:r>
    </w:p>
    <w:p>
      <w:pPr>
        <w:spacing w:after="0" w:before="80"/>
      </w:pPr>
    </w:p>
    <w:p>
      <w:pPr>
        <w:pStyle w:val="Heading2"/>
        <w:spacing w:after="120" w:before="240"/>
      </w:pPr>
      <w:r>
        <w:rPr>
          <w:rFonts w:ascii="Arial" w:cs="Arial" w:eastAsia="Arial" w:hAnsi="Arial"/>
          <w:b/>
          <w:bCs/>
          <w:color w:val="2E75B6"/>
          <w:sz w:val="28"/>
          <w:szCs w:val="28"/>
        </w:rPr>
        <w:t xml:space="preserve">5.2 Phase 2: Transaction Processing &amp; Sub-Ledger Close</w:t>
      </w:r>
    </w:p>
    <w:p>
      <w:pPr>
        <w:spacing w:after="120" w:before="60"/>
        <w:jc w:val="both"/>
      </w:pPr>
      <w:r>
        <w:rPr>
          <w:rFonts w:ascii="Arial" w:cs="Arial" w:eastAsia="Arial" w:hAnsi="Arial"/>
          <w:color w:val="1A1A2E"/>
          <w:sz w:val="22"/>
          <w:szCs w:val="22"/>
        </w:rPr>
        <w:t xml:space="preserve">Sub-ledgers feed into the General Ledger and must be closed first. Each sub-ledger team completes their activities within the defined window (typically Day 1–3 of close).</w:t>
      </w:r>
    </w:p>
    <w:p>
      <w:pPr>
        <w:spacing w:after="0" w:before="60"/>
      </w:pPr>
    </w:p>
    <w:p>
      <w:pPr>
        <w:spacing w:after="40" w:before="80"/>
      </w:pPr>
      <w:r>
        <w:rPr>
          <w:rFonts w:ascii="Arial" w:cs="Arial" w:eastAsia="Arial" w:hAnsi="Arial"/>
          <w:b/>
          <w:bCs/>
          <w:color w:val="1A1A2E"/>
          <w:sz w:val="22"/>
          <w:szCs w:val="22"/>
        </w:rPr>
        <w:t xml:space="preserve">Accounts Payable (AP) Close:</w:t>
      </w:r>
    </w:p>
    <w:p>
      <w:pPr>
        <w:pStyle w:val="ListParagraph"/>
        <w:numPr>
          <w:ilvl w:val="0"/>
          <w:numId w:val="3"/>
        </w:numPr>
        <w:spacing w:after="60" w:before="60"/>
      </w:pPr>
      <w:r>
        <w:rPr>
          <w:rFonts w:ascii="Arial" w:cs="Arial" w:eastAsia="Arial" w:hAnsi="Arial"/>
          <w:color w:val="1A1A2E"/>
          <w:sz w:val="22"/>
          <w:szCs w:val="22"/>
        </w:rPr>
        <w:t xml:space="preserve">Process all vendor invoices received up to the cut-off date; apply three-way matching (PO / GR / Invoice).</w:t>
      </w:r>
    </w:p>
    <w:p>
      <w:pPr>
        <w:pStyle w:val="ListParagraph"/>
        <w:numPr>
          <w:ilvl w:val="0"/>
          <w:numId w:val="3"/>
        </w:numPr>
        <w:spacing w:after="60" w:before="60"/>
      </w:pPr>
      <w:r>
        <w:rPr>
          <w:rFonts w:ascii="Arial" w:cs="Arial" w:eastAsia="Arial" w:hAnsi="Arial"/>
          <w:color w:val="1A1A2E"/>
          <w:sz w:val="22"/>
          <w:szCs w:val="22"/>
        </w:rPr>
        <w:t xml:space="preserve">Post all accrued purchase invoices for goods received but not yet invoiced (GRNV accruals).</w:t>
      </w:r>
    </w:p>
    <w:p>
      <w:pPr>
        <w:pStyle w:val="ListParagraph"/>
        <w:numPr>
          <w:ilvl w:val="0"/>
          <w:numId w:val="3"/>
        </w:numPr>
        <w:spacing w:after="60" w:before="60"/>
      </w:pPr>
      <w:r>
        <w:rPr>
          <w:rFonts w:ascii="Arial" w:cs="Arial" w:eastAsia="Arial" w:hAnsi="Arial"/>
          <w:color w:val="1A1A2E"/>
          <w:sz w:val="22"/>
          <w:szCs w:val="22"/>
        </w:rPr>
        <w:t xml:space="preserve">Process all employee expense reimbursements and corporate card settlements.</w:t>
      </w:r>
    </w:p>
    <w:p>
      <w:pPr>
        <w:pStyle w:val="ListParagraph"/>
        <w:numPr>
          <w:ilvl w:val="0"/>
          <w:numId w:val="3"/>
        </w:numPr>
        <w:spacing w:after="60" w:before="60"/>
      </w:pPr>
      <w:r>
        <w:rPr>
          <w:rFonts w:ascii="Arial" w:cs="Arial" w:eastAsia="Arial" w:hAnsi="Arial"/>
          <w:color w:val="1A1A2E"/>
          <w:sz w:val="22"/>
          <w:szCs w:val="22"/>
        </w:rPr>
        <w:t xml:space="preserve">Run the AP aging report; review and clear any debit balances, duplicate payments, or unapproved holds.</w:t>
      </w:r>
    </w:p>
    <w:p>
      <w:pPr>
        <w:pStyle w:val="ListParagraph"/>
        <w:numPr>
          <w:ilvl w:val="0"/>
          <w:numId w:val="3"/>
        </w:numPr>
        <w:spacing w:after="60" w:before="60"/>
      </w:pPr>
      <w:r>
        <w:rPr>
          <w:rFonts w:ascii="Arial" w:cs="Arial" w:eastAsia="Arial" w:hAnsi="Arial"/>
          <w:color w:val="1A1A2E"/>
          <w:sz w:val="22"/>
          <w:szCs w:val="22"/>
        </w:rPr>
        <w:t xml:space="preserve">Reconcile the AP sub-ledger to the GL control account and investigate any variances.</w:t>
      </w:r>
    </w:p>
    <w:p>
      <w:pPr>
        <w:pStyle w:val="ListParagraph"/>
        <w:numPr>
          <w:ilvl w:val="0"/>
          <w:numId w:val="3"/>
        </w:numPr>
        <w:spacing w:after="60" w:before="60"/>
      </w:pPr>
      <w:r>
        <w:rPr>
          <w:rFonts w:ascii="Arial" w:cs="Arial" w:eastAsia="Arial" w:hAnsi="Arial"/>
          <w:color w:val="1A1A2E"/>
          <w:sz w:val="22"/>
          <w:szCs w:val="22"/>
        </w:rPr>
        <w:t xml:space="preserve">Close the AP module in ERP (period lock for vendor invoices).</w:t>
      </w:r>
    </w:p>
    <w:p>
      <w:pPr>
        <w:spacing w:after="0" w:before="60"/>
      </w:pPr>
    </w:p>
    <w:p>
      <w:pPr>
        <w:spacing w:after="40" w:before="80"/>
      </w:pPr>
      <w:r>
        <w:rPr>
          <w:rFonts w:ascii="Arial" w:cs="Arial" w:eastAsia="Arial" w:hAnsi="Arial"/>
          <w:b/>
          <w:bCs/>
          <w:color w:val="1A1A2E"/>
          <w:sz w:val="22"/>
          <w:szCs w:val="22"/>
        </w:rPr>
        <w:t xml:space="preserve">Accounts Receivable (AR) Close:</w:t>
      </w:r>
    </w:p>
    <w:p>
      <w:pPr>
        <w:pStyle w:val="ListParagraph"/>
        <w:numPr>
          <w:ilvl w:val="0"/>
          <w:numId w:val="3"/>
        </w:numPr>
        <w:spacing w:after="60" w:before="60"/>
      </w:pPr>
      <w:r>
        <w:rPr>
          <w:rFonts w:ascii="Arial" w:cs="Arial" w:eastAsia="Arial" w:hAnsi="Arial"/>
          <w:color w:val="1A1A2E"/>
          <w:sz w:val="22"/>
          <w:szCs w:val="22"/>
        </w:rPr>
        <w:t xml:space="preserve">Confirm all sales invoices for the period have been issued and posted in the system.</w:t>
      </w:r>
    </w:p>
    <w:p>
      <w:pPr>
        <w:pStyle w:val="ListParagraph"/>
        <w:numPr>
          <w:ilvl w:val="0"/>
          <w:numId w:val="3"/>
        </w:numPr>
        <w:spacing w:after="60" w:before="60"/>
      </w:pPr>
      <w:r>
        <w:rPr>
          <w:rFonts w:ascii="Arial" w:cs="Arial" w:eastAsia="Arial" w:hAnsi="Arial"/>
          <w:color w:val="1A1A2E"/>
          <w:sz w:val="22"/>
          <w:szCs w:val="22"/>
        </w:rPr>
        <w:t xml:space="preserve">Apply all customer receipts and clear open items against invoices.</w:t>
      </w:r>
    </w:p>
    <w:p>
      <w:pPr>
        <w:pStyle w:val="ListParagraph"/>
        <w:numPr>
          <w:ilvl w:val="0"/>
          <w:numId w:val="3"/>
        </w:numPr>
        <w:spacing w:after="60" w:before="60"/>
      </w:pPr>
      <w:r>
        <w:rPr>
          <w:rFonts w:ascii="Arial" w:cs="Arial" w:eastAsia="Arial" w:hAnsi="Arial"/>
          <w:color w:val="1A1A2E"/>
          <w:sz w:val="22"/>
          <w:szCs w:val="22"/>
        </w:rPr>
        <w:t xml:space="preserve">Calculate and post the Bad Debt Provision based on the AR aging analysis and provisioning policy.</w:t>
      </w:r>
    </w:p>
    <w:p>
      <w:pPr>
        <w:pStyle w:val="ListParagraph"/>
        <w:numPr>
          <w:ilvl w:val="0"/>
          <w:numId w:val="3"/>
        </w:numPr>
        <w:spacing w:after="60" w:before="60"/>
      </w:pPr>
      <w:r>
        <w:rPr>
          <w:rFonts w:ascii="Arial" w:cs="Arial" w:eastAsia="Arial" w:hAnsi="Arial"/>
          <w:color w:val="1A1A2E"/>
          <w:sz w:val="22"/>
          <w:szCs w:val="22"/>
        </w:rPr>
        <w:t xml:space="preserve">Reconcile the AR sub-ledger to the GL control account.</w:t>
      </w:r>
    </w:p>
    <w:p>
      <w:pPr>
        <w:pStyle w:val="ListParagraph"/>
        <w:numPr>
          <w:ilvl w:val="0"/>
          <w:numId w:val="3"/>
        </w:numPr>
        <w:spacing w:after="60" w:before="60"/>
      </w:pPr>
      <w:r>
        <w:rPr>
          <w:rFonts w:ascii="Arial" w:cs="Arial" w:eastAsia="Arial" w:hAnsi="Arial"/>
          <w:color w:val="1A1A2E"/>
          <w:sz w:val="22"/>
          <w:szCs w:val="22"/>
        </w:rPr>
        <w:t xml:space="preserve">Issue dunning letters for overdue balances; escalate high-value disputes to the credit controller.</w:t>
      </w:r>
    </w:p>
    <w:p>
      <w:pPr>
        <w:pStyle w:val="ListParagraph"/>
        <w:numPr>
          <w:ilvl w:val="0"/>
          <w:numId w:val="3"/>
        </w:numPr>
        <w:spacing w:after="60" w:before="60"/>
      </w:pPr>
      <w:r>
        <w:rPr>
          <w:rFonts w:ascii="Arial" w:cs="Arial" w:eastAsia="Arial" w:hAnsi="Arial"/>
          <w:color w:val="1A1A2E"/>
          <w:sz w:val="22"/>
          <w:szCs w:val="22"/>
        </w:rPr>
        <w:t xml:space="preserve">Close the AR module in ERP.</w:t>
      </w:r>
    </w:p>
    <w:p>
      <w:pPr>
        <w:spacing w:after="0" w:before="60"/>
      </w:pPr>
    </w:p>
    <w:p>
      <w:pPr>
        <w:spacing w:after="40" w:before="80"/>
      </w:pPr>
      <w:r>
        <w:rPr>
          <w:rFonts w:ascii="Arial" w:cs="Arial" w:eastAsia="Arial" w:hAnsi="Arial"/>
          <w:b/>
          <w:bCs/>
          <w:color w:val="1A1A2E"/>
          <w:sz w:val="22"/>
          <w:szCs w:val="22"/>
        </w:rPr>
        <w:t xml:space="preserve">Payroll Close:</w:t>
      </w:r>
    </w:p>
    <w:p>
      <w:pPr>
        <w:pStyle w:val="ListParagraph"/>
        <w:numPr>
          <w:ilvl w:val="0"/>
          <w:numId w:val="3"/>
        </w:numPr>
        <w:spacing w:after="60" w:before="60"/>
      </w:pPr>
      <w:r>
        <w:rPr>
          <w:rFonts w:ascii="Arial" w:cs="Arial" w:eastAsia="Arial" w:hAnsi="Arial"/>
          <w:color w:val="1A1A2E"/>
          <w:sz w:val="22"/>
          <w:szCs w:val="22"/>
        </w:rPr>
        <w:t xml:space="preserve">Confirm payroll has been processed and approved for all employees (including contract staff).</w:t>
      </w:r>
    </w:p>
    <w:p>
      <w:pPr>
        <w:pStyle w:val="ListParagraph"/>
        <w:numPr>
          <w:ilvl w:val="0"/>
          <w:numId w:val="3"/>
        </w:numPr>
        <w:spacing w:after="60" w:before="60"/>
      </w:pPr>
      <w:r>
        <w:rPr>
          <w:rFonts w:ascii="Arial" w:cs="Arial" w:eastAsia="Arial" w:hAnsi="Arial"/>
          <w:color w:val="1A1A2E"/>
          <w:sz w:val="22"/>
          <w:szCs w:val="22"/>
        </w:rPr>
        <w:t xml:space="preserve">Post the payroll journal entry to GL: Debit Salaries &amp; Wages / Credit Bank and Statutory Payables.</w:t>
      </w:r>
    </w:p>
    <w:p>
      <w:pPr>
        <w:pStyle w:val="ListParagraph"/>
        <w:numPr>
          <w:ilvl w:val="0"/>
          <w:numId w:val="3"/>
        </w:numPr>
        <w:spacing w:after="60" w:before="60"/>
      </w:pPr>
      <w:r>
        <w:rPr>
          <w:rFonts w:ascii="Arial" w:cs="Arial" w:eastAsia="Arial" w:hAnsi="Arial"/>
          <w:color w:val="1A1A2E"/>
          <w:sz w:val="22"/>
          <w:szCs w:val="22"/>
        </w:rPr>
        <w:t xml:space="preserve">Book payroll-related accruals: bonus accruals, leave encashment, and employer PF/ESI contributions.</w:t>
      </w:r>
    </w:p>
    <w:p>
      <w:pPr>
        <w:pStyle w:val="ListParagraph"/>
        <w:numPr>
          <w:ilvl w:val="0"/>
          <w:numId w:val="3"/>
        </w:numPr>
        <w:spacing w:after="60" w:before="60"/>
      </w:pPr>
      <w:r>
        <w:rPr>
          <w:rFonts w:ascii="Arial" w:cs="Arial" w:eastAsia="Arial" w:hAnsi="Arial"/>
          <w:color w:val="1A1A2E"/>
          <w:sz w:val="22"/>
          <w:szCs w:val="22"/>
        </w:rPr>
        <w:t xml:space="preserve">Reconcile payroll figures to headcount data from HR system.</w:t>
      </w:r>
    </w:p>
    <w:p>
      <w:pPr>
        <w:spacing w:after="0" w:before="60"/>
      </w:pPr>
    </w:p>
    <w:p>
      <w:pPr>
        <w:spacing w:after="40" w:before="80"/>
      </w:pPr>
      <w:r>
        <w:rPr>
          <w:rFonts w:ascii="Arial" w:cs="Arial" w:eastAsia="Arial" w:hAnsi="Arial"/>
          <w:b/>
          <w:bCs/>
          <w:color w:val="1A1A2E"/>
          <w:sz w:val="22"/>
          <w:szCs w:val="22"/>
        </w:rPr>
        <w:t xml:space="preserve">Fixed Assets (FA) Close:</w:t>
      </w:r>
    </w:p>
    <w:p>
      <w:pPr>
        <w:pStyle w:val="ListParagraph"/>
        <w:numPr>
          <w:ilvl w:val="0"/>
          <w:numId w:val="3"/>
        </w:numPr>
        <w:spacing w:after="60" w:before="60"/>
      </w:pPr>
      <w:r>
        <w:rPr>
          <w:rFonts w:ascii="Arial" w:cs="Arial" w:eastAsia="Arial" w:hAnsi="Arial"/>
          <w:color w:val="1A1A2E"/>
          <w:sz w:val="22"/>
          <w:szCs w:val="22"/>
        </w:rPr>
        <w:t xml:space="preserve">Validate all capital expenditure additions and disposals recorded during the period.</w:t>
      </w:r>
    </w:p>
    <w:p>
      <w:pPr>
        <w:pStyle w:val="ListParagraph"/>
        <w:numPr>
          <w:ilvl w:val="0"/>
          <w:numId w:val="3"/>
        </w:numPr>
        <w:spacing w:after="60" w:before="60"/>
      </w:pPr>
      <w:r>
        <w:rPr>
          <w:rFonts w:ascii="Arial" w:cs="Arial" w:eastAsia="Arial" w:hAnsi="Arial"/>
          <w:color w:val="1A1A2E"/>
          <w:sz w:val="22"/>
          <w:szCs w:val="22"/>
        </w:rPr>
        <w:t xml:space="preserve">Run the depreciation calculation in ERP; review for any anomalies or zero-depreciation assets.</w:t>
      </w:r>
    </w:p>
    <w:p>
      <w:pPr>
        <w:pStyle w:val="ListParagraph"/>
        <w:numPr>
          <w:ilvl w:val="0"/>
          <w:numId w:val="3"/>
        </w:numPr>
        <w:spacing w:after="60" w:before="60"/>
      </w:pPr>
      <w:r>
        <w:rPr>
          <w:rFonts w:ascii="Arial" w:cs="Arial" w:eastAsia="Arial" w:hAnsi="Arial"/>
          <w:color w:val="1A1A2E"/>
          <w:sz w:val="22"/>
          <w:szCs w:val="22"/>
        </w:rPr>
        <w:t xml:space="preserve">Post the depreciation journal to GL.</w:t>
      </w:r>
    </w:p>
    <w:p>
      <w:pPr>
        <w:pStyle w:val="ListParagraph"/>
        <w:numPr>
          <w:ilvl w:val="0"/>
          <w:numId w:val="3"/>
        </w:numPr>
        <w:spacing w:after="60" w:before="60"/>
      </w:pPr>
      <w:r>
        <w:rPr>
          <w:rFonts w:ascii="Arial" w:cs="Arial" w:eastAsia="Arial" w:hAnsi="Arial"/>
          <w:color w:val="1A1A2E"/>
          <w:sz w:val="22"/>
          <w:szCs w:val="22"/>
        </w:rPr>
        <w:t xml:space="preserve">Reconcile the FA register to the GL fixed assets control accounts.</w:t>
      </w:r>
    </w:p>
    <w:p>
      <w:pPr>
        <w:pStyle w:val="ListParagraph"/>
        <w:numPr>
          <w:ilvl w:val="0"/>
          <w:numId w:val="3"/>
        </w:numPr>
        <w:spacing w:after="60" w:before="60"/>
      </w:pPr>
      <w:r>
        <w:rPr>
          <w:rFonts w:ascii="Arial" w:cs="Arial" w:eastAsia="Arial" w:hAnsi="Arial"/>
          <w:color w:val="1A1A2E"/>
          <w:sz w:val="22"/>
          <w:szCs w:val="22"/>
        </w:rPr>
        <w:t xml:space="preserve">Update asset register for any impairments, revaluations, or retirement of fully depreciated assets.</w:t>
      </w:r>
    </w:p>
    <w:p>
      <w:pPr>
        <w:spacing w:after="0" w:before="60"/>
      </w:pPr>
    </w:p>
    <w:p>
      <w:pPr>
        <w:spacing w:after="40" w:before="80"/>
      </w:pPr>
      <w:r>
        <w:rPr>
          <w:rFonts w:ascii="Arial" w:cs="Arial" w:eastAsia="Arial" w:hAnsi="Arial"/>
          <w:b/>
          <w:bCs/>
          <w:color w:val="1A1A2E"/>
          <w:sz w:val="22"/>
          <w:szCs w:val="22"/>
        </w:rPr>
        <w:t xml:space="preserve">Inventory Close:</w:t>
      </w:r>
    </w:p>
    <w:p>
      <w:pPr>
        <w:pStyle w:val="ListParagraph"/>
        <w:numPr>
          <w:ilvl w:val="0"/>
          <w:numId w:val="3"/>
        </w:numPr>
        <w:spacing w:after="60" w:before="60"/>
      </w:pPr>
      <w:r>
        <w:rPr>
          <w:rFonts w:ascii="Arial" w:cs="Arial" w:eastAsia="Arial" w:hAnsi="Arial"/>
          <w:color w:val="1A1A2E"/>
          <w:sz w:val="22"/>
          <w:szCs w:val="22"/>
        </w:rPr>
        <w:t xml:space="preserve">Confirm physical inventory counts have been completed and signed off.</w:t>
      </w:r>
    </w:p>
    <w:p>
      <w:pPr>
        <w:pStyle w:val="ListParagraph"/>
        <w:numPr>
          <w:ilvl w:val="0"/>
          <w:numId w:val="3"/>
        </w:numPr>
        <w:spacing w:after="60" w:before="60"/>
      </w:pPr>
      <w:r>
        <w:rPr>
          <w:rFonts w:ascii="Arial" w:cs="Arial" w:eastAsia="Arial" w:hAnsi="Arial"/>
          <w:color w:val="1A1A2E"/>
          <w:sz w:val="22"/>
          <w:szCs w:val="22"/>
        </w:rPr>
        <w:t xml:space="preserve">Post inventory adjustments for write-offs, shrinkage, or cycle count variances.</w:t>
      </w:r>
    </w:p>
    <w:p>
      <w:pPr>
        <w:pStyle w:val="ListParagraph"/>
        <w:numPr>
          <w:ilvl w:val="0"/>
          <w:numId w:val="3"/>
        </w:numPr>
        <w:spacing w:after="60" w:before="60"/>
      </w:pPr>
      <w:r>
        <w:rPr>
          <w:rFonts w:ascii="Arial" w:cs="Arial" w:eastAsia="Arial" w:hAnsi="Arial"/>
          <w:color w:val="1A1A2E"/>
          <w:sz w:val="22"/>
          <w:szCs w:val="22"/>
        </w:rPr>
        <w:t xml:space="preserve">Run the standard cost or weighted average cost update (as per costing method).</w:t>
      </w:r>
    </w:p>
    <w:p>
      <w:pPr>
        <w:pStyle w:val="ListParagraph"/>
        <w:numPr>
          <w:ilvl w:val="0"/>
          <w:numId w:val="3"/>
        </w:numPr>
        <w:spacing w:after="60" w:before="60"/>
      </w:pPr>
      <w:r>
        <w:rPr>
          <w:rFonts w:ascii="Arial" w:cs="Arial" w:eastAsia="Arial" w:hAnsi="Arial"/>
          <w:color w:val="1A1A2E"/>
          <w:sz w:val="22"/>
          <w:szCs w:val="22"/>
        </w:rPr>
        <w:t xml:space="preserve">Calculate and post the Cost of Goods Sold (COGS) for the period.</w:t>
      </w:r>
    </w:p>
    <w:p>
      <w:pPr>
        <w:pStyle w:val="ListParagraph"/>
        <w:numPr>
          <w:ilvl w:val="0"/>
          <w:numId w:val="3"/>
        </w:numPr>
        <w:spacing w:after="60" w:before="60"/>
      </w:pPr>
      <w:r>
        <w:rPr>
          <w:rFonts w:ascii="Arial" w:cs="Arial" w:eastAsia="Arial" w:hAnsi="Arial"/>
          <w:color w:val="1A1A2E"/>
          <w:sz w:val="22"/>
          <w:szCs w:val="22"/>
        </w:rPr>
        <w:t xml:space="preserve">Reconcile the inventory sub-ledger to the GL inventory control account.</w:t>
      </w:r>
    </w:p>
    <w:p>
      <w:pPr>
        <w:spacing w:after="0" w:before="80"/>
      </w:pPr>
    </w:p>
    <w:p>
      <w:pPr>
        <w:pStyle w:val="Heading2"/>
        <w:spacing w:after="120" w:before="240"/>
      </w:pPr>
      <w:r>
        <w:rPr>
          <w:rFonts w:ascii="Arial" w:cs="Arial" w:eastAsia="Arial" w:hAnsi="Arial"/>
          <w:b/>
          <w:bCs/>
          <w:color w:val="2E75B6"/>
          <w:sz w:val="28"/>
          <w:szCs w:val="28"/>
        </w:rPr>
        <w:t xml:space="preserve">5.3 Phase 3: General Ledger (GL) Activities</w:t>
      </w:r>
    </w:p>
    <w:p>
      <w:pPr>
        <w:spacing w:after="120" w:before="60"/>
        <w:jc w:val="both"/>
      </w:pPr>
      <w:r>
        <w:rPr>
          <w:rFonts w:ascii="Arial" w:cs="Arial" w:eastAsia="Arial" w:hAnsi="Arial"/>
          <w:color w:val="1A1A2E"/>
          <w:sz w:val="22"/>
          <w:szCs w:val="22"/>
        </w:rPr>
        <w:t xml:space="preserve">Once sub-ledgers are closed, GL accountants perform period-end postings and adjustments. This phase typically occurs on Day 2–4 of close.</w:t>
      </w:r>
    </w:p>
    <w:p>
      <w:pPr>
        <w:spacing w:after="0" w:before="60"/>
      </w:pPr>
    </w:p>
    <w:p>
      <w:pPr>
        <w:pStyle w:val="ListParagraph"/>
        <w:numPr>
          <w:ilvl w:val="0"/>
          <w:numId w:val="3"/>
        </w:numPr>
        <w:spacing w:after="60" w:before="60"/>
      </w:pPr>
      <w:r>
        <w:rPr>
          <w:rFonts w:ascii="Arial" w:cs="Arial" w:eastAsia="Arial" w:hAnsi="Arial"/>
          <w:color w:val="1A1A2E"/>
          <w:sz w:val="22"/>
          <w:szCs w:val="22"/>
        </w:rPr>
        <w:t xml:space="preserve">Post Standard / Recurring Journal Entries: Pre-approved standard journals (rent, insurance prepayments, interest accruals) are posted per the standard journal schedule.</w:t>
      </w:r>
    </w:p>
    <w:p>
      <w:pPr>
        <w:pStyle w:val="ListParagraph"/>
        <w:numPr>
          <w:ilvl w:val="0"/>
          <w:numId w:val="3"/>
        </w:numPr>
        <w:spacing w:after="60" w:before="60"/>
      </w:pPr>
      <w:r>
        <w:rPr>
          <w:rFonts w:ascii="Arial" w:cs="Arial" w:eastAsia="Arial" w:hAnsi="Arial"/>
          <w:color w:val="1A1A2E"/>
          <w:sz w:val="22"/>
          <w:szCs w:val="22"/>
        </w:rPr>
        <w:t xml:space="preserve">Post Month-End Accruals: All accruals that have not been captured through sub-ledger processing are posted. These include service fee accruals, utility accruals, and revenue accruals.</w:t>
      </w:r>
    </w:p>
    <w:p>
      <w:pPr>
        <w:pStyle w:val="ListParagraph"/>
        <w:numPr>
          <w:ilvl w:val="0"/>
          <w:numId w:val="3"/>
        </w:numPr>
        <w:spacing w:after="60" w:before="60"/>
      </w:pPr>
      <w:r>
        <w:rPr>
          <w:rFonts w:ascii="Arial" w:cs="Arial" w:eastAsia="Arial" w:hAnsi="Arial"/>
          <w:color w:val="1A1A2E"/>
          <w:sz w:val="22"/>
          <w:szCs w:val="22"/>
        </w:rPr>
        <w:t xml:space="preserve">Reverse Prior Month Accruals: Accruals set up in the prior period that are no longer required are reversed on the first day of the new period (or at month-end based on policy).</w:t>
      </w:r>
    </w:p>
    <w:p>
      <w:pPr>
        <w:pStyle w:val="ListParagraph"/>
        <w:numPr>
          <w:ilvl w:val="0"/>
          <w:numId w:val="3"/>
        </w:numPr>
        <w:spacing w:after="60" w:before="60"/>
      </w:pPr>
      <w:r>
        <w:rPr>
          <w:rFonts w:ascii="Arial" w:cs="Arial" w:eastAsia="Arial" w:hAnsi="Arial"/>
          <w:color w:val="1A1A2E"/>
          <w:sz w:val="22"/>
          <w:szCs w:val="22"/>
        </w:rPr>
        <w:t xml:space="preserve">Record Prepayments / Deferred Expenses: Advance payments are amortized over the benefit period and the amortization journal is posted to the P&amp;L.</w:t>
      </w:r>
    </w:p>
    <w:p>
      <w:pPr>
        <w:pStyle w:val="ListParagraph"/>
        <w:numPr>
          <w:ilvl w:val="0"/>
          <w:numId w:val="3"/>
        </w:numPr>
        <w:spacing w:after="60" w:before="60"/>
      </w:pPr>
      <w:r>
        <w:rPr>
          <w:rFonts w:ascii="Arial" w:cs="Arial" w:eastAsia="Arial" w:hAnsi="Arial"/>
          <w:color w:val="1A1A2E"/>
          <w:sz w:val="22"/>
          <w:szCs w:val="22"/>
        </w:rPr>
        <w:t xml:space="preserve">Post Intercompany Transactions: All intercompany recharges, loans, and eliminations are recorded and matched with counterparty companies.</w:t>
      </w:r>
    </w:p>
    <w:p>
      <w:pPr>
        <w:pStyle w:val="ListParagraph"/>
        <w:numPr>
          <w:ilvl w:val="0"/>
          <w:numId w:val="3"/>
        </w:numPr>
        <w:spacing w:after="60" w:before="60"/>
      </w:pPr>
      <w:r>
        <w:rPr>
          <w:rFonts w:ascii="Arial" w:cs="Arial" w:eastAsia="Arial" w:hAnsi="Arial"/>
          <w:color w:val="1A1A2E"/>
          <w:sz w:val="22"/>
          <w:szCs w:val="22"/>
        </w:rPr>
        <w:t xml:space="preserve">Perform Currency Revaluation: Open foreign-currency balances (AR, AP, bank, intercompany) are revalued using the period-end exchange rate. Realized and unrealized FX gains/losses are posted.</w:t>
      </w:r>
    </w:p>
    <w:p>
      <w:pPr>
        <w:pStyle w:val="ListParagraph"/>
        <w:numPr>
          <w:ilvl w:val="0"/>
          <w:numId w:val="3"/>
        </w:numPr>
        <w:spacing w:after="60" w:before="60"/>
      </w:pPr>
      <w:r>
        <w:rPr>
          <w:rFonts w:ascii="Arial" w:cs="Arial" w:eastAsia="Arial" w:hAnsi="Arial"/>
          <w:color w:val="1A1A2E"/>
          <w:sz w:val="22"/>
          <w:szCs w:val="22"/>
        </w:rPr>
        <w:t xml:space="preserve">Post Tax Provisions: The income tax provision (current and deferred tax) is calculated and posted by the Tax team in coordination with GL.</w:t>
      </w:r>
    </w:p>
    <w:p>
      <w:pPr>
        <w:pStyle w:val="ListParagraph"/>
        <w:numPr>
          <w:ilvl w:val="0"/>
          <w:numId w:val="3"/>
        </w:numPr>
        <w:spacing w:after="60" w:before="60"/>
      </w:pPr>
      <w:r>
        <w:rPr>
          <w:rFonts w:ascii="Arial" w:cs="Arial" w:eastAsia="Arial" w:hAnsi="Arial"/>
          <w:color w:val="1A1A2E"/>
          <w:sz w:val="22"/>
          <w:szCs w:val="22"/>
        </w:rPr>
        <w:t xml:space="preserve">Allocate Overhead Costs: Corporate overhead and shared service costs are allocated to business units/cost centers per the agreed allocation methodology.</w:t>
      </w:r>
    </w:p>
    <w:p>
      <w:pPr>
        <w:pStyle w:val="ListParagraph"/>
        <w:numPr>
          <w:ilvl w:val="0"/>
          <w:numId w:val="3"/>
        </w:numPr>
        <w:spacing w:after="60" w:before="60"/>
      </w:pPr>
      <w:r>
        <w:rPr>
          <w:rFonts w:ascii="Arial" w:cs="Arial" w:eastAsia="Arial" w:hAnsi="Arial"/>
          <w:color w:val="1A1A2E"/>
          <w:sz w:val="22"/>
          <w:szCs w:val="22"/>
        </w:rPr>
        <w:t xml:space="preserve">Review and Approve All Journals: All manual journals must be reviewed and approved by a second-level reviewer (segregation of duties control) before being posted.</w:t>
      </w:r>
    </w:p>
    <w:p>
      <w:pPr>
        <w:spacing w:after="0" w:before="80"/>
      </w:pPr>
    </w:p>
    <w:p>
      <w:pPr>
        <w:pStyle w:val="Heading2"/>
        <w:spacing w:after="120" w:before="240"/>
      </w:pPr>
      <w:r>
        <w:rPr>
          <w:rFonts w:ascii="Arial" w:cs="Arial" w:eastAsia="Arial" w:hAnsi="Arial"/>
          <w:b/>
          <w:bCs/>
          <w:color w:val="2E75B6"/>
          <w:sz w:val="28"/>
          <w:szCs w:val="28"/>
        </w:rPr>
        <w:t xml:space="preserve">5.4 Phase 4: Reconciliations &amp; Adjustments</w:t>
      </w:r>
    </w:p>
    <w:p>
      <w:pPr>
        <w:spacing w:after="120" w:before="60"/>
        <w:jc w:val="both"/>
      </w:pPr>
      <w:r>
        <w:rPr>
          <w:rFonts w:ascii="Arial" w:cs="Arial" w:eastAsia="Arial" w:hAnsi="Arial"/>
          <w:color w:val="1A1A2E"/>
          <w:sz w:val="22"/>
          <w:szCs w:val="22"/>
        </w:rPr>
        <w:t xml:space="preserve">Reconciliation is the most critical quality-control step in the R2R process. Every balance sheet account must be reconciled, and any discrepancy must be investigated and resolved before the books are closed.</w:t>
      </w:r>
    </w:p>
    <w:p>
      <w:pPr>
        <w:spacing w:after="0" w:before="60"/>
      </w:pPr>
    </w:p>
    <w:p>
      <w:pPr>
        <w:pStyle w:val="ListParagraph"/>
        <w:numPr>
          <w:ilvl w:val="0"/>
          <w:numId w:val="3"/>
        </w:numPr>
        <w:spacing w:after="60" w:before="60"/>
      </w:pPr>
      <w:r>
        <w:rPr>
          <w:rFonts w:ascii="Arial" w:cs="Arial" w:eastAsia="Arial" w:hAnsi="Arial"/>
          <w:color w:val="1A1A2E"/>
          <w:sz w:val="22"/>
          <w:szCs w:val="22"/>
        </w:rPr>
        <w:t xml:space="preserve">Bank Reconciliation: Compare the GL cash/bank balance to the bank statement. Identify and clear outstanding deposits, outstanding cheques, and bank charges. Prepare a formal bank reconciliation statement.</w:t>
      </w:r>
    </w:p>
    <w:p>
      <w:pPr>
        <w:pStyle w:val="ListParagraph"/>
        <w:numPr>
          <w:ilvl w:val="0"/>
          <w:numId w:val="3"/>
        </w:numPr>
        <w:spacing w:after="60" w:before="60"/>
      </w:pPr>
      <w:r>
        <w:rPr>
          <w:rFonts w:ascii="Arial" w:cs="Arial" w:eastAsia="Arial" w:hAnsi="Arial"/>
          <w:color w:val="1A1A2E"/>
          <w:sz w:val="22"/>
          <w:szCs w:val="22"/>
        </w:rPr>
        <w:t xml:space="preserve">Balance Sheet Account Reconciliation: Each balance sheet account (assets, liabilities, and equity) is reconciled to supporting schedules or subsidiary ledgers. Unreconciled items are escalated.</w:t>
      </w:r>
    </w:p>
    <w:p>
      <w:pPr>
        <w:pStyle w:val="ListParagraph"/>
        <w:numPr>
          <w:ilvl w:val="0"/>
          <w:numId w:val="3"/>
        </w:numPr>
        <w:spacing w:after="60" w:before="60"/>
      </w:pPr>
      <w:r>
        <w:rPr>
          <w:rFonts w:ascii="Arial" w:cs="Arial" w:eastAsia="Arial" w:hAnsi="Arial"/>
          <w:color w:val="1A1A2E"/>
          <w:sz w:val="22"/>
          <w:szCs w:val="22"/>
        </w:rPr>
        <w:t xml:space="preserve">Intercompany Reconciliation: All intercompany balances are matched between entities. Any out-of-balance intercompany amounts must be investigated, and the appropriate elimination entries must be agreed upon before consolidation.</w:t>
      </w:r>
    </w:p>
    <w:p>
      <w:pPr>
        <w:pStyle w:val="ListParagraph"/>
        <w:numPr>
          <w:ilvl w:val="0"/>
          <w:numId w:val="3"/>
        </w:numPr>
        <w:spacing w:after="60" w:before="60"/>
      </w:pPr>
      <w:r>
        <w:rPr>
          <w:rFonts w:ascii="Arial" w:cs="Arial" w:eastAsia="Arial" w:hAnsi="Arial"/>
          <w:color w:val="1A1A2E"/>
          <w:sz w:val="22"/>
          <w:szCs w:val="22"/>
        </w:rPr>
        <w:t xml:space="preserve">Prepayment &amp; Accrual Schedule Review: The prepayment register and accrual schedule are reviewed to ensure all balances are current, complete, and properly supported.</w:t>
      </w:r>
    </w:p>
    <w:p>
      <w:pPr>
        <w:pStyle w:val="ListParagraph"/>
        <w:numPr>
          <w:ilvl w:val="0"/>
          <w:numId w:val="3"/>
        </w:numPr>
        <w:spacing w:after="60" w:before="60"/>
      </w:pPr>
      <w:r>
        <w:rPr>
          <w:rFonts w:ascii="Arial" w:cs="Arial" w:eastAsia="Arial" w:hAnsi="Arial"/>
          <w:color w:val="1A1A2E"/>
          <w:sz w:val="22"/>
          <w:szCs w:val="22"/>
        </w:rPr>
        <w:t xml:space="preserve">Trial Balance Review: The Controller reviews the Trial Balance to identify any unusual movements, large credit balances in expense accounts, or debit balances in liability accounts. Flux analysis is performed (actual vs. prior month, actual vs. budget).</w:t>
      </w:r>
    </w:p>
    <w:p>
      <w:pPr>
        <w:pStyle w:val="ListParagraph"/>
        <w:numPr>
          <w:ilvl w:val="0"/>
          <w:numId w:val="3"/>
        </w:numPr>
        <w:spacing w:after="60" w:before="60"/>
      </w:pPr>
      <w:r>
        <w:rPr>
          <w:rFonts w:ascii="Arial" w:cs="Arial" w:eastAsia="Arial" w:hAnsi="Arial"/>
          <w:color w:val="1A1A2E"/>
          <w:sz w:val="22"/>
          <w:szCs w:val="22"/>
        </w:rPr>
        <w:t xml:space="preserve">Adjusting Journal Entries: Based on the Trial Balance review and reconciliation findings, adjusting entries are posted to correct errors, reclassify transactions, or record omitted amounts.</w:t>
      </w:r>
    </w:p>
    <w:p>
      <w:pPr>
        <w:pStyle w:val="ListParagraph"/>
        <w:numPr>
          <w:ilvl w:val="0"/>
          <w:numId w:val="3"/>
        </w:numPr>
        <w:spacing w:after="60" w:before="60"/>
      </w:pPr>
      <w:r>
        <w:rPr>
          <w:rFonts w:ascii="Arial" w:cs="Arial" w:eastAsia="Arial" w:hAnsi="Arial"/>
          <w:color w:val="1A1A2E"/>
          <w:sz w:val="22"/>
          <w:szCs w:val="22"/>
        </w:rPr>
        <w:t xml:space="preserve">Final Approval of Adjustments: All adjustments above the materiality threshold are approved by the Finance Controller or CFO.</w:t>
      </w:r>
    </w:p>
    <w:p>
      <w:pPr>
        <w:spacing w:after="0" w:before="80"/>
      </w:pPr>
    </w:p>
    <w:p>
      <w:pPr>
        <w:pStyle w:val="Heading2"/>
        <w:spacing w:after="120" w:before="240"/>
      </w:pPr>
      <w:r>
        <w:rPr>
          <w:rFonts w:ascii="Arial" w:cs="Arial" w:eastAsia="Arial" w:hAnsi="Arial"/>
          <w:b/>
          <w:bCs/>
          <w:color w:val="2E75B6"/>
          <w:sz w:val="28"/>
          <w:szCs w:val="28"/>
        </w:rPr>
        <w:t xml:space="preserve">5.5 Phase 5: Financial Reporting &amp; Review</w:t>
      </w:r>
    </w:p>
    <w:p>
      <w:pPr>
        <w:spacing w:after="120" w:before="60"/>
        <w:jc w:val="both"/>
      </w:pPr>
      <w:r>
        <w:rPr>
          <w:rFonts w:ascii="Arial" w:cs="Arial" w:eastAsia="Arial" w:hAnsi="Arial"/>
          <w:color w:val="1A1A2E"/>
          <w:sz w:val="22"/>
          <w:szCs w:val="22"/>
        </w:rPr>
        <w:t xml:space="preserve">Once all adjustments are posted and accounts are reconciled, the financial statements are prepared and reviewed. This phase typically occurs on Day 4–6.</w:t>
      </w:r>
    </w:p>
    <w:p>
      <w:pPr>
        <w:spacing w:after="0" w:before="60"/>
      </w:pPr>
    </w:p>
    <w:p>
      <w:pPr>
        <w:pStyle w:val="ListParagraph"/>
        <w:numPr>
          <w:ilvl w:val="0"/>
          <w:numId w:val="3"/>
        </w:numPr>
        <w:spacing w:after="60" w:before="60"/>
      </w:pPr>
      <w:r>
        <w:rPr>
          <w:rFonts w:ascii="Arial" w:cs="Arial" w:eastAsia="Arial" w:hAnsi="Arial"/>
          <w:color w:val="1A1A2E"/>
          <w:sz w:val="22"/>
          <w:szCs w:val="22"/>
        </w:rPr>
        <w:t xml:space="preserve">Extract Trial Balance from ERP: A final, post-all-adjustments Trial Balance is extracted from the ERP system.</w:t>
      </w:r>
    </w:p>
    <w:p>
      <w:pPr>
        <w:pStyle w:val="ListParagraph"/>
        <w:numPr>
          <w:ilvl w:val="0"/>
          <w:numId w:val="3"/>
        </w:numPr>
        <w:spacing w:after="60" w:before="60"/>
      </w:pPr>
      <w:r>
        <w:rPr>
          <w:rFonts w:ascii="Arial" w:cs="Arial" w:eastAsia="Arial" w:hAnsi="Arial"/>
          <w:color w:val="1A1A2E"/>
          <w:sz w:val="22"/>
          <w:szCs w:val="22"/>
        </w:rPr>
        <w:t xml:space="preserve">Prepare Profit &amp; Loss Statement (Income Statement): The P&amp;L is mapped from the Trial Balance accounts to the reporting structure. Revenue, Cost of Goods Sold, Gross Profit, Operating Expenses, EBITDA, and Net Profit are calculated and presented.</w:t>
      </w:r>
    </w:p>
    <w:p>
      <w:pPr>
        <w:pStyle w:val="ListParagraph"/>
        <w:numPr>
          <w:ilvl w:val="0"/>
          <w:numId w:val="3"/>
        </w:numPr>
        <w:spacing w:after="60" w:before="60"/>
      </w:pPr>
      <w:r>
        <w:rPr>
          <w:rFonts w:ascii="Arial" w:cs="Arial" w:eastAsia="Arial" w:hAnsi="Arial"/>
          <w:color w:val="1A1A2E"/>
          <w:sz w:val="22"/>
          <w:szCs w:val="22"/>
        </w:rPr>
        <w:t xml:space="preserve">Prepare Balance Sheet: All asset, liability, and equity accounts are mapped to the Balance Sheet format. The Balance Sheet is verified to balance (Assets = Liabilities + Equity).</w:t>
      </w:r>
    </w:p>
    <w:p>
      <w:pPr>
        <w:pStyle w:val="ListParagraph"/>
        <w:numPr>
          <w:ilvl w:val="0"/>
          <w:numId w:val="3"/>
        </w:numPr>
        <w:spacing w:after="60" w:before="60"/>
      </w:pPr>
      <w:r>
        <w:rPr>
          <w:rFonts w:ascii="Arial" w:cs="Arial" w:eastAsia="Arial" w:hAnsi="Arial"/>
          <w:color w:val="1A1A2E"/>
          <w:sz w:val="22"/>
          <w:szCs w:val="22"/>
        </w:rPr>
        <w:t xml:space="preserve">Prepare Cash Flow Statement: The cash flow statement is prepared using either the direct or indirect method. Cash flows from operating, investing, and financing activities are calculated and reviewed.</w:t>
      </w:r>
    </w:p>
    <w:p>
      <w:pPr>
        <w:pStyle w:val="ListParagraph"/>
        <w:numPr>
          <w:ilvl w:val="0"/>
          <w:numId w:val="3"/>
        </w:numPr>
        <w:spacing w:after="60" w:before="60"/>
      </w:pPr>
      <w:r>
        <w:rPr>
          <w:rFonts w:ascii="Arial" w:cs="Arial" w:eastAsia="Arial" w:hAnsi="Arial"/>
          <w:color w:val="1A1A2E"/>
          <w:sz w:val="22"/>
          <w:szCs w:val="22"/>
        </w:rPr>
        <w:t xml:space="preserve">Consolidation (Group Reporting): For multi-entity organizations, entity-level financials are consolidated, intercompany transactions are eliminated, and the Group financial statements are prepared.</w:t>
      </w:r>
    </w:p>
    <w:p>
      <w:pPr>
        <w:pStyle w:val="ListParagraph"/>
        <w:numPr>
          <w:ilvl w:val="0"/>
          <w:numId w:val="3"/>
        </w:numPr>
        <w:spacing w:after="60" w:before="60"/>
      </w:pPr>
      <w:r>
        <w:rPr>
          <w:rFonts w:ascii="Arial" w:cs="Arial" w:eastAsia="Arial" w:hAnsi="Arial"/>
          <w:color w:val="1A1A2E"/>
          <w:sz w:val="22"/>
          <w:szCs w:val="22"/>
        </w:rPr>
        <w:t xml:space="preserve">Prepare Management Reports &amp; Variance Analysis: Management reporting pack includes P&amp;L vs. budget, P&amp;L vs. prior period, Balance Sheet summary, KPI dashboard, and written commentary on significant variances.</w:t>
      </w:r>
    </w:p>
    <w:p>
      <w:pPr>
        <w:pStyle w:val="ListParagraph"/>
        <w:numPr>
          <w:ilvl w:val="0"/>
          <w:numId w:val="3"/>
        </w:numPr>
        <w:spacing w:after="60" w:before="60"/>
      </w:pPr>
      <w:r>
        <w:rPr>
          <w:rFonts w:ascii="Arial" w:cs="Arial" w:eastAsia="Arial" w:hAnsi="Arial"/>
          <w:color w:val="1A1A2E"/>
          <w:sz w:val="22"/>
          <w:szCs w:val="22"/>
        </w:rPr>
        <w:t xml:space="preserve">Review &amp; Challenge Meeting: The Finance Controller and business unit finance partners review the financial statements together. Significant variances are explained, and any further adjustments are posted.</w:t>
      </w:r>
    </w:p>
    <w:p>
      <w:pPr>
        <w:pStyle w:val="ListParagraph"/>
        <w:numPr>
          <w:ilvl w:val="0"/>
          <w:numId w:val="3"/>
        </w:numPr>
        <w:spacing w:after="60" w:before="60"/>
      </w:pPr>
      <w:r>
        <w:rPr>
          <w:rFonts w:ascii="Arial" w:cs="Arial" w:eastAsia="Arial" w:hAnsi="Arial"/>
          <w:color w:val="1A1A2E"/>
          <w:sz w:val="22"/>
          <w:szCs w:val="22"/>
        </w:rPr>
        <w:t xml:space="preserve">CFO / Senior Management Review: The CFO reviews the consolidated financials and management report prior to finalization. Any material queries are resolved.</w:t>
      </w:r>
    </w:p>
    <w:p>
      <w:pPr>
        <w:spacing w:after="0" w:before="80"/>
      </w:pPr>
    </w:p>
    <w:p>
      <w:pPr>
        <w:pStyle w:val="Heading2"/>
        <w:spacing w:after="120" w:before="240"/>
      </w:pPr>
      <w:r>
        <w:rPr>
          <w:rFonts w:ascii="Arial" w:cs="Arial" w:eastAsia="Arial" w:hAnsi="Arial"/>
          <w:b/>
          <w:bCs/>
          <w:color w:val="2E75B6"/>
          <w:sz w:val="28"/>
          <w:szCs w:val="28"/>
        </w:rPr>
        <w:t xml:space="preserve">5.6 Phase 6: Close Sign-Off &amp; Period Lock</w:t>
      </w:r>
    </w:p>
    <w:p>
      <w:pPr>
        <w:spacing w:after="120" w:before="60"/>
        <w:jc w:val="both"/>
      </w:pPr>
      <w:r>
        <w:rPr>
          <w:rFonts w:ascii="Arial" w:cs="Arial" w:eastAsia="Arial" w:hAnsi="Arial"/>
          <w:color w:val="1A1A2E"/>
          <w:sz w:val="22"/>
          <w:szCs w:val="22"/>
        </w:rPr>
        <w:t xml:space="preserve">The final phase ensures the books are formally closed, locked against further changes, and all documentation is archived for audit purposes.</w:t>
      </w:r>
    </w:p>
    <w:p>
      <w:pPr>
        <w:spacing w:after="0" w:before="60"/>
      </w:pPr>
    </w:p>
    <w:p>
      <w:pPr>
        <w:pStyle w:val="ListParagraph"/>
        <w:numPr>
          <w:ilvl w:val="0"/>
          <w:numId w:val="3"/>
        </w:numPr>
        <w:spacing w:after="60" w:before="60"/>
      </w:pPr>
      <w:r>
        <w:rPr>
          <w:rFonts w:ascii="Arial" w:cs="Arial" w:eastAsia="Arial" w:hAnsi="Arial"/>
          <w:color w:val="1A1A2E"/>
          <w:sz w:val="22"/>
          <w:szCs w:val="22"/>
        </w:rPr>
        <w:t xml:space="preserve">Obtain Formal Close Sign-Off: The Finance Controller signs off on the close checklist, confirming all tasks have been completed and the financial statements have been reviewed and approved.</w:t>
      </w:r>
    </w:p>
    <w:p>
      <w:pPr>
        <w:pStyle w:val="ListParagraph"/>
        <w:numPr>
          <w:ilvl w:val="0"/>
          <w:numId w:val="3"/>
        </w:numPr>
        <w:spacing w:after="60" w:before="60"/>
      </w:pPr>
      <w:r>
        <w:rPr>
          <w:rFonts w:ascii="Arial" w:cs="Arial" w:eastAsia="Arial" w:hAnsi="Arial"/>
          <w:color w:val="1A1A2E"/>
          <w:sz w:val="22"/>
          <w:szCs w:val="22"/>
        </w:rPr>
        <w:t xml:space="preserve">Lock the Accounting Period in ERP: The current period is locked in the ERP system to prevent any further postings. Only a Super User or System Administrator can unlock it, and this requires documented approval.</w:t>
      </w:r>
    </w:p>
    <w:p>
      <w:pPr>
        <w:pStyle w:val="ListParagraph"/>
        <w:numPr>
          <w:ilvl w:val="0"/>
          <w:numId w:val="3"/>
        </w:numPr>
        <w:spacing w:after="60" w:before="60"/>
      </w:pPr>
      <w:r>
        <w:rPr>
          <w:rFonts w:ascii="Arial" w:cs="Arial" w:eastAsia="Arial" w:hAnsi="Arial"/>
          <w:color w:val="1A1A2E"/>
          <w:sz w:val="22"/>
          <w:szCs w:val="22"/>
        </w:rPr>
        <w:t xml:space="preserve">Post-Close Journal Entries (if required): Any late adjustments that arise after period lock must go through a formal Post-Close JE Request process, with additional approvals and documentation.</w:t>
      </w:r>
    </w:p>
    <w:p>
      <w:pPr>
        <w:pStyle w:val="ListParagraph"/>
        <w:numPr>
          <w:ilvl w:val="0"/>
          <w:numId w:val="3"/>
        </w:numPr>
        <w:spacing w:after="60" w:before="60"/>
      </w:pPr>
      <w:r>
        <w:rPr>
          <w:rFonts w:ascii="Arial" w:cs="Arial" w:eastAsia="Arial" w:hAnsi="Arial"/>
          <w:color w:val="1A1A2E"/>
          <w:sz w:val="22"/>
          <w:szCs w:val="22"/>
        </w:rPr>
        <w:t xml:space="preserve">Distribute Financial Statements: Final financial statements and management reports are distributed to all authorized stakeholders (Board, Investors, Business Unit Heads, Tax, Treasury).</w:t>
      </w:r>
    </w:p>
    <w:p>
      <w:pPr>
        <w:pStyle w:val="ListParagraph"/>
        <w:numPr>
          <w:ilvl w:val="0"/>
          <w:numId w:val="3"/>
        </w:numPr>
        <w:spacing w:after="60" w:before="60"/>
      </w:pPr>
      <w:r>
        <w:rPr>
          <w:rFonts w:ascii="Arial" w:cs="Arial" w:eastAsia="Arial" w:hAnsi="Arial"/>
          <w:color w:val="1A1A2E"/>
          <w:sz w:val="22"/>
          <w:szCs w:val="22"/>
        </w:rPr>
        <w:t xml:space="preserve">Archive All Close Documentation: All reconciliations, journal entries, supporting schedules, approval emails, and variance analysis documents are archived in the document management system (SharePoint / OneDrive / Google Drive) with appropriate naming conventions.</w:t>
      </w:r>
    </w:p>
    <w:p>
      <w:pPr>
        <w:pStyle w:val="ListParagraph"/>
        <w:numPr>
          <w:ilvl w:val="0"/>
          <w:numId w:val="3"/>
        </w:numPr>
        <w:spacing w:after="60" w:before="60"/>
      </w:pPr>
      <w:r>
        <w:rPr>
          <w:rFonts w:ascii="Arial" w:cs="Arial" w:eastAsia="Arial" w:hAnsi="Arial"/>
          <w:color w:val="1A1A2E"/>
          <w:sz w:val="22"/>
          <w:szCs w:val="22"/>
        </w:rPr>
        <w:t xml:space="preserve">Conduct Post-Close Lessons Learned: A brief post-close review meeting identifies what went well, what delays occurred, and process improvement actions for the next close cycle.</w:t>
      </w:r>
    </w:p>
    <w:p>
      <w:pPr>
        <w:pStyle w:val="ListParagraph"/>
        <w:numPr>
          <w:ilvl w:val="0"/>
          <w:numId w:val="3"/>
        </w:numPr>
        <w:spacing w:after="60" w:before="60"/>
      </w:pPr>
      <w:r>
        <w:rPr>
          <w:rFonts w:ascii="Arial" w:cs="Arial" w:eastAsia="Arial" w:hAnsi="Arial"/>
          <w:color w:val="1A1A2E"/>
          <w:sz w:val="22"/>
          <w:szCs w:val="22"/>
        </w:rPr>
        <w:t xml:space="preserve">Open Next Accounting Period: IT/ERP opens the next accounting period to allow transactions to be posted.</w:t>
      </w:r>
    </w:p>
    <w:p>
      <w:pPr>
        <w:pStyle w:val="Heading1"/>
        <w:pBdr>
          <w:bottom w:val="single" w:color="2E75B6" w:sz="6" w:space="1"/>
        </w:pBdr>
        <w:spacing w:after="120" w:before="360"/>
      </w:pPr>
      <w:r>
        <w:rPr>
          <w:rFonts w:ascii="Arial" w:cs="Arial" w:eastAsia="Arial" w:hAnsi="Arial"/>
          <w:b/>
          <w:bCs/>
          <w:color w:val="1F3864"/>
          <w:sz w:val="36"/>
          <w:szCs w:val="36"/>
        </w:rPr>
        <w:t xml:space="preserve">6. Year-End Close — Additional Steps</w:t>
      </w:r>
    </w:p>
    <w:p>
      <w:pPr>
        <w:spacing w:after="120" w:before="60"/>
        <w:jc w:val="both"/>
      </w:pPr>
      <w:r>
        <w:rPr>
          <w:rFonts w:ascii="Arial" w:cs="Arial" w:eastAsia="Arial" w:hAnsi="Arial"/>
          <w:color w:val="1A1A2E"/>
          <w:sz w:val="22"/>
          <w:szCs w:val="22"/>
        </w:rPr>
        <w:t xml:space="preserve">The Year-End Close includes all month-end close activities plus additional statutory, regulatory, and audit-related activities. Year-end close typically takes 10–20 business days due to its complexity.</w:t>
      </w:r>
    </w:p>
    <w:p>
      <w:pPr>
        <w:spacing w:after="0" w:before="60"/>
      </w:pPr>
    </w:p>
    <w:p>
      <w:pPr>
        <w:spacing w:after="40" w:before="80"/>
      </w:pPr>
      <w:r>
        <w:rPr>
          <w:rFonts w:ascii="Arial" w:cs="Arial" w:eastAsia="Arial" w:hAnsi="Arial"/>
          <w:b/>
          <w:bCs/>
          <w:color w:val="1A1A2E"/>
          <w:sz w:val="22"/>
          <w:szCs w:val="22"/>
        </w:rPr>
        <w:t xml:space="preserve">Additional Year-End Activities:</w:t>
      </w:r>
    </w:p>
    <w:p>
      <w:pPr>
        <w:pStyle w:val="ListParagraph"/>
        <w:numPr>
          <w:ilvl w:val="0"/>
          <w:numId w:val="3"/>
        </w:numPr>
        <w:spacing w:after="60" w:before="60"/>
      </w:pPr>
      <w:r>
        <w:rPr>
          <w:rFonts w:ascii="Arial" w:cs="Arial" w:eastAsia="Arial" w:hAnsi="Arial"/>
          <w:color w:val="1A1A2E"/>
          <w:sz w:val="22"/>
          <w:szCs w:val="22"/>
        </w:rPr>
        <w:t xml:space="preserve">External Auditor Coordination: External auditors are provided with the Trial Balance, all account reconciliations, and key supporting schedules. All audit queries (PBCs — Provided By Client) must be responded to within agreed timelines.</w:t>
      </w:r>
    </w:p>
    <w:p>
      <w:pPr>
        <w:pStyle w:val="ListParagraph"/>
        <w:numPr>
          <w:ilvl w:val="0"/>
          <w:numId w:val="3"/>
        </w:numPr>
        <w:spacing w:after="60" w:before="60"/>
      </w:pPr>
      <w:r>
        <w:rPr>
          <w:rFonts w:ascii="Arial" w:cs="Arial" w:eastAsia="Arial" w:hAnsi="Arial"/>
          <w:color w:val="1A1A2E"/>
          <w:sz w:val="22"/>
          <w:szCs w:val="22"/>
        </w:rPr>
        <w:t xml:space="preserve">Year-End Inventory Count: A full physical inventory count is conducted and signed off. Count variances are adjusted in the books after approval.</w:t>
      </w:r>
    </w:p>
    <w:p>
      <w:pPr>
        <w:pStyle w:val="ListParagraph"/>
        <w:numPr>
          <w:ilvl w:val="0"/>
          <w:numId w:val="3"/>
        </w:numPr>
        <w:spacing w:after="60" w:before="60"/>
      </w:pPr>
      <w:r>
        <w:rPr>
          <w:rFonts w:ascii="Arial" w:cs="Arial" w:eastAsia="Arial" w:hAnsi="Arial"/>
          <w:color w:val="1A1A2E"/>
          <w:sz w:val="22"/>
          <w:szCs w:val="22"/>
        </w:rPr>
        <w:t xml:space="preserve">Fixed Assets Comprehensive Review: Full physical verification of all fixed assets is conducted. Impairment reviews are performed in accordance with IAS 36. Fully depreciated but still-in-use assets are reviewed for write-off or revaluation.</w:t>
      </w:r>
    </w:p>
    <w:p>
      <w:pPr>
        <w:pStyle w:val="ListParagraph"/>
        <w:numPr>
          <w:ilvl w:val="0"/>
          <w:numId w:val="3"/>
        </w:numPr>
        <w:spacing w:after="60" w:before="60"/>
      </w:pPr>
      <w:r>
        <w:rPr>
          <w:rFonts w:ascii="Arial" w:cs="Arial" w:eastAsia="Arial" w:hAnsi="Arial"/>
          <w:color w:val="1A1A2E"/>
          <w:sz w:val="22"/>
          <w:szCs w:val="22"/>
        </w:rPr>
        <w:t xml:space="preserve">Annual Bonus &amp; Incentive Accruals: Year-end bonuses, performance incentives, and employee benefit provisions are calculated based on final-year results and HR approvals.</w:t>
      </w:r>
    </w:p>
    <w:p>
      <w:pPr>
        <w:pStyle w:val="ListParagraph"/>
        <w:numPr>
          <w:ilvl w:val="0"/>
          <w:numId w:val="3"/>
        </w:numPr>
        <w:spacing w:after="60" w:before="60"/>
      </w:pPr>
      <w:r>
        <w:rPr>
          <w:rFonts w:ascii="Arial" w:cs="Arial" w:eastAsia="Arial" w:hAnsi="Arial"/>
          <w:color w:val="1A1A2E"/>
          <w:sz w:val="22"/>
          <w:szCs w:val="22"/>
        </w:rPr>
        <w:t xml:space="preserve">Annual Tax Computation: The corporate income tax computation is finalized in coordination with the tax department/external tax advisors. Deferred tax assets and liabilities are recalculated.</w:t>
      </w:r>
    </w:p>
    <w:p>
      <w:pPr>
        <w:pStyle w:val="ListParagraph"/>
        <w:numPr>
          <w:ilvl w:val="0"/>
          <w:numId w:val="3"/>
        </w:numPr>
        <w:spacing w:after="60" w:before="60"/>
      </w:pPr>
      <w:r>
        <w:rPr>
          <w:rFonts w:ascii="Arial" w:cs="Arial" w:eastAsia="Arial" w:hAnsi="Arial"/>
          <w:color w:val="1A1A2E"/>
          <w:sz w:val="22"/>
          <w:szCs w:val="22"/>
        </w:rPr>
        <w:t xml:space="preserve">Statutory Financial Statements Preparation: Financial statements are prepared in the statutory format required by the Companies Act, SEBI, or applicable regulatory framework, including notes to accounts and disclosures.</w:t>
      </w:r>
    </w:p>
    <w:p>
      <w:pPr>
        <w:pStyle w:val="ListParagraph"/>
        <w:numPr>
          <w:ilvl w:val="0"/>
          <w:numId w:val="3"/>
        </w:numPr>
        <w:spacing w:after="60" w:before="60"/>
      </w:pPr>
      <w:r>
        <w:rPr>
          <w:rFonts w:ascii="Arial" w:cs="Arial" w:eastAsia="Arial" w:hAnsi="Arial"/>
          <w:color w:val="1A1A2E"/>
          <w:sz w:val="22"/>
          <w:szCs w:val="22"/>
        </w:rPr>
        <w:t xml:space="preserve">Board Approval of Financial Statements: The Board of Directors approves the annual financial statements. The CFO and CEO sign the financial statements confirming their accuracy.</w:t>
      </w:r>
    </w:p>
    <w:p>
      <w:pPr>
        <w:pStyle w:val="ListParagraph"/>
        <w:numPr>
          <w:ilvl w:val="0"/>
          <w:numId w:val="3"/>
        </w:numPr>
        <w:spacing w:after="60" w:before="60"/>
      </w:pPr>
      <w:r>
        <w:rPr>
          <w:rFonts w:ascii="Arial" w:cs="Arial" w:eastAsia="Arial" w:hAnsi="Arial"/>
          <w:color w:val="1A1A2E"/>
          <w:sz w:val="22"/>
          <w:szCs w:val="22"/>
        </w:rPr>
        <w:t xml:space="preserve">External Audit Sign-Off: External auditors issue their audit opinion (unqualified/modified) and the Audit Report is finalized.</w:t>
      </w:r>
    </w:p>
    <w:p>
      <w:pPr>
        <w:pStyle w:val="ListParagraph"/>
        <w:numPr>
          <w:ilvl w:val="0"/>
          <w:numId w:val="3"/>
        </w:numPr>
        <w:spacing w:after="60" w:before="60"/>
      </w:pPr>
      <w:r>
        <w:rPr>
          <w:rFonts w:ascii="Arial" w:cs="Arial" w:eastAsia="Arial" w:hAnsi="Arial"/>
          <w:color w:val="1A1A2E"/>
          <w:sz w:val="22"/>
          <w:szCs w:val="22"/>
        </w:rPr>
        <w:t xml:space="preserve">Annual Report Preparation: The Financial Statements are combined with the Director's Report, Management Discussion &amp; Analysis (MD&amp;A), and Corporate Governance Report to form the Annual Report.</w:t>
      </w:r>
    </w:p>
    <w:p>
      <w:pPr>
        <w:pStyle w:val="ListParagraph"/>
        <w:numPr>
          <w:ilvl w:val="0"/>
          <w:numId w:val="3"/>
        </w:numPr>
        <w:spacing w:after="60" w:before="60"/>
      </w:pPr>
      <w:r>
        <w:rPr>
          <w:rFonts w:ascii="Arial" w:cs="Arial" w:eastAsia="Arial" w:hAnsi="Arial"/>
          <w:color w:val="1A1A2E"/>
          <w:sz w:val="22"/>
          <w:szCs w:val="22"/>
        </w:rPr>
        <w:t xml:space="preserve">Statutory Filing: Annual financial statements and tax returns are filed with the Registrar of Companies (MCA), Income Tax Authorities, and other applicable regulators within statutory due dates.</w:t>
      </w:r>
    </w:p>
    <w:p>
      <w:pPr>
        <w:pStyle w:val="ListParagraph"/>
        <w:numPr>
          <w:ilvl w:val="0"/>
          <w:numId w:val="3"/>
        </w:numPr>
        <w:spacing w:after="60" w:before="60"/>
      </w:pPr>
      <w:r>
        <w:rPr>
          <w:rFonts w:ascii="Arial" w:cs="Arial" w:eastAsia="Arial" w:hAnsi="Arial"/>
          <w:color w:val="1A1A2E"/>
          <w:sz w:val="22"/>
          <w:szCs w:val="22"/>
        </w:rPr>
        <w:t xml:space="preserve">Year-End Close of Books: The current year is permanently closed in ERP. Retained earnings are rolled forward to the new year. Opening balances for the new fiscal year are confirmed.</w:t>
      </w:r>
    </w:p>
    <w:p>
      <w:pPr>
        <w:pStyle w:val="ListParagraph"/>
        <w:numPr>
          <w:ilvl w:val="0"/>
          <w:numId w:val="3"/>
        </w:numPr>
        <w:spacing w:after="60" w:before="60"/>
      </w:pPr>
      <w:r>
        <w:rPr>
          <w:rFonts w:ascii="Arial" w:cs="Arial" w:eastAsia="Arial" w:hAnsi="Arial"/>
          <w:color w:val="1A1A2E"/>
          <w:sz w:val="22"/>
          <w:szCs w:val="22"/>
        </w:rPr>
        <w:t xml:space="preserve">New Fiscal Year Budget Upload: Approved budgets and forecasts for the new fiscal year are uploaded into the ERP/planning system.</w:t>
      </w:r>
    </w:p>
    <w:p>
      <w:pPr>
        <w:pStyle w:val="Heading1"/>
        <w:pBdr>
          <w:bottom w:val="single" w:color="2E75B6" w:sz="6" w:space="1"/>
        </w:pBdr>
        <w:spacing w:after="120" w:before="360"/>
      </w:pPr>
      <w:r>
        <w:rPr>
          <w:rFonts w:ascii="Arial" w:cs="Arial" w:eastAsia="Arial" w:hAnsi="Arial"/>
          <w:b/>
          <w:bCs/>
          <w:color w:val="1F3864"/>
          <w:sz w:val="36"/>
          <w:szCs w:val="36"/>
        </w:rPr>
        <w:t xml:space="preserve">7. Key Controls &amp; Risk Areas</w:t>
      </w:r>
    </w:p>
    <w:p>
      <w:pPr>
        <w:spacing w:after="120" w:before="60"/>
        <w:jc w:val="both"/>
      </w:pPr>
      <w:r>
        <w:rPr>
          <w:rFonts w:ascii="Arial" w:cs="Arial" w:eastAsia="Arial" w:hAnsi="Arial"/>
          <w:color w:val="1A1A2E"/>
          <w:sz w:val="22"/>
          <w:szCs w:val="22"/>
        </w:rPr>
        <w:t xml:space="preserve">The R2R process is subject to multiple internal controls designed to prevent errors, fraud, and misstatement of financial results. Below are the critical controls and associated risk areas: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Area</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 Description</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if Control Fails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Journal Entry Authorization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All manual JEs above threshold require dual approval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Unauthorized or fraudulent entries in GL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Segregation of Duties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Preparer and approver of JEs must be different individuals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Collusion, manipulation of financial results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Period Close 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ERP period locked after close sign-off; unlocking requires approval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Backdating of entries; period manipulation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Account Reconciliation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All BS accounts reconciled monthly with sign-off</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Undetected errors, misstatements in 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Intercompany Agreement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All ICO balances matched and agreed before consolidation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ICO out-of-balance; incorrect group P&amp;L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Cutoff Controls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Transaction cut-off dates enforced and monitored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Revenue/expense recognition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User Access Controls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Role-based access to ERP; periodic access reviews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Unauthorized posting; data integrity risk</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Audit Trail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Complete audit trail maintained for all postings and changes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Unable to trace errors; audit qualification</w:t>
            </w:r>
          </w:p>
        </w:tc>
      </w:tr>
    </w:tbl>
    <w:p>
      <w:pPr>
        <w:pStyle w:val="Heading1"/>
        <w:pBdr>
          <w:bottom w:val="single" w:color="2E75B6" w:sz="6" w:space="1"/>
        </w:pBdr>
        <w:spacing w:after="120" w:before="360"/>
      </w:pPr>
      <w:r>
        <w:rPr>
          <w:rFonts w:ascii="Arial" w:cs="Arial" w:eastAsia="Arial" w:hAnsi="Arial"/>
          <w:b/>
          <w:bCs/>
          <w:color w:val="1F3864"/>
          <w:sz w:val="36"/>
          <w:szCs w:val="36"/>
        </w:rPr>
        <w:t xml:space="preserve">8. Systems &amp; Tools Used in R2R</w:t>
      </w:r>
    </w:p>
    <w:p>
      <w:pPr>
        <w:spacing w:after="120" w:before="60"/>
        <w:jc w:val="both"/>
      </w:pPr>
      <w:r>
        <w:rPr>
          <w:rFonts w:ascii="Arial" w:cs="Arial" w:eastAsia="Arial" w:hAnsi="Arial"/>
          <w:color w:val="1A1A2E"/>
          <w:sz w:val="22"/>
          <w:szCs w:val="22"/>
        </w:rPr>
        <w:t xml:space="preserve">The R2R process is heavily dependent on technology. The following systems are commonly used across the R2R cycle: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 / System</w:t>
            </w:r>
          </w:p>
        </w:tc>
        <w:tc>
          <w:tcPr>
            <w:tcW w:type="dxa" w:w="3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 in R2R</w:t>
            </w:r>
          </w:p>
        </w:tc>
        <w:tc>
          <w:tcPr>
            <w:tcW w:type="dxa" w:w="3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ERP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Core accounting, sub-ledger management, period close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SAP S/4HANA, Oracle Financials, MS Dynamics 365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Close Management Tool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Task tracking, checklist management, close calendar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BlackLine, Trintech Cadency, Workiva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Reconciliation Platform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Automated account reconciliations, variance flagging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BlackLine, AutoRec, Adra Balancer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Consolidation Software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Group consolidation, intercompany elimination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SAP BPC, HFM (Hyperion), OneStream XF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Reporting / BI Tool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Management reports, dashboards, variance analysis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SAP Analytics Cloud, Power BI, Tableau</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Spreadsheet Tool</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Ad hoc analysis, manual schedules, reconciliations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Microsoft Excel, Google Sheets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Document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Archiving close documents, audit trail storage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SharePoint, OneDrive, OpenText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Tax Compliance Software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Tax provision computation, deferred tax</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Thomson Reuters ONESOURCE, Corptax</w:t>
            </w:r>
          </w:p>
        </w:tc>
      </w:tr>
    </w:tbl>
    <w:p>
      <w:pPr>
        <w:pStyle w:val="Heading1"/>
        <w:pBdr>
          <w:bottom w:val="single" w:color="2E75B6" w:sz="6" w:space="1"/>
        </w:pBdr>
        <w:spacing w:after="120" w:before="360"/>
      </w:pPr>
      <w:r>
        <w:rPr>
          <w:rFonts w:ascii="Arial" w:cs="Arial" w:eastAsia="Arial" w:hAnsi="Arial"/>
          <w:b/>
          <w:bCs/>
          <w:color w:val="1F3864"/>
          <w:sz w:val="36"/>
          <w:szCs w:val="36"/>
        </w:rPr>
        <w:t xml:space="preserve">9. Common Challenges &amp; Best Practices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Common Challenge</w:t>
            </w:r>
          </w:p>
        </w:tc>
        <w:tc>
          <w:tcPr>
            <w:tcW w:type="dxa" w:w="48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Practice / Mitigation</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Late invoice submissions by business units causing AP close delays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Enforce strict cut-off dates; automate PO-based accruals for late invoices</w:t>
            </w:r>
          </w:p>
        </w:tc>
      </w:tr>
      <w:tr>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Manual journal entry errors and unauthorized postings</w:t>
            </w:r>
          </w:p>
        </w:tc>
        <w:tc>
          <w:tcPr>
            <w:tcW w:type="dxa" w:w="4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Implement JE workflow in ERP; enforce dual approval; use standard templates</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Intercompany out-of-balance at consolidation time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Conduct ICO matching before period end; use real-time ICO dashboards</w:t>
            </w:r>
          </w:p>
        </w:tc>
      </w:tr>
      <w:tr>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Delayed reconciliations due to lack of supporting documentation</w:t>
            </w:r>
          </w:p>
        </w:tc>
        <w:tc>
          <w:tcPr>
            <w:tcW w:type="dxa" w:w="4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Use automated reconciliation tools; require document attachment at upload</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Bank reconciliation breaks due to unmatched items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Automate bank statement upload and matching in ERP or bank recon tool</w:t>
            </w:r>
          </w:p>
        </w:tc>
      </w:tr>
      <w:tr>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Lack of visibility on close progress and bottlenecks</w:t>
            </w:r>
          </w:p>
        </w:tc>
        <w:tc>
          <w:tcPr>
            <w:tcW w:type="dxa" w:w="4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Use a close management tool (BlackLine) with real-time dashboards</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Increasing close timeline due to complex adjustments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Move to a 'soft close' model; automate recurring entries; use AI/ML for anomaly detection</w:t>
            </w:r>
          </w:p>
        </w:tc>
      </w:tr>
      <w:tr>
        <w:tc>
          <w:tcPr>
            <w:tcW w:type="dxa" w:w="4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Year-end audit delays due to incomplete documentation</w:t>
            </w:r>
          </w:p>
        </w:tc>
        <w:tc>
          <w:tcPr>
            <w:tcW w:type="dxa" w:w="4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Maintain a living PBC list; archive docs contemporaneously during close</w:t>
            </w:r>
          </w:p>
        </w:tc>
      </w:tr>
    </w:tbl>
    <w:p>
      <w:pPr>
        <w:pStyle w:val="Heading1"/>
        <w:pBdr>
          <w:bottom w:val="single" w:color="2E75B6" w:sz="6" w:space="1"/>
        </w:pBdr>
        <w:spacing w:after="120" w:before="360"/>
      </w:pPr>
      <w:r>
        <w:rPr>
          <w:rFonts w:ascii="Arial" w:cs="Arial" w:eastAsia="Arial" w:hAnsi="Arial"/>
          <w:b/>
          <w:bCs/>
          <w:color w:val="1F3864"/>
          <w:sz w:val="36"/>
          <w:szCs w:val="36"/>
        </w:rPr>
        <w:t xml:space="preserve">10. R2R KPIs &amp; Performance Metrics</w:t>
      </w:r>
    </w:p>
    <w:p>
      <w:pPr>
        <w:spacing w:after="120" w:before="60"/>
        <w:jc w:val="both"/>
      </w:pPr>
      <w:r>
        <w:rPr>
          <w:rFonts w:ascii="Arial" w:cs="Arial" w:eastAsia="Arial" w:hAnsi="Arial"/>
          <w:color w:val="1A1A2E"/>
          <w:sz w:val="22"/>
          <w:szCs w:val="22"/>
        </w:rPr>
        <w:t xml:space="preserve">Performance of the R2R process is measured through a set of defined Key Performance Indicators (KPIs). These metrics are tracked monthly and compared against benchmarks to drive continuous improvement.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17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3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23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World-Class Benchmark</w:t>
            </w:r>
          </w:p>
        </w:tc>
        <w:tc>
          <w:tcPr>
            <w:tcW w:type="dxa" w:w="1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Days to Close (Month-End)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Business days from period end to close completion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3–5 business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Days to Close (Year-End)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Business days from year-end to audit sign-off</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15–20 business days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Annual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Journal Entry Error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of JEs rejected or reversed after posting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&lt;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Account Reconciliation Completion Rate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of BS accounts reconciled on time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100% by Day 5</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Intercompany Match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of ICO balances agreed before consolidation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&gt; 95% before consolidation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Accrual Accuracy</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of accruals reversed without adjustment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&gt; 90%</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Financial Statement Restatement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Number of material restatements per year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0 (zero)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Annual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1A1A2E"/>
                <w:sz w:val="20"/>
                <w:szCs w:val="20"/>
              </w:rPr>
              <w:t xml:space="preserve">On-Time Report Delivery</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of management reports delivered on schedule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&gt; 98%</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20"/>
                <w:szCs w:val="20"/>
              </w:rPr>
              <w:t xml:space="preserve">Automation Rate (R2R)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 of R2R activities that are automated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&gt; 70% (leading practice)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Annual</w:t>
            </w:r>
          </w:p>
        </w:tc>
      </w:tr>
    </w:tbl>
    <w:p>
      <w:pPr>
        <w:pStyle w:val="Heading1"/>
        <w:pBdr>
          <w:bottom w:val="single" w:color="2E75B6" w:sz="6" w:space="1"/>
        </w:pBdr>
        <w:spacing w:after="120" w:before="360"/>
      </w:pPr>
      <w:r>
        <w:rPr>
          <w:rFonts w:ascii="Arial" w:cs="Arial" w:eastAsia="Arial" w:hAnsi="Arial"/>
          <w:b/>
          <w:bCs/>
          <w:color w:val="1F3864"/>
          <w:sz w:val="36"/>
          <w:szCs w:val="36"/>
        </w:rPr>
        <w:t xml:space="preserve">11. Conclusion</w:t>
      </w:r>
    </w:p>
    <w:p>
      <w:pPr>
        <w:spacing w:after="120" w:before="60"/>
        <w:jc w:val="both"/>
      </w:pPr>
      <w:r>
        <w:rPr>
          <w:rFonts w:ascii="Arial" w:cs="Arial" w:eastAsia="Arial" w:hAnsi="Arial"/>
          <w:color w:val="1A1A2E"/>
          <w:sz w:val="22"/>
          <w:szCs w:val="22"/>
        </w:rPr>
        <w:t xml:space="preserve">The Record-to-Report (R2R) process is the backbone of financial management in any organization. A well-structured and efficiently executed R2R cycle ensures the integrity of financial information, enables timely and accurate reporting, and provides the assurance needed for sound business decisions and regulatory compliance.</w:t>
      </w:r>
    </w:p>
    <w:p>
      <w:pPr>
        <w:spacing w:after="120" w:before="60"/>
        <w:jc w:val="both"/>
      </w:pPr>
      <w:r>
        <w:rPr>
          <w:rFonts w:ascii="Arial" w:cs="Arial" w:eastAsia="Arial" w:hAnsi="Arial"/>
          <w:color w:val="1A1A2E"/>
          <w:sz w:val="22"/>
          <w:szCs w:val="22"/>
        </w:rPr>
        <w:t xml:space="preserve">This project report has documented the end-to-end R2R process for Month-End and Year-End Financial Close, covering all six phases in detail: Pre-Close Preparation, Sub-Ledger Close, General Ledger Activities, Reconciliations, Financial Reporting, and Close Sign-Off. It has also addressed the additional complexity introduced at Year-End including statutory reporting, external audit, and board approval processes.</w:t>
      </w:r>
    </w:p>
    <w:p>
      <w:pPr>
        <w:spacing w:after="120" w:before="60"/>
        <w:jc w:val="both"/>
      </w:pPr>
      <w:r>
        <w:rPr>
          <w:rFonts w:ascii="Arial" w:cs="Arial" w:eastAsia="Arial" w:hAnsi="Arial"/>
          <w:color w:val="1A1A2E"/>
          <w:sz w:val="22"/>
          <w:szCs w:val="22"/>
        </w:rPr>
        <w:t xml:space="preserve">The documentation highlights that successful R2R execution depends not only on technical accounting knowledge but also on process discipline, stakeholder coordination, robust internal controls, and technology enablement. Organizations that invest in close management tools, automation, and continuous process improvement consistently achieve shorter close cycles, higher accuracy, and greater stakeholder confidence.</w:t>
      </w:r>
    </w:p>
    <w:p>
      <w:pPr>
        <w:spacing w:after="120" w:before="60"/>
        <w:jc w:val="both"/>
      </w:pPr>
      <w:r>
        <w:rPr>
          <w:rFonts w:ascii="Arial" w:cs="Arial" w:eastAsia="Arial" w:hAnsi="Arial"/>
          <w:color w:val="1A1A2E"/>
          <w:sz w:val="22"/>
          <w:szCs w:val="22"/>
        </w:rPr>
        <w:t xml:space="preserve">As finance organizations continue to evolve toward digital transformation and real-time reporting, the R2R process will increasingly leverage automation, artificial intelligence, and cloud-based ERP platforms. The foundation, however, remains the same: accurate data, disciplined processes, strong controls, and timely reporting.</w:t>
      </w:r>
    </w:p>
    <w:p>
      <w:pPr>
        <w:spacing w:after="0" w:before="120"/>
      </w:pPr>
    </w:p>
    <w:p>
      <w:pPr>
        <w:pBdr>
          <w:top w:val="single" w:color="D6E4F0" w:sz="4" w:space="4"/>
        </w:pBdr>
        <w:spacing w:after="40" w:before="80"/>
        <w:jc w:val="center"/>
      </w:pPr>
      <w:r>
        <w:rPr>
          <w:rFonts w:ascii="Arial" w:cs="Arial" w:eastAsia="Arial" w:hAnsi="Arial"/>
          <w:i/>
          <w:iCs/>
          <w:color w:val="888888"/>
          <w:sz w:val="22"/>
          <w:szCs w:val="22"/>
        </w:rPr>
        <w:t xml:space="preserve">— End of Project Report —</w:t>
      </w:r>
    </w:p>
    <w:p>
      <w:pPr>
        <w:spacing w:after="0" w:before="40"/>
      </w:pPr>
    </w:p>
    <w:p>
      <w:pPr>
        <w:jc w:val="center"/>
      </w:pPr>
      <w:r>
        <w:rPr>
          <w:rFonts w:ascii="Arial" w:cs="Arial" w:eastAsia="Arial" w:hAnsi="Arial"/>
          <w:color w:val="AAAAAA"/>
          <w:sz w:val="18"/>
          <w:szCs w:val="18"/>
        </w:rPr>
        <w:t xml:space="preserve">Record-to-Report (R2R) | Month-End/Year-End Financial Close | Project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00"/>
      </w:tabs>
    </w:pPr>
    <w:r>
      <w:rPr>
        <w:rFonts w:ascii="Arial" w:cs="Arial" w:eastAsia="Arial" w:hAnsi="Arial"/>
        <w:color w:val="AAAAAA"/>
        <w:sz w:val="18"/>
        <w:szCs w:val="18"/>
      </w:rPr>
      <w:t xml:space="preserve">Confidential — Academic Submission</w:t>
    </w:r>
    <w:r>
      <w:rPr>
        <w:rFonts w:ascii="Arial" w:cs="Arial" w:eastAsia="Arial" w:hAnsi="Arial"/>
        <w:color w:val="2E75B6"/>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00"/>
      </w:tabs>
    </w:pPr>
    <w:r>
      <w:rPr>
        <w:rFonts w:ascii="Arial" w:cs="Arial" w:eastAsia="Arial" w:hAnsi="Arial"/>
        <w:color w:val="2E75B6"/>
        <w:sz w:val="18"/>
        <w:szCs w:val="18"/>
      </w:rPr>
      <w:t xml:space="preserve">Record-to-Report (R2R) — Month-End/Year-End Financial Close</w:t>
    </w:r>
    <w:r>
      <w:rPr>
        <w:rFonts w:ascii="Arial" w:cs="Arial" w:eastAsia="Arial" w:hAnsi="Arial"/>
        <w:color w:val="888888"/>
        <w:sz w:val="18"/>
        <w:szCs w:val="18"/>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2026-04-18T17:57:43.293Z</dcterms:created>
  <dcterms:modified xsi:type="dcterms:W3CDTF">2026-04-18T17:57:43.294Z</dcterms:modified>
</cp:coreProperties>
</file>

<file path=docProps/custom.xml><?xml version="1.0" encoding="utf-8"?>
<Properties xmlns="http://schemas.openxmlformats.org/officeDocument/2006/custom-properties" xmlns:vt="http://schemas.openxmlformats.org/officeDocument/2006/docPropsVTypes"/>
</file>