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406C49" w14:textId="77777777" w:rsidR="00E348EA" w:rsidRPr="00E348EA" w:rsidRDefault="00E348EA" w:rsidP="00E348E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348EA">
        <w:rPr>
          <w:rFonts w:ascii="Times New Roman" w:eastAsia="Times New Roman" w:hAnsi="Times New Roman" w:cs="Times New Roman"/>
          <w:b/>
          <w:bCs/>
          <w:kern w:val="36"/>
          <w:sz w:val="48"/>
          <w:szCs w:val="48"/>
        </w:rPr>
        <w:t>STUDENT PERFORMANCE ANALYTICAL REPORT</w:t>
      </w:r>
    </w:p>
    <w:p w14:paraId="2E8703AA" w14:textId="77777777" w:rsidR="00E348EA" w:rsidRP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t>1. Introduction</w:t>
      </w:r>
    </w:p>
    <w:p w14:paraId="0CA44DC1"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Purpose and Scope</w:t>
      </w:r>
    </w:p>
    <w:p w14:paraId="1647930C"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This report analyzes key factors influencing student academic performance using Grade Point Average (GPA) as the primary indicator. The analysis focuses on absenteeism, tutoring support, parental education level, and selected demographic variables.</w:t>
      </w:r>
    </w:p>
    <w:p w14:paraId="52E0F419"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Background</w:t>
      </w:r>
    </w:p>
    <w:p w14:paraId="1B013A87"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Student academic performance is shaped by a combination of behavioral, academic, and socio-economic factors. Understanding these relationships enables educational institutions to design targeted interventions to improve outcomes.</w:t>
      </w:r>
    </w:p>
    <w:p w14:paraId="192EFF8C"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Importance of Study</w:t>
      </w:r>
    </w:p>
    <w:p w14:paraId="3B0E61AC"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Identifying the most significant predictors of poor academic performance allows schools to:</w:t>
      </w:r>
    </w:p>
    <w:p w14:paraId="31C5C5B9" w14:textId="77777777" w:rsidR="00E348EA" w:rsidRPr="00E348EA" w:rsidRDefault="00E348EA" w:rsidP="00E348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Intervene early with at-risk students</w:t>
      </w:r>
    </w:p>
    <w:p w14:paraId="0B3F1391" w14:textId="77777777" w:rsidR="00E348EA" w:rsidRPr="00E348EA" w:rsidRDefault="00E348EA" w:rsidP="00E348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Improve overall academic outcomes</w:t>
      </w:r>
    </w:p>
    <w:p w14:paraId="0DDE4E7C" w14:textId="77777777" w:rsidR="00E348EA" w:rsidRPr="00E348EA" w:rsidRDefault="00E348EA" w:rsidP="00E348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Allocate resources effectively</w:t>
      </w:r>
    </w:p>
    <w:p w14:paraId="2475B65A" w14:textId="77777777" w:rsidR="00E348EA" w:rsidRPr="00E348EA" w:rsidRDefault="00887500" w:rsidP="00E348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6AB5180">
          <v:rect id="_x0000_i1025" style="width:0;height:1.5pt" o:hralign="center" o:hrstd="t" o:hr="t" fillcolor="#a0a0a0" stroked="f"/>
        </w:pict>
      </w:r>
    </w:p>
    <w:p w14:paraId="52E1633A" w14:textId="77777777" w:rsidR="00E348EA" w:rsidRP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t>2. Objectives</w:t>
      </w:r>
    </w:p>
    <w:p w14:paraId="2BA87B51"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Main Objective</w:t>
      </w:r>
    </w:p>
    <w:p w14:paraId="798FA4B2"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To determine the key factors that significantly influence student GPA.</w:t>
      </w:r>
    </w:p>
    <w:p w14:paraId="16AE2B71"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Specific Objectives</w:t>
      </w:r>
    </w:p>
    <w:p w14:paraId="32C53B62" w14:textId="77777777" w:rsidR="00E348EA" w:rsidRPr="00E348EA" w:rsidRDefault="00E348EA" w:rsidP="00E348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Examine the relationship between absences and GPA</w:t>
      </w:r>
    </w:p>
    <w:p w14:paraId="5383F452" w14:textId="77777777" w:rsidR="00E348EA" w:rsidRPr="00E348EA" w:rsidRDefault="00E348EA" w:rsidP="00E348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Identify the absence threshold where performance declines significantly</w:t>
      </w:r>
    </w:p>
    <w:p w14:paraId="0840BFD7" w14:textId="77777777" w:rsidR="00E348EA" w:rsidRPr="00E348EA" w:rsidRDefault="00E348EA" w:rsidP="00E348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Evaluate the impact of tutoring on student performance</w:t>
      </w:r>
    </w:p>
    <w:p w14:paraId="370C4A9C" w14:textId="77777777" w:rsidR="00E348EA" w:rsidRPr="00E348EA" w:rsidRDefault="00E348EA" w:rsidP="00E348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Assess the influence of parental education level on GPA</w:t>
      </w:r>
    </w:p>
    <w:p w14:paraId="6D9722A7" w14:textId="77777777" w:rsidR="00E348EA" w:rsidRPr="00E348EA" w:rsidRDefault="00E348EA" w:rsidP="00E348E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Identify patterns among low-performing students</w:t>
      </w:r>
    </w:p>
    <w:p w14:paraId="5A1954A8" w14:textId="31E41814" w:rsidR="00E348EA" w:rsidRPr="00E348EA" w:rsidRDefault="00E348EA" w:rsidP="00E348EA">
      <w:pPr>
        <w:spacing w:after="0" w:line="240" w:lineRule="auto"/>
        <w:rPr>
          <w:rFonts w:ascii="Times New Roman" w:eastAsia="Times New Roman" w:hAnsi="Times New Roman" w:cs="Times New Roman"/>
          <w:sz w:val="24"/>
          <w:szCs w:val="24"/>
        </w:rPr>
      </w:pPr>
    </w:p>
    <w:p w14:paraId="18D191C4" w14:textId="77777777" w:rsidR="00E348EA" w:rsidRP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lastRenderedPageBreak/>
        <w:t>3. Data Source</w:t>
      </w:r>
    </w:p>
    <w:p w14:paraId="3AD1D2C9"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Dataset Description</w:t>
      </w:r>
    </w:p>
    <w:p w14:paraId="1E9046E8"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The dataset contains 2,392 student records, including:</w:t>
      </w:r>
    </w:p>
    <w:p w14:paraId="1FFCFC9D" w14:textId="77777777" w:rsidR="00E348EA" w:rsidRPr="00E348EA" w:rsidRDefault="00E348EA" w:rsidP="00E348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GPA (numeric)</w:t>
      </w:r>
    </w:p>
    <w:p w14:paraId="4773CDB4" w14:textId="77777777" w:rsidR="00E348EA" w:rsidRPr="00E348EA" w:rsidRDefault="00E348EA" w:rsidP="00E348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Absences (numeric)</w:t>
      </w:r>
    </w:p>
    <w:p w14:paraId="40A754D9" w14:textId="77777777" w:rsidR="00E348EA" w:rsidRPr="00E348EA" w:rsidRDefault="00E348EA" w:rsidP="00E348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Tutoring status (categorical)</w:t>
      </w:r>
    </w:p>
    <w:p w14:paraId="6E6ED63B" w14:textId="77777777" w:rsidR="00E348EA" w:rsidRPr="00E348EA" w:rsidRDefault="00E348EA" w:rsidP="00E348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Parental education level (categorical)</w:t>
      </w:r>
    </w:p>
    <w:p w14:paraId="2D1D87A0" w14:textId="77777777" w:rsidR="00E348EA" w:rsidRPr="00E348EA" w:rsidRDefault="00E348EA" w:rsidP="00E348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Study time (numeric)</w:t>
      </w:r>
    </w:p>
    <w:p w14:paraId="60E8D812" w14:textId="77777777" w:rsidR="00E348EA" w:rsidRPr="00E348EA" w:rsidRDefault="00E348EA" w:rsidP="00E348E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Age and ethnicity (categorical)</w:t>
      </w:r>
    </w:p>
    <w:p w14:paraId="5FB6074C"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Data Structure</w:t>
      </w:r>
    </w:p>
    <w:p w14:paraId="6542E9DD" w14:textId="77777777" w:rsidR="00E348EA" w:rsidRPr="00E348EA" w:rsidRDefault="00E348EA" w:rsidP="00E348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Numerical variables: GPA, absences, study time</w:t>
      </w:r>
    </w:p>
    <w:p w14:paraId="5312BBC5" w14:textId="77777777" w:rsidR="00E348EA" w:rsidRPr="00E348EA" w:rsidRDefault="00E348EA" w:rsidP="00E348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Categorical variables: tutoring, parental education, ethnicity, age group</w:t>
      </w:r>
    </w:p>
    <w:p w14:paraId="10BA5168" w14:textId="167C8439" w:rsidR="00E348EA" w:rsidRPr="00E348EA" w:rsidRDefault="00E348EA" w:rsidP="00E348EA">
      <w:pPr>
        <w:spacing w:after="0" w:line="240" w:lineRule="auto"/>
        <w:rPr>
          <w:rFonts w:ascii="Times New Roman" w:eastAsia="Times New Roman" w:hAnsi="Times New Roman" w:cs="Times New Roman"/>
          <w:sz w:val="24"/>
          <w:szCs w:val="24"/>
        </w:rPr>
      </w:pPr>
    </w:p>
    <w:p w14:paraId="56D1B847" w14:textId="77777777" w:rsidR="00E348EA" w:rsidRP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t>4. Data Cleaning and Preparation</w:t>
      </w:r>
    </w:p>
    <w:p w14:paraId="46977028"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Cleaning Process</w:t>
      </w:r>
    </w:p>
    <w:p w14:paraId="602CA8EA" w14:textId="2913ACEE" w:rsidR="004346C7" w:rsidRPr="004346C7" w:rsidRDefault="004346C7" w:rsidP="004346C7">
      <w:pPr>
        <w:tabs>
          <w:tab w:val="left" w:pos="7268"/>
        </w:tabs>
      </w:pPr>
      <w:r>
        <w:t xml:space="preserve">• </w:t>
      </w:r>
      <w:r w:rsidRPr="004346C7">
        <w:t>Checked for missing or inconsistent values.</w:t>
      </w:r>
      <w:r w:rsidRPr="004346C7">
        <w:tab/>
      </w:r>
    </w:p>
    <w:p w14:paraId="2C58F865" w14:textId="77777777" w:rsidR="004346C7" w:rsidRPr="004346C7" w:rsidRDefault="004346C7" w:rsidP="004346C7">
      <w:r w:rsidRPr="004346C7">
        <w:t xml:space="preserve"> • Ensured GPA was formatted as a numeric variable.</w:t>
      </w:r>
    </w:p>
    <w:p w14:paraId="6C3DF6EE" w14:textId="77777777" w:rsidR="004346C7" w:rsidRPr="004346C7" w:rsidRDefault="004346C7" w:rsidP="004346C7">
      <w:r w:rsidRPr="004346C7">
        <w:t xml:space="preserve"> • Grouped absences into ranges (0–4, 5–9, etc.) for better analysis.</w:t>
      </w:r>
    </w:p>
    <w:p w14:paraId="20370A2A" w14:textId="77777777" w:rsidR="004346C7" w:rsidRPr="004346C7" w:rsidRDefault="004346C7" w:rsidP="004346C7">
      <w:pPr>
        <w:rPr>
          <w:b/>
          <w:bCs/>
        </w:rPr>
      </w:pPr>
      <w:r w:rsidRPr="004346C7">
        <w:t>• Using demographic details provided, the numeric codes were replaced to descriptive categories</w:t>
      </w:r>
      <w:r w:rsidRPr="004346C7">
        <w:rPr>
          <w:b/>
          <w:bCs/>
        </w:rPr>
        <w:t>.</w:t>
      </w:r>
    </w:p>
    <w:p w14:paraId="04FF3696"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Transformations</w:t>
      </w:r>
    </w:p>
    <w:p w14:paraId="4DDDB8DC" w14:textId="77777777" w:rsidR="00E348EA" w:rsidRPr="00E348EA" w:rsidRDefault="00E348EA" w:rsidP="00E348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Grouped absences into ranges (0–4, 5–9, 10–14, etc.) to observe trends</w:t>
      </w:r>
    </w:p>
    <w:p w14:paraId="4E09BBBE" w14:textId="77777777" w:rsidR="00E348EA" w:rsidRPr="00E348EA" w:rsidRDefault="00E348EA" w:rsidP="00E348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Created categories for performance levels (e.g., low, average, high performers)</w:t>
      </w:r>
    </w:p>
    <w:p w14:paraId="66745079" w14:textId="0A429D65" w:rsidR="00E348EA" w:rsidRPr="00E348EA" w:rsidRDefault="00E348EA" w:rsidP="00E348E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Used pivot tables to summarize GPA across variables</w:t>
      </w:r>
      <w:r w:rsidR="004346C7">
        <w:rPr>
          <w:rFonts w:ascii="Times New Roman" w:eastAsia="Times New Roman" w:hAnsi="Times New Roman" w:cs="Times New Roman"/>
          <w:sz w:val="24"/>
          <w:szCs w:val="24"/>
        </w:rPr>
        <w:t>.</w:t>
      </w:r>
    </w:p>
    <w:p w14:paraId="174013BE" w14:textId="41E92E8D" w:rsidR="00E348EA" w:rsidRPr="00E348EA" w:rsidRDefault="00E348EA" w:rsidP="00E348EA">
      <w:pPr>
        <w:spacing w:after="0" w:line="240" w:lineRule="auto"/>
        <w:rPr>
          <w:rFonts w:ascii="Times New Roman" w:eastAsia="Times New Roman" w:hAnsi="Times New Roman" w:cs="Times New Roman"/>
          <w:sz w:val="24"/>
          <w:szCs w:val="24"/>
        </w:rPr>
      </w:pPr>
    </w:p>
    <w:p w14:paraId="10421513" w14:textId="77777777" w:rsidR="00E348EA" w:rsidRP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t>5. Methodology</w:t>
      </w:r>
    </w:p>
    <w:p w14:paraId="522F4475"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The analysis was conducted using descriptive statistical techniques:</w:t>
      </w:r>
    </w:p>
    <w:p w14:paraId="7A620C13" w14:textId="77777777" w:rsidR="00E348EA" w:rsidRPr="00E348EA" w:rsidRDefault="00E348EA" w:rsidP="00E348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Pivot tables were used to calculate average GPA and student counts across categories</w:t>
      </w:r>
    </w:p>
    <w:p w14:paraId="1E76315C" w14:textId="77777777" w:rsidR="00E348EA" w:rsidRPr="00E348EA" w:rsidRDefault="00E348EA" w:rsidP="00E348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lastRenderedPageBreak/>
        <w:t>Comparative analysis was applied to evaluate differences between groups (e.g., tutoring vs no tutoring)</w:t>
      </w:r>
    </w:p>
    <w:p w14:paraId="37506506" w14:textId="77777777" w:rsidR="00E348EA" w:rsidRPr="00E348EA" w:rsidRDefault="00E348EA" w:rsidP="00E348E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Trend analysis was used to observe how GPA changes with increasing absences</w:t>
      </w:r>
    </w:p>
    <w:p w14:paraId="22405F6A"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GPA was selected as the primary metric because it provides a standardized measure of academic performance.</w:t>
      </w:r>
    </w:p>
    <w:p w14:paraId="1A991CE2" w14:textId="29AB9D05" w:rsidR="00E348EA" w:rsidRPr="00E348EA" w:rsidRDefault="00E348EA" w:rsidP="00E348EA">
      <w:pPr>
        <w:spacing w:after="0" w:line="240" w:lineRule="auto"/>
        <w:rPr>
          <w:rFonts w:ascii="Times New Roman" w:eastAsia="Times New Roman" w:hAnsi="Times New Roman" w:cs="Times New Roman"/>
          <w:sz w:val="24"/>
          <w:szCs w:val="24"/>
        </w:rPr>
      </w:pPr>
    </w:p>
    <w:p w14:paraId="7EF5C67E" w14:textId="77777777" w:rsidR="00E348EA" w:rsidRP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t>6. Data Analysis and Findings</w:t>
      </w:r>
    </w:p>
    <w:p w14:paraId="35CCB90C"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6.1 Absenteeism and Academic Performance</w:t>
      </w:r>
    </w:p>
    <w:p w14:paraId="09E3E325"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A strong negative relationship exists between absences and GPA.</w:t>
      </w:r>
    </w:p>
    <w:p w14:paraId="068DB77F" w14:textId="77777777" w:rsidR="00E348EA" w:rsidRPr="00E348EA" w:rsidRDefault="00E348EA" w:rsidP="00E348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Students with 0–4 absences recorded the highest average GPA (~3.2)</w:t>
      </w:r>
    </w:p>
    <w:p w14:paraId="05C52755" w14:textId="77777777" w:rsidR="00E348EA" w:rsidRPr="00E348EA" w:rsidRDefault="00E348EA" w:rsidP="00E348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Students with 25–29 absences recorded the lowest GPA (~0.7)</w:t>
      </w:r>
    </w:p>
    <w:p w14:paraId="77829116" w14:textId="77777777" w:rsidR="00E348EA" w:rsidRPr="00E348EA" w:rsidRDefault="00E348EA" w:rsidP="00E348E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A sharp decline in performance occurs after approximately 15 absences</w:t>
      </w:r>
    </w:p>
    <w:p w14:paraId="6704F572" w14:textId="3165870A"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b/>
          <w:bCs/>
          <w:sz w:val="24"/>
          <w:szCs w:val="24"/>
        </w:rPr>
        <w:t>Insight:</w:t>
      </w:r>
      <w:r w:rsidRPr="00E348EA">
        <w:rPr>
          <w:rFonts w:ascii="Times New Roman" w:eastAsia="Times New Roman" w:hAnsi="Times New Roman" w:cs="Times New Roman"/>
          <w:sz w:val="24"/>
          <w:szCs w:val="24"/>
        </w:rPr>
        <w:t xml:space="preserve"> Students exceeding 15 absences experience a significant drop in academic performance, indicating a critical intervention threshold.</w:t>
      </w:r>
      <w:r w:rsidR="004346C7" w:rsidRPr="004346C7">
        <w:rPr>
          <w:noProof/>
        </w:rPr>
        <w:t xml:space="preserve"> </w:t>
      </w:r>
      <w:r w:rsidR="004346C7">
        <w:rPr>
          <w:noProof/>
        </w:rPr>
        <w:drawing>
          <wp:inline distT="0" distB="0" distL="0" distR="0" wp14:anchorId="4AA23ABB" wp14:editId="4CB40661">
            <wp:extent cx="4572000" cy="2743200"/>
            <wp:effectExtent l="0" t="0" r="0" b="0"/>
            <wp:docPr id="5" name="Chart 5">
              <a:extLst xmlns:a="http://schemas.openxmlformats.org/drawingml/2006/main">
                <a:ext uri="{FF2B5EF4-FFF2-40B4-BE49-F238E27FC236}">
                  <a16:creationId xmlns:a16="http://schemas.microsoft.com/office/drawing/2014/main" id="{CEC13C1E-9125-4A5F-8F13-BA5AA58EB6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44490B61" w14:textId="37B3970B" w:rsidR="00E348EA" w:rsidRPr="00E348EA" w:rsidRDefault="00E348EA" w:rsidP="00E348EA">
      <w:pPr>
        <w:spacing w:after="0" w:line="240" w:lineRule="auto"/>
        <w:rPr>
          <w:rFonts w:ascii="Times New Roman" w:eastAsia="Times New Roman" w:hAnsi="Times New Roman" w:cs="Times New Roman"/>
          <w:sz w:val="24"/>
          <w:szCs w:val="24"/>
        </w:rPr>
      </w:pPr>
    </w:p>
    <w:p w14:paraId="41465078"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6.2 Impact of Tutoring</w:t>
      </w:r>
    </w:p>
    <w:p w14:paraId="4189E954" w14:textId="77777777" w:rsidR="00E348EA" w:rsidRPr="00E348EA" w:rsidRDefault="00E348EA" w:rsidP="00E348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Students receiving tutoring had a higher average GPA (~2.1)</w:t>
      </w:r>
    </w:p>
    <w:p w14:paraId="62C91E45" w14:textId="77777777" w:rsidR="00E348EA" w:rsidRPr="00E348EA" w:rsidRDefault="00E348EA" w:rsidP="00E348E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Students without tutoring averaged lower (~1.8)</w:t>
      </w:r>
    </w:p>
    <w:p w14:paraId="589B2657" w14:textId="1365E76E"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b/>
          <w:bCs/>
          <w:sz w:val="24"/>
          <w:szCs w:val="24"/>
        </w:rPr>
        <w:lastRenderedPageBreak/>
        <w:t>Insight:</w:t>
      </w:r>
      <w:r w:rsidRPr="00E348EA">
        <w:rPr>
          <w:rFonts w:ascii="Times New Roman" w:eastAsia="Times New Roman" w:hAnsi="Times New Roman" w:cs="Times New Roman"/>
          <w:sz w:val="24"/>
          <w:szCs w:val="24"/>
        </w:rPr>
        <w:t xml:space="preserve"> Tutoring provides measurable academic benefits and contributes to improved student performance.</w:t>
      </w:r>
      <w:r w:rsidR="004346C7">
        <w:rPr>
          <w:rFonts w:ascii="Times New Roman" w:eastAsia="Times New Roman" w:hAnsi="Times New Roman" w:cs="Times New Roman"/>
          <w:sz w:val="24"/>
          <w:szCs w:val="24"/>
        </w:rPr>
        <w:t xml:space="preserve">  </w:t>
      </w:r>
      <w:r w:rsidR="004346C7">
        <w:rPr>
          <w:noProof/>
        </w:rPr>
        <w:drawing>
          <wp:inline distT="0" distB="0" distL="0" distR="0" wp14:anchorId="476C2633" wp14:editId="1B02580F">
            <wp:extent cx="4572000" cy="2743200"/>
            <wp:effectExtent l="0" t="0" r="0" b="0"/>
            <wp:docPr id="1" name="Chart 1">
              <a:extLst xmlns:a="http://schemas.openxmlformats.org/drawingml/2006/main">
                <a:ext uri="{FF2B5EF4-FFF2-40B4-BE49-F238E27FC236}">
                  <a16:creationId xmlns:a16="http://schemas.microsoft.com/office/drawing/2014/main" id="{5913F212-3971-4C55-8060-42D4674560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531AB950" w14:textId="77777777" w:rsidR="00E348EA" w:rsidRPr="00E348EA" w:rsidRDefault="00887500" w:rsidP="00E348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491CF0">
          <v:rect id="_x0000_i1031" style="width:0;height:1.5pt" o:hralign="center" o:hrstd="t" o:hr="t" fillcolor="#a0a0a0" stroked="f"/>
        </w:pict>
      </w:r>
    </w:p>
    <w:p w14:paraId="43440682"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6.3 Tutoring and Low-Performing Students</w:t>
      </w:r>
    </w:p>
    <w:p w14:paraId="23BA77E7"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Among students with GPA below 1.9:</w:t>
      </w:r>
    </w:p>
    <w:p w14:paraId="4396A81E" w14:textId="77777777" w:rsidR="00E348EA" w:rsidRPr="00E348EA" w:rsidRDefault="00E348EA" w:rsidP="00E348E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A larger proportion were not receiving tutoring</w:t>
      </w:r>
    </w:p>
    <w:p w14:paraId="05BC6084" w14:textId="739C59EF"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b/>
          <w:bCs/>
          <w:sz w:val="24"/>
          <w:szCs w:val="24"/>
        </w:rPr>
        <w:t>Insight:</w:t>
      </w:r>
      <w:r w:rsidRPr="00E348EA">
        <w:rPr>
          <w:rFonts w:ascii="Times New Roman" w:eastAsia="Times New Roman" w:hAnsi="Times New Roman" w:cs="Times New Roman"/>
          <w:sz w:val="24"/>
          <w:szCs w:val="24"/>
        </w:rPr>
        <w:t xml:space="preserve"> Lack of academic support is strongly associated with poor performance.</w:t>
      </w:r>
      <w:r w:rsidR="00C54293" w:rsidRPr="00C54293">
        <w:rPr>
          <w:noProof/>
        </w:rPr>
        <w:t xml:space="preserve"> </w:t>
      </w:r>
      <w:r w:rsidR="00C54293">
        <w:rPr>
          <w:noProof/>
        </w:rPr>
        <w:drawing>
          <wp:inline distT="0" distB="0" distL="0" distR="0" wp14:anchorId="26ECA2DE" wp14:editId="5F30F10D">
            <wp:extent cx="4572000" cy="2743200"/>
            <wp:effectExtent l="0" t="0" r="0" b="0"/>
            <wp:docPr id="2" name="Chart 2">
              <a:extLst xmlns:a="http://schemas.openxmlformats.org/drawingml/2006/main">
                <a:ext uri="{FF2B5EF4-FFF2-40B4-BE49-F238E27FC236}">
                  <a16:creationId xmlns:a16="http://schemas.microsoft.com/office/drawing/2014/main" id="{A99F03D6-123C-4632-AC47-13D86B5500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26CF64B9" w14:textId="0FAB2DBB" w:rsidR="00E348EA" w:rsidRPr="00E348EA" w:rsidRDefault="007E6CF9" w:rsidP="00E348E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7D57CC98"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6.4 Parental Education Level</w:t>
      </w:r>
    </w:p>
    <w:p w14:paraId="2C50D6AF" w14:textId="746CFBFE" w:rsidR="00E348EA" w:rsidRDefault="00E348EA" w:rsidP="00E348E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lastRenderedPageBreak/>
        <w:t>GPA differences across parental education levels were minimal (around 1.8–1.9)</w:t>
      </w:r>
    </w:p>
    <w:p w14:paraId="34B55F73" w14:textId="3B6175D4" w:rsidR="00C54293" w:rsidRPr="00C54293" w:rsidRDefault="00C54293" w:rsidP="00C54293">
      <w:pPr>
        <w:pStyle w:val="ListParagraph"/>
        <w:numPr>
          <w:ilvl w:val="0"/>
          <w:numId w:val="11"/>
        </w:numPr>
        <w:rPr>
          <w:sz w:val="24"/>
          <w:szCs w:val="24"/>
        </w:rPr>
      </w:pPr>
      <w:r>
        <w:rPr>
          <w:sz w:val="24"/>
          <w:szCs w:val="24"/>
        </w:rPr>
        <w:t>S</w:t>
      </w:r>
      <w:r w:rsidRPr="00C54293">
        <w:rPr>
          <w:sz w:val="24"/>
          <w:szCs w:val="24"/>
        </w:rPr>
        <w:t>tudents whose parents have High School education have the highest average GPA, while students whose parents have a bachelors or higher degree have slightly lower average GPAs.</w:t>
      </w:r>
    </w:p>
    <w:p w14:paraId="2D1B99BE" w14:textId="3506199A" w:rsidR="00C54293" w:rsidRPr="00C54293" w:rsidRDefault="00C54293" w:rsidP="00C54293">
      <w:pPr>
        <w:pStyle w:val="ListParagraph"/>
        <w:numPr>
          <w:ilvl w:val="0"/>
          <w:numId w:val="11"/>
        </w:numPr>
        <w:rPr>
          <w:sz w:val="24"/>
          <w:szCs w:val="24"/>
        </w:rPr>
      </w:pPr>
      <w:r w:rsidRPr="00C54293">
        <w:rPr>
          <w:sz w:val="24"/>
          <w:szCs w:val="24"/>
        </w:rPr>
        <w:t>This indicates parental education may not be a strong direct predictor in this dataset. The difference</w:t>
      </w:r>
      <w:r w:rsidR="007E6CF9">
        <w:rPr>
          <w:sz w:val="24"/>
          <w:szCs w:val="24"/>
        </w:rPr>
        <w:t>s</w:t>
      </w:r>
      <w:r w:rsidRPr="00C54293">
        <w:rPr>
          <w:sz w:val="24"/>
          <w:szCs w:val="24"/>
        </w:rPr>
        <w:t xml:space="preserve"> are small (all GPAs are around 1.8-1.9), so the impact is not very large.</w:t>
      </w:r>
    </w:p>
    <w:p w14:paraId="3448CDF8" w14:textId="542BC66E"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b/>
          <w:bCs/>
          <w:sz w:val="24"/>
          <w:szCs w:val="24"/>
        </w:rPr>
        <w:t>Insight:</w:t>
      </w:r>
      <w:r w:rsidRPr="00E348EA">
        <w:rPr>
          <w:rFonts w:ascii="Times New Roman" w:eastAsia="Times New Roman" w:hAnsi="Times New Roman" w:cs="Times New Roman"/>
          <w:sz w:val="24"/>
          <w:szCs w:val="24"/>
        </w:rPr>
        <w:t xml:space="preserve"> Parental education does not appear to be a strong direct predictor of student performance in this dataset.</w:t>
      </w:r>
      <w:r w:rsidR="00C54293" w:rsidRPr="00C54293">
        <w:rPr>
          <w:noProof/>
        </w:rPr>
        <w:t xml:space="preserve"> </w:t>
      </w:r>
      <w:r w:rsidR="00C54293">
        <w:rPr>
          <w:noProof/>
        </w:rPr>
        <w:drawing>
          <wp:inline distT="0" distB="0" distL="0" distR="0" wp14:anchorId="4F9842EE" wp14:editId="1F4C7B88">
            <wp:extent cx="4572000" cy="2743200"/>
            <wp:effectExtent l="0" t="0" r="0" b="0"/>
            <wp:docPr id="4" name="Chart 4">
              <a:extLst xmlns:a="http://schemas.openxmlformats.org/drawingml/2006/main">
                <a:ext uri="{FF2B5EF4-FFF2-40B4-BE49-F238E27FC236}">
                  <a16:creationId xmlns:a16="http://schemas.microsoft.com/office/drawing/2014/main" id="{AE6DF510-0A97-4616-AAC0-09D6D670824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8126720" w14:textId="46110B67" w:rsidR="00E348EA" w:rsidRPr="00E348EA" w:rsidRDefault="00E348EA" w:rsidP="00E348EA">
      <w:pPr>
        <w:spacing w:after="0" w:line="240" w:lineRule="auto"/>
        <w:rPr>
          <w:rFonts w:ascii="Times New Roman" w:eastAsia="Times New Roman" w:hAnsi="Times New Roman" w:cs="Times New Roman"/>
          <w:sz w:val="24"/>
          <w:szCs w:val="24"/>
        </w:rPr>
      </w:pPr>
    </w:p>
    <w:p w14:paraId="250B3422"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6.5 Additional Insights (Study Time)</w:t>
      </w:r>
    </w:p>
    <w:p w14:paraId="39DBB958" w14:textId="77777777" w:rsidR="00E348EA" w:rsidRPr="00E348EA" w:rsidRDefault="00E348EA" w:rsidP="00E348E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Students with higher weekly study time generally showed improved GPA</w:t>
      </w:r>
    </w:p>
    <w:p w14:paraId="3D623943"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b/>
          <w:bCs/>
          <w:sz w:val="24"/>
          <w:szCs w:val="24"/>
        </w:rPr>
        <w:t>Insight:</w:t>
      </w:r>
      <w:r w:rsidRPr="00E348EA">
        <w:rPr>
          <w:rFonts w:ascii="Times New Roman" w:eastAsia="Times New Roman" w:hAnsi="Times New Roman" w:cs="Times New Roman"/>
          <w:sz w:val="24"/>
          <w:szCs w:val="24"/>
        </w:rPr>
        <w:t xml:space="preserve"> Consistent study habits positively influence academic performance.</w:t>
      </w:r>
    </w:p>
    <w:p w14:paraId="7C3BA670" w14:textId="16EF3BD2" w:rsidR="00E348EA" w:rsidRPr="00E348EA" w:rsidRDefault="00E348EA" w:rsidP="00E348EA">
      <w:pPr>
        <w:spacing w:after="0" w:line="240" w:lineRule="auto"/>
        <w:rPr>
          <w:rFonts w:ascii="Times New Roman" w:eastAsia="Times New Roman" w:hAnsi="Times New Roman" w:cs="Times New Roman"/>
          <w:sz w:val="24"/>
          <w:szCs w:val="24"/>
        </w:rPr>
      </w:pPr>
    </w:p>
    <w:p w14:paraId="176D147F" w14:textId="277945E9" w:rsid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t>7. Visualization</w:t>
      </w:r>
    </w:p>
    <w:p w14:paraId="727BC2E6" w14:textId="44977869" w:rsidR="00C54293" w:rsidRPr="00E348EA" w:rsidRDefault="00C54293" w:rsidP="00E348EA">
      <w:pPr>
        <w:spacing w:before="100" w:beforeAutospacing="1" w:after="100" w:afterAutospacing="1" w:line="240" w:lineRule="auto"/>
        <w:outlineLvl w:val="1"/>
        <w:rPr>
          <w:rFonts w:ascii="Times New Roman" w:eastAsia="Times New Roman" w:hAnsi="Times New Roman" w:cs="Times New Roman"/>
          <w:b/>
          <w:bCs/>
          <w:sz w:val="36"/>
          <w:szCs w:val="36"/>
        </w:rPr>
      </w:pPr>
      <w:r>
        <w:rPr>
          <w:noProof/>
        </w:rPr>
        <w:lastRenderedPageBreak/>
        <w:drawing>
          <wp:inline distT="0" distB="0" distL="0" distR="0" wp14:anchorId="01F329CB" wp14:editId="7D209910">
            <wp:extent cx="5943600" cy="34378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37890"/>
                    </a:xfrm>
                    <a:prstGeom prst="rect">
                      <a:avLst/>
                    </a:prstGeom>
                    <a:noFill/>
                    <a:ln>
                      <a:noFill/>
                    </a:ln>
                  </pic:spPr>
                </pic:pic>
              </a:graphicData>
            </a:graphic>
          </wp:inline>
        </w:drawing>
      </w:r>
    </w:p>
    <w:p w14:paraId="16FA1073" w14:textId="123C6F61"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Th</w:t>
      </w:r>
      <w:r w:rsidR="007E6CF9">
        <w:rPr>
          <w:rFonts w:ascii="Times New Roman" w:eastAsia="Times New Roman" w:hAnsi="Times New Roman" w:cs="Times New Roman"/>
          <w:sz w:val="24"/>
          <w:szCs w:val="24"/>
        </w:rPr>
        <w:t>is Dashboard c</w:t>
      </w:r>
      <w:r w:rsidRPr="00E348EA">
        <w:rPr>
          <w:rFonts w:ascii="Times New Roman" w:eastAsia="Times New Roman" w:hAnsi="Times New Roman" w:cs="Times New Roman"/>
          <w:sz w:val="24"/>
          <w:szCs w:val="24"/>
        </w:rPr>
        <w:t>learly illustrate trends and differences across variables, making the insights easier to interpret.</w:t>
      </w:r>
    </w:p>
    <w:p w14:paraId="1255C27B" w14:textId="0693E4DE" w:rsidR="00E348EA" w:rsidRPr="00E348EA" w:rsidRDefault="00E348EA" w:rsidP="00E348EA">
      <w:pPr>
        <w:spacing w:after="0" w:line="240" w:lineRule="auto"/>
        <w:rPr>
          <w:rFonts w:ascii="Times New Roman" w:eastAsia="Times New Roman" w:hAnsi="Times New Roman" w:cs="Times New Roman"/>
          <w:sz w:val="24"/>
          <w:szCs w:val="24"/>
        </w:rPr>
      </w:pPr>
    </w:p>
    <w:p w14:paraId="7F12A3B9" w14:textId="77777777" w:rsidR="00E348EA" w:rsidRP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t>8. Recommendations</w:t>
      </w:r>
    </w:p>
    <w:p w14:paraId="091FF582"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Actionable Strategies</w:t>
      </w:r>
    </w:p>
    <w:p w14:paraId="2A1A3519" w14:textId="77777777" w:rsidR="00E348EA" w:rsidRPr="00E348EA" w:rsidRDefault="00E348EA" w:rsidP="00E348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Implement early warning systems for students approaching 10–15 absences</w:t>
      </w:r>
    </w:p>
    <w:p w14:paraId="4A73D4C0" w14:textId="77777777" w:rsidR="00E348EA" w:rsidRPr="00E348EA" w:rsidRDefault="00E348EA" w:rsidP="00E348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Expand tutoring programs, especially for students with GPA below 2.0</w:t>
      </w:r>
    </w:p>
    <w:p w14:paraId="58B5AD54" w14:textId="77777777" w:rsidR="00E348EA" w:rsidRPr="00E348EA" w:rsidRDefault="00E348EA" w:rsidP="00E348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Monitor attendance closely and enforce stricter policies</w:t>
      </w:r>
    </w:p>
    <w:p w14:paraId="4CC758B7" w14:textId="77777777" w:rsidR="00E348EA" w:rsidRPr="00E348EA" w:rsidRDefault="00E348EA" w:rsidP="00E348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Provide academic counseling for at-risk students</w:t>
      </w:r>
    </w:p>
    <w:p w14:paraId="16A33F39" w14:textId="77777777" w:rsidR="00E348EA" w:rsidRPr="00E348EA" w:rsidRDefault="00E348EA" w:rsidP="00E348E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Encourage consistent study habits through structured study programs</w:t>
      </w:r>
    </w:p>
    <w:p w14:paraId="0FBD1FEA" w14:textId="77777777" w:rsidR="00E348EA" w:rsidRPr="00E348EA" w:rsidRDefault="00E348EA" w:rsidP="00E348EA">
      <w:pPr>
        <w:spacing w:before="100" w:beforeAutospacing="1" w:after="100" w:afterAutospacing="1" w:line="240" w:lineRule="auto"/>
        <w:outlineLvl w:val="2"/>
        <w:rPr>
          <w:rFonts w:ascii="Times New Roman" w:eastAsia="Times New Roman" w:hAnsi="Times New Roman" w:cs="Times New Roman"/>
          <w:b/>
          <w:bCs/>
          <w:sz w:val="27"/>
          <w:szCs w:val="27"/>
        </w:rPr>
      </w:pPr>
      <w:r w:rsidRPr="00E348EA">
        <w:rPr>
          <w:rFonts w:ascii="Times New Roman" w:eastAsia="Times New Roman" w:hAnsi="Times New Roman" w:cs="Times New Roman"/>
          <w:b/>
          <w:bCs/>
          <w:sz w:val="27"/>
          <w:szCs w:val="27"/>
        </w:rPr>
        <w:t>Expected Impact</w:t>
      </w:r>
    </w:p>
    <w:p w14:paraId="657DFBF1" w14:textId="77777777" w:rsidR="00E348EA" w:rsidRPr="00E348EA" w:rsidRDefault="00E348EA" w:rsidP="00E348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Improved student GPA across all categories</w:t>
      </w:r>
    </w:p>
    <w:p w14:paraId="2D3745A3" w14:textId="77777777" w:rsidR="00E348EA" w:rsidRPr="00E348EA" w:rsidRDefault="00E348EA" w:rsidP="00E348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Reduction in the number of low-performing students</w:t>
      </w:r>
    </w:p>
    <w:p w14:paraId="3C774612" w14:textId="77777777" w:rsidR="00E348EA" w:rsidRPr="00E348EA" w:rsidRDefault="00E348EA" w:rsidP="00E348E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More effective academic support systems</w:t>
      </w:r>
    </w:p>
    <w:p w14:paraId="46C801CC" w14:textId="7E7C6DF9" w:rsidR="00E348EA" w:rsidRPr="00E348EA" w:rsidRDefault="00E348EA" w:rsidP="00E348EA">
      <w:pPr>
        <w:spacing w:after="0" w:line="240" w:lineRule="auto"/>
        <w:rPr>
          <w:rFonts w:ascii="Times New Roman" w:eastAsia="Times New Roman" w:hAnsi="Times New Roman" w:cs="Times New Roman"/>
          <w:sz w:val="24"/>
          <w:szCs w:val="24"/>
        </w:rPr>
      </w:pPr>
    </w:p>
    <w:p w14:paraId="01F9C01C" w14:textId="77777777" w:rsidR="00E348EA" w:rsidRP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t>9. Limitations</w:t>
      </w:r>
    </w:p>
    <w:p w14:paraId="654BB335" w14:textId="77777777" w:rsidR="00E348EA" w:rsidRPr="00E348EA" w:rsidRDefault="00E348EA" w:rsidP="00E348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lastRenderedPageBreak/>
        <w:t>The dataset is observational; causation cannot be confirmed</w:t>
      </w:r>
    </w:p>
    <w:p w14:paraId="2426EB93" w14:textId="77777777" w:rsidR="00E348EA" w:rsidRPr="00E348EA" w:rsidRDefault="00E348EA" w:rsidP="00E348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External factors such as family income and school environment were not included</w:t>
      </w:r>
    </w:p>
    <w:p w14:paraId="04281F6D" w14:textId="77777777" w:rsidR="00E348EA" w:rsidRPr="00E348EA" w:rsidRDefault="00E348EA" w:rsidP="00E348EA">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The dataset may not fully represent all student populations</w:t>
      </w:r>
    </w:p>
    <w:p w14:paraId="124A54D8" w14:textId="33899F13" w:rsidR="00E348EA" w:rsidRPr="00E348EA" w:rsidRDefault="00E348EA" w:rsidP="00E348EA">
      <w:pPr>
        <w:spacing w:after="0" w:line="240" w:lineRule="auto"/>
        <w:rPr>
          <w:rFonts w:ascii="Times New Roman" w:eastAsia="Times New Roman" w:hAnsi="Times New Roman" w:cs="Times New Roman"/>
          <w:sz w:val="24"/>
          <w:szCs w:val="24"/>
        </w:rPr>
      </w:pPr>
      <w:bookmarkStart w:id="0" w:name="_GoBack"/>
      <w:bookmarkEnd w:id="0"/>
    </w:p>
    <w:p w14:paraId="48A59771" w14:textId="77777777" w:rsidR="00E348EA" w:rsidRPr="00E348EA" w:rsidRDefault="00E348EA" w:rsidP="00E348EA">
      <w:pPr>
        <w:spacing w:before="100" w:beforeAutospacing="1" w:after="100" w:afterAutospacing="1" w:line="240" w:lineRule="auto"/>
        <w:outlineLvl w:val="1"/>
        <w:rPr>
          <w:rFonts w:ascii="Times New Roman" w:eastAsia="Times New Roman" w:hAnsi="Times New Roman" w:cs="Times New Roman"/>
          <w:b/>
          <w:bCs/>
          <w:sz w:val="36"/>
          <w:szCs w:val="36"/>
        </w:rPr>
      </w:pPr>
      <w:r w:rsidRPr="00E348EA">
        <w:rPr>
          <w:rFonts w:ascii="Times New Roman" w:eastAsia="Times New Roman" w:hAnsi="Times New Roman" w:cs="Times New Roman"/>
          <w:b/>
          <w:bCs/>
          <w:sz w:val="36"/>
          <w:szCs w:val="36"/>
        </w:rPr>
        <w:t>10. Conclusion</w:t>
      </w:r>
    </w:p>
    <w:p w14:paraId="13AFB401"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The analysis reveals that absenteeism is the most significant factor negatively affecting academic performance, while tutoring and study time contribute positively to GPA improvement. Parental education level shows minimal direct impact.</w:t>
      </w:r>
    </w:p>
    <w:p w14:paraId="569937B2" w14:textId="77777777" w:rsidR="00E348EA" w:rsidRPr="00E348EA" w:rsidRDefault="00E348EA" w:rsidP="00E348EA">
      <w:pPr>
        <w:spacing w:before="100" w:beforeAutospacing="1" w:after="100" w:afterAutospacing="1" w:line="240" w:lineRule="auto"/>
        <w:rPr>
          <w:rFonts w:ascii="Times New Roman" w:eastAsia="Times New Roman" w:hAnsi="Times New Roman" w:cs="Times New Roman"/>
          <w:sz w:val="24"/>
          <w:szCs w:val="24"/>
        </w:rPr>
      </w:pPr>
      <w:r w:rsidRPr="00E348EA">
        <w:rPr>
          <w:rFonts w:ascii="Times New Roman" w:eastAsia="Times New Roman" w:hAnsi="Times New Roman" w:cs="Times New Roman"/>
          <w:sz w:val="24"/>
          <w:szCs w:val="24"/>
        </w:rPr>
        <w:t>Addressing absenteeism and expanding academic support systems are critical strategies for improving student outcomes. Future studies should incorporate additional socio-economic variables to provide deeper insights.</w:t>
      </w:r>
    </w:p>
    <w:p w14:paraId="063D339A" w14:textId="77777777" w:rsidR="00587D54" w:rsidRDefault="00587D54"/>
    <w:sectPr w:rsidR="00587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D27D920" w14:textId="77777777" w:rsidR="00887500" w:rsidRDefault="00887500" w:rsidP="007E6CF9">
      <w:pPr>
        <w:spacing w:after="0" w:line="240" w:lineRule="auto"/>
      </w:pPr>
      <w:r>
        <w:separator/>
      </w:r>
    </w:p>
  </w:endnote>
  <w:endnote w:type="continuationSeparator" w:id="0">
    <w:p w14:paraId="2E82499A" w14:textId="77777777" w:rsidR="00887500" w:rsidRDefault="00887500" w:rsidP="007E6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32A3BF" w14:textId="77777777" w:rsidR="00887500" w:rsidRDefault="00887500" w:rsidP="007E6CF9">
      <w:pPr>
        <w:spacing w:after="0" w:line="240" w:lineRule="auto"/>
      </w:pPr>
      <w:r>
        <w:separator/>
      </w:r>
    </w:p>
  </w:footnote>
  <w:footnote w:type="continuationSeparator" w:id="0">
    <w:p w14:paraId="40C7E0A3" w14:textId="77777777" w:rsidR="00887500" w:rsidRDefault="00887500" w:rsidP="007E6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F6167"/>
    <w:multiLevelType w:val="multilevel"/>
    <w:tmpl w:val="F8C4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A688E"/>
    <w:multiLevelType w:val="multilevel"/>
    <w:tmpl w:val="D530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3F18ED"/>
    <w:multiLevelType w:val="multilevel"/>
    <w:tmpl w:val="D804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7C78C1"/>
    <w:multiLevelType w:val="multilevel"/>
    <w:tmpl w:val="98AE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D3808"/>
    <w:multiLevelType w:val="multilevel"/>
    <w:tmpl w:val="9A009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E336A"/>
    <w:multiLevelType w:val="multilevel"/>
    <w:tmpl w:val="3A3C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33C34"/>
    <w:multiLevelType w:val="multilevel"/>
    <w:tmpl w:val="C2B2E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8E4363"/>
    <w:multiLevelType w:val="multilevel"/>
    <w:tmpl w:val="D27A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FF38FD"/>
    <w:multiLevelType w:val="multilevel"/>
    <w:tmpl w:val="DFBE1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40CB6"/>
    <w:multiLevelType w:val="multilevel"/>
    <w:tmpl w:val="957A1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383263"/>
    <w:multiLevelType w:val="multilevel"/>
    <w:tmpl w:val="9818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21F7C"/>
    <w:multiLevelType w:val="multilevel"/>
    <w:tmpl w:val="05B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A0BCD"/>
    <w:multiLevelType w:val="multilevel"/>
    <w:tmpl w:val="B8F63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6B42EC"/>
    <w:multiLevelType w:val="multilevel"/>
    <w:tmpl w:val="4820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763F82"/>
    <w:multiLevelType w:val="multilevel"/>
    <w:tmpl w:val="3878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45479E"/>
    <w:multiLevelType w:val="multilevel"/>
    <w:tmpl w:val="54C0C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DA25A3"/>
    <w:multiLevelType w:val="multilevel"/>
    <w:tmpl w:val="3854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8"/>
  </w:num>
  <w:num w:numId="3">
    <w:abstractNumId w:val="7"/>
  </w:num>
  <w:num w:numId="4">
    <w:abstractNumId w:val="13"/>
  </w:num>
  <w:num w:numId="5">
    <w:abstractNumId w:val="1"/>
  </w:num>
  <w:num w:numId="6">
    <w:abstractNumId w:val="0"/>
  </w:num>
  <w:num w:numId="7">
    <w:abstractNumId w:val="11"/>
  </w:num>
  <w:num w:numId="8">
    <w:abstractNumId w:val="2"/>
  </w:num>
  <w:num w:numId="9">
    <w:abstractNumId w:val="12"/>
  </w:num>
  <w:num w:numId="10">
    <w:abstractNumId w:val="14"/>
  </w:num>
  <w:num w:numId="11">
    <w:abstractNumId w:val="5"/>
  </w:num>
  <w:num w:numId="12">
    <w:abstractNumId w:val="10"/>
  </w:num>
  <w:num w:numId="13">
    <w:abstractNumId w:val="15"/>
  </w:num>
  <w:num w:numId="14">
    <w:abstractNumId w:val="9"/>
  </w:num>
  <w:num w:numId="15">
    <w:abstractNumId w:val="16"/>
  </w:num>
  <w:num w:numId="16">
    <w:abstractNumId w:val="3"/>
  </w:num>
  <w:num w:numId="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8EA"/>
    <w:rsid w:val="004346C7"/>
    <w:rsid w:val="00587D54"/>
    <w:rsid w:val="007E6CF9"/>
    <w:rsid w:val="00887500"/>
    <w:rsid w:val="00C54293"/>
    <w:rsid w:val="00E348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616B4"/>
  <w15:chartTrackingRefBased/>
  <w15:docId w15:val="{2CADA14F-404E-4E4A-853B-02160B6DA0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348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348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348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48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348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348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348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348EA"/>
    <w:rPr>
      <w:b/>
      <w:bCs/>
    </w:rPr>
  </w:style>
  <w:style w:type="paragraph" w:styleId="ListParagraph">
    <w:name w:val="List Paragraph"/>
    <w:basedOn w:val="Normal"/>
    <w:uiPriority w:val="34"/>
    <w:qFormat/>
    <w:rsid w:val="00C54293"/>
    <w:pPr>
      <w:ind w:left="720"/>
      <w:contextualSpacing/>
    </w:pPr>
  </w:style>
  <w:style w:type="paragraph" w:styleId="Header">
    <w:name w:val="header"/>
    <w:basedOn w:val="Normal"/>
    <w:link w:val="HeaderChar"/>
    <w:uiPriority w:val="99"/>
    <w:unhideWhenUsed/>
    <w:rsid w:val="007E6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CF9"/>
  </w:style>
  <w:style w:type="paragraph" w:styleId="Footer">
    <w:name w:val="footer"/>
    <w:basedOn w:val="Normal"/>
    <w:link w:val="FooterChar"/>
    <w:uiPriority w:val="99"/>
    <w:unhideWhenUsed/>
    <w:rsid w:val="007E6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C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0653385">
      <w:bodyDiv w:val="1"/>
      <w:marLeft w:val="0"/>
      <w:marRight w:val="0"/>
      <w:marTop w:val="0"/>
      <w:marBottom w:val="0"/>
      <w:divBdr>
        <w:top w:val="none" w:sz="0" w:space="0" w:color="auto"/>
        <w:left w:val="none" w:sz="0" w:space="0" w:color="auto"/>
        <w:bottom w:val="none" w:sz="0" w:space="0" w:color="auto"/>
        <w:right w:val="none" w:sz="0" w:space="0" w:color="auto"/>
      </w:divBdr>
      <w:divsChild>
        <w:div w:id="633678928">
          <w:marLeft w:val="0"/>
          <w:marRight w:val="0"/>
          <w:marTop w:val="0"/>
          <w:marBottom w:val="0"/>
          <w:divBdr>
            <w:top w:val="none" w:sz="0" w:space="0" w:color="auto"/>
            <w:left w:val="none" w:sz="0" w:space="0" w:color="auto"/>
            <w:bottom w:val="none" w:sz="0" w:space="0" w:color="auto"/>
            <w:right w:val="none" w:sz="0" w:space="0" w:color="auto"/>
          </w:divBdr>
          <w:divsChild>
            <w:div w:id="390471096">
              <w:marLeft w:val="0"/>
              <w:marRight w:val="0"/>
              <w:marTop w:val="0"/>
              <w:marBottom w:val="0"/>
              <w:divBdr>
                <w:top w:val="none" w:sz="0" w:space="0" w:color="auto"/>
                <w:left w:val="none" w:sz="0" w:space="0" w:color="auto"/>
                <w:bottom w:val="none" w:sz="0" w:space="0" w:color="auto"/>
                <w:right w:val="none" w:sz="0" w:space="0" w:color="auto"/>
              </w:divBdr>
              <w:divsChild>
                <w:div w:id="1425955490">
                  <w:marLeft w:val="0"/>
                  <w:marRight w:val="0"/>
                  <w:marTop w:val="0"/>
                  <w:marBottom w:val="0"/>
                  <w:divBdr>
                    <w:top w:val="none" w:sz="0" w:space="0" w:color="auto"/>
                    <w:left w:val="none" w:sz="0" w:space="0" w:color="auto"/>
                    <w:bottom w:val="none" w:sz="0" w:space="0" w:color="auto"/>
                    <w:right w:val="none" w:sz="0" w:space="0" w:color="auto"/>
                  </w:divBdr>
                  <w:divsChild>
                    <w:div w:id="96414835">
                      <w:marLeft w:val="0"/>
                      <w:marRight w:val="0"/>
                      <w:marTop w:val="0"/>
                      <w:marBottom w:val="0"/>
                      <w:divBdr>
                        <w:top w:val="none" w:sz="0" w:space="0" w:color="auto"/>
                        <w:left w:val="none" w:sz="0" w:space="0" w:color="auto"/>
                        <w:bottom w:val="none" w:sz="0" w:space="0" w:color="auto"/>
                        <w:right w:val="none" w:sz="0" w:space="0" w:color="auto"/>
                      </w:divBdr>
                      <w:divsChild>
                        <w:div w:id="1751924051">
                          <w:marLeft w:val="0"/>
                          <w:marRight w:val="0"/>
                          <w:marTop w:val="0"/>
                          <w:marBottom w:val="0"/>
                          <w:divBdr>
                            <w:top w:val="none" w:sz="0" w:space="0" w:color="auto"/>
                            <w:left w:val="none" w:sz="0" w:space="0" w:color="auto"/>
                            <w:bottom w:val="none" w:sz="0" w:space="0" w:color="auto"/>
                            <w:right w:val="none" w:sz="0" w:space="0" w:color="auto"/>
                          </w:divBdr>
                          <w:divsChild>
                            <w:div w:id="1803451970">
                              <w:marLeft w:val="0"/>
                              <w:marRight w:val="0"/>
                              <w:marTop w:val="0"/>
                              <w:marBottom w:val="0"/>
                              <w:divBdr>
                                <w:top w:val="none" w:sz="0" w:space="0" w:color="auto"/>
                                <w:left w:val="none" w:sz="0" w:space="0" w:color="auto"/>
                                <w:bottom w:val="none" w:sz="0" w:space="0" w:color="auto"/>
                                <w:right w:val="none" w:sz="0" w:space="0" w:color="auto"/>
                              </w:divBdr>
                              <w:divsChild>
                                <w:div w:id="1395273470">
                                  <w:marLeft w:val="0"/>
                                  <w:marRight w:val="0"/>
                                  <w:marTop w:val="0"/>
                                  <w:marBottom w:val="0"/>
                                  <w:divBdr>
                                    <w:top w:val="none" w:sz="0" w:space="0" w:color="auto"/>
                                    <w:left w:val="none" w:sz="0" w:space="0" w:color="auto"/>
                                    <w:bottom w:val="none" w:sz="0" w:space="0" w:color="auto"/>
                                    <w:right w:val="none" w:sz="0" w:space="0" w:color="auto"/>
                                  </w:divBdr>
                                  <w:divsChild>
                                    <w:div w:id="1584295445">
                                      <w:marLeft w:val="0"/>
                                      <w:marRight w:val="0"/>
                                      <w:marTop w:val="0"/>
                                      <w:marBottom w:val="0"/>
                                      <w:divBdr>
                                        <w:top w:val="none" w:sz="0" w:space="0" w:color="auto"/>
                                        <w:left w:val="none" w:sz="0" w:space="0" w:color="auto"/>
                                        <w:bottom w:val="none" w:sz="0" w:space="0" w:color="auto"/>
                                        <w:right w:val="none" w:sz="0" w:space="0" w:color="auto"/>
                                      </w:divBdr>
                                      <w:divsChild>
                                        <w:div w:id="1323000084">
                                          <w:marLeft w:val="0"/>
                                          <w:marRight w:val="0"/>
                                          <w:marTop w:val="0"/>
                                          <w:marBottom w:val="0"/>
                                          <w:divBdr>
                                            <w:top w:val="none" w:sz="0" w:space="0" w:color="auto"/>
                                            <w:left w:val="none" w:sz="0" w:space="0" w:color="auto"/>
                                            <w:bottom w:val="none" w:sz="0" w:space="0" w:color="auto"/>
                                            <w:right w:val="none" w:sz="0" w:space="0" w:color="auto"/>
                                          </w:divBdr>
                                          <w:divsChild>
                                            <w:div w:id="1523859602">
                                              <w:marLeft w:val="0"/>
                                              <w:marRight w:val="0"/>
                                              <w:marTop w:val="0"/>
                                              <w:marBottom w:val="0"/>
                                              <w:divBdr>
                                                <w:top w:val="none" w:sz="0" w:space="0" w:color="auto"/>
                                                <w:left w:val="none" w:sz="0" w:space="0" w:color="auto"/>
                                                <w:bottom w:val="none" w:sz="0" w:space="0" w:color="auto"/>
                                                <w:right w:val="none" w:sz="0" w:space="0" w:color="auto"/>
                                              </w:divBdr>
                                              <w:divsChild>
                                                <w:div w:id="112948128">
                                                  <w:marLeft w:val="0"/>
                                                  <w:marRight w:val="0"/>
                                                  <w:marTop w:val="0"/>
                                                  <w:marBottom w:val="0"/>
                                                  <w:divBdr>
                                                    <w:top w:val="none" w:sz="0" w:space="0" w:color="auto"/>
                                                    <w:left w:val="none" w:sz="0" w:space="0" w:color="auto"/>
                                                    <w:bottom w:val="none" w:sz="0" w:space="0" w:color="auto"/>
                                                    <w:right w:val="none" w:sz="0" w:space="0" w:color="auto"/>
                                                  </w:divBdr>
                                                  <w:divsChild>
                                                    <w:div w:id="1945722196">
                                                      <w:marLeft w:val="0"/>
                                                      <w:marRight w:val="0"/>
                                                      <w:marTop w:val="0"/>
                                                      <w:marBottom w:val="0"/>
                                                      <w:divBdr>
                                                        <w:top w:val="none" w:sz="0" w:space="0" w:color="auto"/>
                                                        <w:left w:val="none" w:sz="0" w:space="0" w:color="auto"/>
                                                        <w:bottom w:val="none" w:sz="0" w:space="0" w:color="auto"/>
                                                        <w:right w:val="none" w:sz="0" w:space="0" w:color="auto"/>
                                                      </w:divBdr>
                                                      <w:divsChild>
                                                        <w:div w:id="521868579">
                                                          <w:marLeft w:val="0"/>
                                                          <w:marRight w:val="0"/>
                                                          <w:marTop w:val="0"/>
                                                          <w:marBottom w:val="0"/>
                                                          <w:divBdr>
                                                            <w:top w:val="none" w:sz="0" w:space="0" w:color="auto"/>
                                                            <w:left w:val="none" w:sz="0" w:space="0" w:color="auto"/>
                                                            <w:bottom w:val="none" w:sz="0" w:space="0" w:color="auto"/>
                                                            <w:right w:val="none" w:sz="0" w:space="0" w:color="auto"/>
                                                          </w:divBdr>
                                                          <w:divsChild>
                                                            <w:div w:id="341206758">
                                                              <w:marLeft w:val="0"/>
                                                              <w:marRight w:val="0"/>
                                                              <w:marTop w:val="0"/>
                                                              <w:marBottom w:val="0"/>
                                                              <w:divBdr>
                                                                <w:top w:val="none" w:sz="0" w:space="0" w:color="auto"/>
                                                                <w:left w:val="none" w:sz="0" w:space="0" w:color="auto"/>
                                                                <w:bottom w:val="none" w:sz="0" w:space="0" w:color="auto"/>
                                                                <w:right w:val="none" w:sz="0" w:space="0" w:color="auto"/>
                                                              </w:divBdr>
                                                              <w:divsChild>
                                                                <w:div w:id="696932633">
                                                                  <w:marLeft w:val="0"/>
                                                                  <w:marRight w:val="0"/>
                                                                  <w:marTop w:val="0"/>
                                                                  <w:marBottom w:val="0"/>
                                                                  <w:divBdr>
                                                                    <w:top w:val="none" w:sz="0" w:space="0" w:color="auto"/>
                                                                    <w:left w:val="none" w:sz="0" w:space="0" w:color="auto"/>
                                                                    <w:bottom w:val="none" w:sz="0" w:space="0" w:color="auto"/>
                                                                    <w:right w:val="none" w:sz="0" w:space="0" w:color="auto"/>
                                                                  </w:divBdr>
                                                                </w:div>
                                                                <w:div w:id="1628929024">
                                                                  <w:marLeft w:val="0"/>
                                                                  <w:marRight w:val="0"/>
                                                                  <w:marTop w:val="0"/>
                                                                  <w:marBottom w:val="0"/>
                                                                  <w:divBdr>
                                                                    <w:top w:val="none" w:sz="0" w:space="0" w:color="auto"/>
                                                                    <w:left w:val="none" w:sz="0" w:space="0" w:color="auto"/>
                                                                    <w:bottom w:val="none" w:sz="0" w:space="0" w:color="auto"/>
                                                                    <w:right w:val="none" w:sz="0" w:space="0" w:color="auto"/>
                                                                  </w:divBdr>
                                                                </w:div>
                                                                <w:div w:id="1985773484">
                                                                  <w:marLeft w:val="0"/>
                                                                  <w:marRight w:val="0"/>
                                                                  <w:marTop w:val="0"/>
                                                                  <w:marBottom w:val="0"/>
                                                                  <w:divBdr>
                                                                    <w:top w:val="none" w:sz="0" w:space="0" w:color="auto"/>
                                                                    <w:left w:val="none" w:sz="0" w:space="0" w:color="auto"/>
                                                                    <w:bottom w:val="none" w:sz="0" w:space="0" w:color="auto"/>
                                                                    <w:right w:val="none" w:sz="0" w:space="0" w:color="auto"/>
                                                                  </w:divBdr>
                                                                </w:div>
                                                                <w:div w:id="885681465">
                                                                  <w:marLeft w:val="0"/>
                                                                  <w:marRight w:val="0"/>
                                                                  <w:marTop w:val="0"/>
                                                                  <w:marBottom w:val="0"/>
                                                                  <w:divBdr>
                                                                    <w:top w:val="none" w:sz="0" w:space="0" w:color="auto"/>
                                                                    <w:left w:val="none" w:sz="0" w:space="0" w:color="auto"/>
                                                                    <w:bottom w:val="none" w:sz="0" w:space="0" w:color="auto"/>
                                                                    <w:right w:val="none" w:sz="0" w:space="0" w:color="auto"/>
                                                                  </w:divBdr>
                                                                </w:div>
                                                                <w:div w:id="732773244">
                                                                  <w:marLeft w:val="0"/>
                                                                  <w:marRight w:val="0"/>
                                                                  <w:marTop w:val="0"/>
                                                                  <w:marBottom w:val="0"/>
                                                                  <w:divBdr>
                                                                    <w:top w:val="none" w:sz="0" w:space="0" w:color="auto"/>
                                                                    <w:left w:val="none" w:sz="0" w:space="0" w:color="auto"/>
                                                                    <w:bottom w:val="none" w:sz="0" w:space="0" w:color="auto"/>
                                                                    <w:right w:val="none" w:sz="0" w:space="0" w:color="auto"/>
                                                                  </w:divBdr>
                                                                </w:div>
                                                                <w:div w:id="1171720619">
                                                                  <w:marLeft w:val="0"/>
                                                                  <w:marRight w:val="0"/>
                                                                  <w:marTop w:val="0"/>
                                                                  <w:marBottom w:val="0"/>
                                                                  <w:divBdr>
                                                                    <w:top w:val="none" w:sz="0" w:space="0" w:color="auto"/>
                                                                    <w:left w:val="none" w:sz="0" w:space="0" w:color="auto"/>
                                                                    <w:bottom w:val="none" w:sz="0" w:space="0" w:color="auto"/>
                                                                    <w:right w:val="none" w:sz="0" w:space="0" w:color="auto"/>
                                                                  </w:divBdr>
                                                                </w:div>
                                                                <w:div w:id="1975334391">
                                                                  <w:marLeft w:val="0"/>
                                                                  <w:marRight w:val="0"/>
                                                                  <w:marTop w:val="0"/>
                                                                  <w:marBottom w:val="0"/>
                                                                  <w:divBdr>
                                                                    <w:top w:val="none" w:sz="0" w:space="0" w:color="auto"/>
                                                                    <w:left w:val="none" w:sz="0" w:space="0" w:color="auto"/>
                                                                    <w:bottom w:val="none" w:sz="0" w:space="0" w:color="auto"/>
                                                                    <w:right w:val="none" w:sz="0" w:space="0" w:color="auto"/>
                                                                  </w:divBdr>
                                                                </w:div>
                                                                <w:div w:id="1183321924">
                                                                  <w:marLeft w:val="0"/>
                                                                  <w:marRight w:val="0"/>
                                                                  <w:marTop w:val="0"/>
                                                                  <w:marBottom w:val="0"/>
                                                                  <w:divBdr>
                                                                    <w:top w:val="none" w:sz="0" w:space="0" w:color="auto"/>
                                                                    <w:left w:val="none" w:sz="0" w:space="0" w:color="auto"/>
                                                                    <w:bottom w:val="none" w:sz="0" w:space="0" w:color="auto"/>
                                                                    <w:right w:val="none" w:sz="0" w:space="0" w:color="auto"/>
                                                                  </w:divBdr>
                                                                </w:div>
                                                                <w:div w:id="1225526735">
                                                                  <w:marLeft w:val="0"/>
                                                                  <w:marRight w:val="0"/>
                                                                  <w:marTop w:val="0"/>
                                                                  <w:marBottom w:val="0"/>
                                                                  <w:divBdr>
                                                                    <w:top w:val="none" w:sz="0" w:space="0" w:color="auto"/>
                                                                    <w:left w:val="none" w:sz="0" w:space="0" w:color="auto"/>
                                                                    <w:bottom w:val="none" w:sz="0" w:space="0" w:color="auto"/>
                                                                    <w:right w:val="none" w:sz="0" w:space="0" w:color="auto"/>
                                                                  </w:divBdr>
                                                                </w:div>
                                                                <w:div w:id="1127046987">
                                                                  <w:marLeft w:val="0"/>
                                                                  <w:marRight w:val="0"/>
                                                                  <w:marTop w:val="0"/>
                                                                  <w:marBottom w:val="0"/>
                                                                  <w:divBdr>
                                                                    <w:top w:val="none" w:sz="0" w:space="0" w:color="auto"/>
                                                                    <w:left w:val="none" w:sz="0" w:space="0" w:color="auto"/>
                                                                    <w:bottom w:val="none" w:sz="0" w:space="0" w:color="auto"/>
                                                                    <w:right w:val="none" w:sz="0" w:space="0" w:color="auto"/>
                                                                  </w:divBdr>
                                                                </w:div>
                                                                <w:div w:id="340082090">
                                                                  <w:marLeft w:val="0"/>
                                                                  <w:marRight w:val="0"/>
                                                                  <w:marTop w:val="0"/>
                                                                  <w:marBottom w:val="0"/>
                                                                  <w:divBdr>
                                                                    <w:top w:val="none" w:sz="0" w:space="0" w:color="auto"/>
                                                                    <w:left w:val="none" w:sz="0" w:space="0" w:color="auto"/>
                                                                    <w:bottom w:val="none" w:sz="0" w:space="0" w:color="auto"/>
                                                                    <w:right w:val="none" w:sz="0" w:space="0" w:color="auto"/>
                                                                  </w:divBdr>
                                                                </w:div>
                                                                <w:div w:id="1684623850">
                                                                  <w:marLeft w:val="0"/>
                                                                  <w:marRight w:val="0"/>
                                                                  <w:marTop w:val="0"/>
                                                                  <w:marBottom w:val="0"/>
                                                                  <w:divBdr>
                                                                    <w:top w:val="none" w:sz="0" w:space="0" w:color="auto"/>
                                                                    <w:left w:val="none" w:sz="0" w:space="0" w:color="auto"/>
                                                                    <w:bottom w:val="none" w:sz="0" w:space="0" w:color="auto"/>
                                                                    <w:right w:val="none" w:sz="0" w:space="0" w:color="auto"/>
                                                                  </w:divBdr>
                                                                </w:div>
                                                                <w:div w:id="64370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921702">
                          <w:marLeft w:val="0"/>
                          <w:marRight w:val="0"/>
                          <w:marTop w:val="0"/>
                          <w:marBottom w:val="0"/>
                          <w:divBdr>
                            <w:top w:val="none" w:sz="0" w:space="0" w:color="auto"/>
                            <w:left w:val="none" w:sz="0" w:space="0" w:color="auto"/>
                            <w:bottom w:val="none" w:sz="0" w:space="0" w:color="auto"/>
                            <w:right w:val="none" w:sz="0" w:space="0" w:color="auto"/>
                          </w:divBdr>
                          <w:divsChild>
                            <w:div w:id="123012263">
                              <w:marLeft w:val="0"/>
                              <w:marRight w:val="0"/>
                              <w:marTop w:val="0"/>
                              <w:marBottom w:val="0"/>
                              <w:divBdr>
                                <w:top w:val="none" w:sz="0" w:space="0" w:color="auto"/>
                                <w:left w:val="none" w:sz="0" w:space="0" w:color="auto"/>
                                <w:bottom w:val="none" w:sz="0" w:space="0" w:color="auto"/>
                                <w:right w:val="none" w:sz="0" w:space="0" w:color="auto"/>
                              </w:divBdr>
                              <w:divsChild>
                                <w:div w:id="58048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ocuments\Data%20Analysis.docx\Data%20Analysis%20@%20WDC\Datasets\Student%20Performance\Student_performance_data%20_.cs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ocuments\Data%20Analysis.docx\Data%20Analysis%20@%20WDC\Datasets\Student%20Performance\Student_performance_data%20_.csv.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ocuments\Power%20BI%20Desktop\Data%20Analysis%20@%20WDC\Datasets\Student%20Performance\Student_performance_data%20_.csv.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ocuments\Data%20Analysis.docx\Data%20Analysis%20@%20WDC\Datasets\Student%20Performance\Student_performance_data%20_.csv.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[Student_performance_data _.csv.xlsx]Pivot table1!PivotTable2</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table1'!$K$12</c:f>
              <c:strCache>
                <c:ptCount val="1"/>
                <c:pt idx="0">
                  <c:v>Total</c:v>
                </c:pt>
              </c:strCache>
            </c:strRef>
          </c:tx>
          <c:spPr>
            <a:solidFill>
              <a:schemeClr val="accent1"/>
            </a:solidFill>
            <a:ln>
              <a:noFill/>
            </a:ln>
            <a:effectLst/>
          </c:spPr>
          <c:invertIfNegative val="0"/>
          <c:cat>
            <c:strRef>
              <c:f>'Pivot table1'!$J$13:$J$19</c:f>
              <c:strCache>
                <c:ptCount val="6"/>
                <c:pt idx="0">
                  <c:v>0-4</c:v>
                </c:pt>
                <c:pt idx="1">
                  <c:v>5-9</c:v>
                </c:pt>
                <c:pt idx="2">
                  <c:v>10-14</c:v>
                </c:pt>
                <c:pt idx="3">
                  <c:v>15-19</c:v>
                </c:pt>
                <c:pt idx="4">
                  <c:v>20-24</c:v>
                </c:pt>
                <c:pt idx="5">
                  <c:v>25-29</c:v>
                </c:pt>
              </c:strCache>
            </c:strRef>
          </c:cat>
          <c:val>
            <c:numRef>
              <c:f>'Pivot table1'!$K$13:$K$19</c:f>
              <c:numCache>
                <c:formatCode>0.0</c:formatCode>
                <c:ptCount val="6"/>
                <c:pt idx="0">
                  <c:v>3.1614333963364492</c:v>
                </c:pt>
                <c:pt idx="1">
                  <c:v>2.6472523742284784</c:v>
                </c:pt>
                <c:pt idx="2">
                  <c:v>2.1560975114254974</c:v>
                </c:pt>
                <c:pt idx="3">
                  <c:v>1.6615481149997089</c:v>
                </c:pt>
                <c:pt idx="4">
                  <c:v>1.1556576755586343</c:v>
                </c:pt>
                <c:pt idx="5">
                  <c:v>0.69380146050738656</c:v>
                </c:pt>
              </c:numCache>
            </c:numRef>
          </c:val>
          <c:extLst>
            <c:ext xmlns:c16="http://schemas.microsoft.com/office/drawing/2014/chart" uri="{C3380CC4-5D6E-409C-BE32-E72D297353CC}">
              <c16:uniqueId val="{00000000-7F54-46D9-86BA-E82B6AFA090A}"/>
            </c:ext>
          </c:extLst>
        </c:ser>
        <c:dLbls>
          <c:showLegendKey val="0"/>
          <c:showVal val="0"/>
          <c:showCatName val="0"/>
          <c:showSerName val="0"/>
          <c:showPercent val="0"/>
          <c:showBubbleSize val="0"/>
        </c:dLbls>
        <c:gapWidth val="219"/>
        <c:overlap val="-27"/>
        <c:axId val="1514320831"/>
        <c:axId val="1335941631"/>
      </c:barChart>
      <c:catAx>
        <c:axId val="1514320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5941631"/>
        <c:crosses val="autoZero"/>
        <c:auto val="1"/>
        <c:lblAlgn val="ctr"/>
        <c:lblOffset val="100"/>
        <c:noMultiLvlLbl val="0"/>
      </c:catAx>
      <c:valAx>
        <c:axId val="1335941631"/>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1432083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[Student_performance_data _.csv.xlsx]Pivot table1!PivotTable7</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table1'!$F$3</c:f>
              <c:strCache>
                <c:ptCount val="1"/>
                <c:pt idx="0">
                  <c:v>Total</c:v>
                </c:pt>
              </c:strCache>
            </c:strRef>
          </c:tx>
          <c:spPr>
            <a:solidFill>
              <a:schemeClr val="accent1"/>
            </a:solidFill>
            <a:ln>
              <a:noFill/>
            </a:ln>
            <a:effectLst/>
          </c:spPr>
          <c:invertIfNegative val="0"/>
          <c:cat>
            <c:strRef>
              <c:f>'Pivot table1'!$E$4:$E$6</c:f>
              <c:strCache>
                <c:ptCount val="2"/>
                <c:pt idx="0">
                  <c:v>No</c:v>
                </c:pt>
                <c:pt idx="1">
                  <c:v>Yes</c:v>
                </c:pt>
              </c:strCache>
            </c:strRef>
          </c:cat>
          <c:val>
            <c:numRef>
              <c:f>'Pivot table1'!$F$4:$F$6</c:f>
              <c:numCache>
                <c:formatCode>0.0</c:formatCode>
                <c:ptCount val="2"/>
                <c:pt idx="0">
                  <c:v>1.8189679878567984</c:v>
                </c:pt>
                <c:pt idx="1">
                  <c:v>2.1083247273414236</c:v>
                </c:pt>
              </c:numCache>
            </c:numRef>
          </c:val>
          <c:extLst>
            <c:ext xmlns:c16="http://schemas.microsoft.com/office/drawing/2014/chart" uri="{C3380CC4-5D6E-409C-BE32-E72D297353CC}">
              <c16:uniqueId val="{00000000-49C5-4517-9645-72AAEED33A14}"/>
            </c:ext>
          </c:extLst>
        </c:ser>
        <c:dLbls>
          <c:showLegendKey val="0"/>
          <c:showVal val="0"/>
          <c:showCatName val="0"/>
          <c:showSerName val="0"/>
          <c:showPercent val="0"/>
          <c:showBubbleSize val="0"/>
        </c:dLbls>
        <c:gapWidth val="219"/>
        <c:overlap val="-27"/>
        <c:axId val="1718762159"/>
        <c:axId val="1499568463"/>
      </c:barChart>
      <c:catAx>
        <c:axId val="17187621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99568463"/>
        <c:crosses val="autoZero"/>
        <c:auto val="1"/>
        <c:lblAlgn val="ctr"/>
        <c:lblOffset val="100"/>
        <c:noMultiLvlLbl val="0"/>
      </c:catAx>
      <c:valAx>
        <c:axId val="1499568463"/>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1876215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[Student_performance_data _.csv.xlsx]Sheet2!PivotTable7</c:name>
    <c:fmtId val="-1"/>
  </c:pivotSource>
  <c:chart>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Sheet2!$F$3</c:f>
              <c:strCache>
                <c:ptCount val="1"/>
                <c:pt idx="0">
                  <c:v>Average of GPA</c:v>
                </c:pt>
              </c:strCache>
            </c:strRef>
          </c:tx>
          <c:spPr>
            <a:solidFill>
              <a:schemeClr val="accent1"/>
            </a:solidFill>
            <a:ln>
              <a:noFill/>
            </a:ln>
            <a:effectLst/>
          </c:spPr>
          <c:invertIfNegative val="0"/>
          <c:cat>
            <c:strRef>
              <c:f>Sheet2!$E$4:$E$6</c:f>
              <c:strCache>
                <c:ptCount val="2"/>
                <c:pt idx="0">
                  <c:v>No</c:v>
                </c:pt>
                <c:pt idx="1">
                  <c:v>Yes</c:v>
                </c:pt>
              </c:strCache>
            </c:strRef>
          </c:cat>
          <c:val>
            <c:numRef>
              <c:f>Sheet2!$F$4:$F$6</c:f>
              <c:numCache>
                <c:formatCode>0.0</c:formatCode>
                <c:ptCount val="2"/>
                <c:pt idx="0">
                  <c:v>1.8189679878567984</c:v>
                </c:pt>
                <c:pt idx="1">
                  <c:v>2.1083247273414236</c:v>
                </c:pt>
              </c:numCache>
            </c:numRef>
          </c:val>
          <c:extLst>
            <c:ext xmlns:c16="http://schemas.microsoft.com/office/drawing/2014/chart" uri="{C3380CC4-5D6E-409C-BE32-E72D297353CC}">
              <c16:uniqueId val="{00000000-33D8-497E-952C-2DB0DD81876A}"/>
            </c:ext>
          </c:extLst>
        </c:ser>
        <c:ser>
          <c:idx val="1"/>
          <c:order val="1"/>
          <c:tx>
            <c:strRef>
              <c:f>Sheet2!$G$3</c:f>
              <c:strCache>
                <c:ptCount val="1"/>
                <c:pt idx="0">
                  <c:v>Count of GPA</c:v>
                </c:pt>
              </c:strCache>
            </c:strRef>
          </c:tx>
          <c:spPr>
            <a:solidFill>
              <a:schemeClr val="accent2"/>
            </a:solidFill>
            <a:ln>
              <a:noFill/>
            </a:ln>
            <a:effectLst/>
          </c:spPr>
          <c:invertIfNegative val="0"/>
          <c:cat>
            <c:strRef>
              <c:f>Sheet2!$E$4:$E$6</c:f>
              <c:strCache>
                <c:ptCount val="2"/>
                <c:pt idx="0">
                  <c:v>No</c:v>
                </c:pt>
                <c:pt idx="1">
                  <c:v>Yes</c:v>
                </c:pt>
              </c:strCache>
            </c:strRef>
          </c:cat>
          <c:val>
            <c:numRef>
              <c:f>Sheet2!$G$4:$G$6</c:f>
              <c:numCache>
                <c:formatCode>0</c:formatCode>
                <c:ptCount val="2"/>
                <c:pt idx="0">
                  <c:v>1671</c:v>
                </c:pt>
                <c:pt idx="1">
                  <c:v>721</c:v>
                </c:pt>
              </c:numCache>
            </c:numRef>
          </c:val>
          <c:extLst>
            <c:ext xmlns:c16="http://schemas.microsoft.com/office/drawing/2014/chart" uri="{C3380CC4-5D6E-409C-BE32-E72D297353CC}">
              <c16:uniqueId val="{00000001-33D8-497E-952C-2DB0DD81876A}"/>
            </c:ext>
          </c:extLst>
        </c:ser>
        <c:dLbls>
          <c:showLegendKey val="0"/>
          <c:showVal val="0"/>
          <c:showCatName val="0"/>
          <c:showSerName val="0"/>
          <c:showPercent val="0"/>
          <c:showBubbleSize val="0"/>
        </c:dLbls>
        <c:gapWidth val="219"/>
        <c:overlap val="-27"/>
        <c:axId val="1849691584"/>
        <c:axId val="1794772992"/>
      </c:barChart>
      <c:catAx>
        <c:axId val="18496915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4772992"/>
        <c:crosses val="autoZero"/>
        <c:auto val="1"/>
        <c:lblAlgn val="ctr"/>
        <c:lblOffset val="100"/>
        <c:noMultiLvlLbl val="0"/>
      </c:catAx>
      <c:valAx>
        <c:axId val="179477299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496915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[Student_performance_data _.csv.xlsx]Pivot table1!PivotTable10</c:name>
    <c:fmtId val="-1"/>
  </c:pivotSource>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'Pivot table1'!$F$12</c:f>
              <c:strCache>
                <c:ptCount val="1"/>
                <c:pt idx="0">
                  <c:v>Total</c:v>
                </c:pt>
              </c:strCache>
            </c:strRef>
          </c:tx>
          <c:spPr>
            <a:solidFill>
              <a:schemeClr val="accent1"/>
            </a:solidFill>
            <a:ln>
              <a:noFill/>
            </a:ln>
            <a:effectLst/>
          </c:spPr>
          <c:invertIfNegative val="0"/>
          <c:cat>
            <c:strRef>
              <c:f>'Pivot table1'!$E$13:$E$18</c:f>
              <c:strCache>
                <c:ptCount val="5"/>
                <c:pt idx="0">
                  <c:v>Bachelor</c:v>
                </c:pt>
                <c:pt idx="1">
                  <c:v>Higher</c:v>
                </c:pt>
                <c:pt idx="2">
                  <c:v>None</c:v>
                </c:pt>
                <c:pt idx="3">
                  <c:v>Some College</c:v>
                </c:pt>
                <c:pt idx="4">
                  <c:v>High School</c:v>
                </c:pt>
              </c:strCache>
            </c:strRef>
          </c:cat>
          <c:val>
            <c:numRef>
              <c:f>'Pivot table1'!$F$13:$F$18</c:f>
              <c:numCache>
                <c:formatCode>0.0</c:formatCode>
                <c:ptCount val="5"/>
                <c:pt idx="0">
                  <c:v>1.8090823841983381</c:v>
                </c:pt>
                <c:pt idx="1">
                  <c:v>1.8158115938519839</c:v>
                </c:pt>
                <c:pt idx="2">
                  <c:v>1.893045252039961</c:v>
                </c:pt>
                <c:pt idx="3">
                  <c:v>1.9298811108912932</c:v>
                </c:pt>
                <c:pt idx="4">
                  <c:v>1.9440220550009113</c:v>
                </c:pt>
              </c:numCache>
            </c:numRef>
          </c:val>
          <c:extLst>
            <c:ext xmlns:c16="http://schemas.microsoft.com/office/drawing/2014/chart" uri="{C3380CC4-5D6E-409C-BE32-E72D297353CC}">
              <c16:uniqueId val="{00000000-C451-45C7-965A-8ECB505E45BA}"/>
            </c:ext>
          </c:extLst>
        </c:ser>
        <c:dLbls>
          <c:showLegendKey val="0"/>
          <c:showVal val="0"/>
          <c:showCatName val="0"/>
          <c:showSerName val="0"/>
          <c:showPercent val="0"/>
          <c:showBubbleSize val="0"/>
        </c:dLbls>
        <c:gapWidth val="219"/>
        <c:overlap val="-27"/>
        <c:axId val="1074413952"/>
        <c:axId val="1114338608"/>
      </c:barChart>
      <c:catAx>
        <c:axId val="1074413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14338608"/>
        <c:crosses val="autoZero"/>
        <c:auto val="1"/>
        <c:lblAlgn val="ctr"/>
        <c:lblOffset val="100"/>
        <c:noMultiLvlLbl val="0"/>
      </c:catAx>
      <c:valAx>
        <c:axId val="1114338608"/>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7441395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Ayomide Akande</dc:creator>
  <cp:keywords/>
  <dc:description/>
  <cp:lastModifiedBy>Ayomide Akande</cp:lastModifiedBy>
  <cp:revision>3</cp:revision>
  <dcterms:created xsi:type="dcterms:W3CDTF">2026-04-13T06:55:00Z</dcterms:created>
  <dcterms:modified xsi:type="dcterms:W3CDTF">2026-04-13T07:30:00Z</dcterms:modified>
</cp:coreProperties>
</file>