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8A" w:rsidRDefault="0034038A" w:rsidP="0034038A">
      <w:pPr>
        <w:jc w:val="center"/>
        <w:rPr>
          <w:rFonts w:ascii="Garamond" w:hAnsi="Garamond"/>
          <w:b/>
          <w:sz w:val="28"/>
          <w:szCs w:val="28"/>
        </w:rPr>
      </w:pPr>
      <w:r>
        <w:rPr>
          <w:rFonts w:ascii="Garamond" w:hAnsi="Garamond"/>
          <w:b/>
          <w:noProof/>
          <w:sz w:val="28"/>
          <w:szCs w:val="28"/>
        </w:rPr>
        <w:drawing>
          <wp:inline distT="0" distB="0" distL="0" distR="0">
            <wp:extent cx="3238500" cy="695325"/>
            <wp:effectExtent l="0" t="0" r="0" b="9525"/>
            <wp:docPr id="2" name="Picture 2" descr="G:\Dept Resources\New-CalSWEC-logos-JPG\CALSWEC-Logo-Color-Horizontal-Byline-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ept Resources\New-CalSWEC-logos-JPG\CALSWEC-Logo-Color-Horizontal-Byline-transpar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00" cy="695325"/>
                    </a:xfrm>
                    <a:prstGeom prst="rect">
                      <a:avLst/>
                    </a:prstGeom>
                    <a:noFill/>
                    <a:ln>
                      <a:noFill/>
                    </a:ln>
                  </pic:spPr>
                </pic:pic>
              </a:graphicData>
            </a:graphic>
          </wp:inline>
        </w:drawing>
      </w:r>
    </w:p>
    <w:p w:rsidR="0034038A" w:rsidRDefault="0034038A" w:rsidP="00990415">
      <w:pPr>
        <w:jc w:val="center"/>
        <w:rPr>
          <w:rFonts w:ascii="Garamond" w:hAnsi="Garamond"/>
          <w:b/>
          <w:sz w:val="28"/>
          <w:szCs w:val="28"/>
        </w:rPr>
      </w:pPr>
    </w:p>
    <w:p w:rsidR="0025366A" w:rsidRPr="0034038A" w:rsidRDefault="0025366A" w:rsidP="00990415">
      <w:pPr>
        <w:jc w:val="center"/>
        <w:rPr>
          <w:rFonts w:ascii="Garamond" w:hAnsi="Garamond"/>
          <w:b/>
          <w:sz w:val="32"/>
          <w:szCs w:val="32"/>
        </w:rPr>
      </w:pPr>
      <w:r w:rsidRPr="0034038A">
        <w:rPr>
          <w:rFonts w:ascii="Garamond" w:hAnsi="Garamond"/>
          <w:b/>
          <w:sz w:val="32"/>
          <w:szCs w:val="32"/>
        </w:rPr>
        <w:t>Aging Initiative</w:t>
      </w:r>
    </w:p>
    <w:p w:rsidR="0034038A" w:rsidRDefault="0034038A" w:rsidP="0034038A">
      <w:pPr>
        <w:jc w:val="center"/>
        <w:rPr>
          <w:rFonts w:ascii="Garamond" w:hAnsi="Garamond"/>
          <w:b/>
          <w:sz w:val="24"/>
          <w:szCs w:val="24"/>
        </w:rPr>
      </w:pPr>
    </w:p>
    <w:p w:rsidR="00035168" w:rsidRPr="0034038A" w:rsidRDefault="00990415" w:rsidP="0034038A">
      <w:pPr>
        <w:jc w:val="center"/>
        <w:rPr>
          <w:rFonts w:ascii="Garamond" w:hAnsi="Garamond"/>
          <w:b/>
          <w:sz w:val="28"/>
          <w:szCs w:val="28"/>
        </w:rPr>
      </w:pPr>
      <w:r w:rsidRPr="0034038A">
        <w:rPr>
          <w:rFonts w:ascii="Garamond" w:hAnsi="Garamond"/>
          <w:b/>
          <w:sz w:val="28"/>
          <w:szCs w:val="28"/>
        </w:rPr>
        <w:t>Background and History</w:t>
      </w:r>
    </w:p>
    <w:p w:rsidR="00DE654E" w:rsidRPr="00990415" w:rsidRDefault="00DE654E" w:rsidP="00990415">
      <w:pPr>
        <w:rPr>
          <w:rFonts w:ascii="Garamond" w:hAnsi="Garamond"/>
          <w:sz w:val="24"/>
          <w:szCs w:val="24"/>
        </w:rPr>
      </w:pPr>
    </w:p>
    <w:p w:rsidR="007A1499" w:rsidRPr="00990415" w:rsidRDefault="00DE654E" w:rsidP="00990415">
      <w:pPr>
        <w:rPr>
          <w:rFonts w:ascii="Garamond" w:hAnsi="Garamond"/>
          <w:sz w:val="24"/>
          <w:szCs w:val="24"/>
        </w:rPr>
      </w:pPr>
      <w:r w:rsidRPr="00990415">
        <w:rPr>
          <w:rFonts w:ascii="Garamond" w:hAnsi="Garamond"/>
          <w:sz w:val="24"/>
          <w:szCs w:val="24"/>
        </w:rPr>
        <w:t xml:space="preserve">As a nationally recognized model for social work education and training, the California Social </w:t>
      </w:r>
      <w:r w:rsidR="00035168" w:rsidRPr="00990415">
        <w:rPr>
          <w:rFonts w:ascii="Garamond" w:hAnsi="Garamond"/>
          <w:sz w:val="24"/>
          <w:szCs w:val="24"/>
        </w:rPr>
        <w:t>Work Education Center (CalSWEC)</w:t>
      </w:r>
      <w:r w:rsidRPr="00990415">
        <w:rPr>
          <w:rFonts w:ascii="Garamond" w:hAnsi="Garamond"/>
          <w:sz w:val="24"/>
          <w:szCs w:val="24"/>
        </w:rPr>
        <w:t xml:space="preserve"> leadership along with the Board of Directors recognized</w:t>
      </w:r>
      <w:r w:rsidR="007A1499" w:rsidRPr="00990415">
        <w:rPr>
          <w:rFonts w:ascii="Garamond" w:hAnsi="Garamond"/>
          <w:sz w:val="24"/>
          <w:szCs w:val="24"/>
        </w:rPr>
        <w:t xml:space="preserve"> the significant unmet need for</w:t>
      </w:r>
      <w:r w:rsidRPr="00990415">
        <w:rPr>
          <w:rFonts w:ascii="Garamond" w:hAnsi="Garamond"/>
          <w:sz w:val="24"/>
          <w:szCs w:val="24"/>
        </w:rPr>
        <w:t xml:space="preserve"> social work education, training, and employment opportunities for social workers serving aged adults and their families through the development of California’s Master Plan for Social Work Education published in 2004. </w:t>
      </w:r>
    </w:p>
    <w:p w:rsidR="007A1499" w:rsidRPr="00990415" w:rsidRDefault="007A1499" w:rsidP="00990415">
      <w:pPr>
        <w:rPr>
          <w:rFonts w:ascii="Garamond" w:hAnsi="Garamond"/>
          <w:sz w:val="24"/>
          <w:szCs w:val="24"/>
        </w:rPr>
      </w:pPr>
    </w:p>
    <w:p w:rsidR="007A1499" w:rsidRPr="00990415" w:rsidRDefault="007A1499" w:rsidP="00990415">
      <w:pPr>
        <w:rPr>
          <w:rFonts w:ascii="Garamond" w:eastAsiaTheme="minorHAnsi" w:hAnsi="Garamond"/>
          <w:sz w:val="24"/>
          <w:szCs w:val="24"/>
        </w:rPr>
      </w:pPr>
      <w:r w:rsidRPr="00990415">
        <w:rPr>
          <w:rFonts w:ascii="Garamond" w:eastAsiaTheme="minorHAnsi" w:hAnsi="Garamond"/>
          <w:sz w:val="24"/>
          <w:szCs w:val="24"/>
        </w:rPr>
        <w:t xml:space="preserve">In February </w:t>
      </w:r>
      <w:r w:rsidR="00035168" w:rsidRPr="00990415">
        <w:rPr>
          <w:rFonts w:ascii="Garamond" w:eastAsiaTheme="minorHAnsi" w:hAnsi="Garamond"/>
          <w:sz w:val="24"/>
          <w:szCs w:val="24"/>
        </w:rPr>
        <w:t>2004</w:t>
      </w:r>
      <w:r w:rsidRPr="00990415">
        <w:rPr>
          <w:rFonts w:ascii="Garamond" w:eastAsiaTheme="minorHAnsi" w:hAnsi="Garamond"/>
          <w:sz w:val="24"/>
          <w:szCs w:val="24"/>
        </w:rPr>
        <w:t>,</w:t>
      </w:r>
      <w:r w:rsidR="00035168" w:rsidRPr="00990415">
        <w:rPr>
          <w:rFonts w:ascii="Garamond" w:eastAsiaTheme="minorHAnsi" w:hAnsi="Garamond"/>
          <w:sz w:val="24"/>
          <w:szCs w:val="24"/>
        </w:rPr>
        <w:t xml:space="preserve"> </w:t>
      </w:r>
      <w:r w:rsidRPr="00990415">
        <w:rPr>
          <w:rFonts w:ascii="Garamond" w:eastAsiaTheme="minorHAnsi" w:hAnsi="Garamond"/>
          <w:sz w:val="24"/>
          <w:szCs w:val="24"/>
        </w:rPr>
        <w:t>the CalSWEC Board of Directors established the Aging Initiative</w:t>
      </w:r>
      <w:r w:rsidR="0025366A" w:rsidRPr="00990415">
        <w:rPr>
          <w:rFonts w:ascii="Garamond" w:eastAsiaTheme="minorHAnsi" w:hAnsi="Garamond"/>
          <w:sz w:val="24"/>
          <w:szCs w:val="24"/>
        </w:rPr>
        <w:t xml:space="preserve"> (AI)</w:t>
      </w:r>
      <w:r w:rsidRPr="00990415">
        <w:rPr>
          <w:rFonts w:ascii="Garamond" w:eastAsiaTheme="minorHAnsi" w:hAnsi="Garamond"/>
          <w:sz w:val="24"/>
          <w:szCs w:val="24"/>
        </w:rPr>
        <w:t xml:space="preserve"> under the auspices of the CalSWEC Curriculum Committee. The intent of the Aging Initiative was to build upon successes and lessons learned through the CalSWEC Child Welfare initiative, and apply them to building the capacity for workforce development in geriatric social work </w:t>
      </w:r>
      <w:r w:rsidR="008B3A92" w:rsidRPr="00990415">
        <w:rPr>
          <w:rFonts w:ascii="Garamond" w:eastAsiaTheme="minorHAnsi" w:hAnsi="Garamond"/>
          <w:sz w:val="24"/>
          <w:szCs w:val="24"/>
        </w:rPr>
        <w:t>by promoting</w:t>
      </w:r>
      <w:r w:rsidRPr="00990415">
        <w:rPr>
          <w:rFonts w:ascii="Garamond" w:eastAsiaTheme="minorHAnsi" w:hAnsi="Garamond"/>
          <w:sz w:val="24"/>
          <w:szCs w:val="24"/>
        </w:rPr>
        <w:t xml:space="preserve"> a Model for Social Worker Practitioner Preparation in Aging services statewide.</w:t>
      </w:r>
    </w:p>
    <w:p w:rsidR="007A1499" w:rsidRPr="00990415" w:rsidRDefault="007A1499" w:rsidP="00990415">
      <w:pPr>
        <w:rPr>
          <w:rFonts w:ascii="Garamond" w:eastAsiaTheme="minorHAnsi" w:hAnsi="Garamond"/>
          <w:sz w:val="24"/>
          <w:szCs w:val="24"/>
        </w:rPr>
      </w:pPr>
    </w:p>
    <w:p w:rsidR="00DE654E" w:rsidRPr="00990415" w:rsidRDefault="00DE654E" w:rsidP="00990415">
      <w:pPr>
        <w:rPr>
          <w:rFonts w:ascii="Garamond" w:hAnsi="Garamond"/>
          <w:sz w:val="24"/>
          <w:szCs w:val="24"/>
        </w:rPr>
      </w:pPr>
      <w:r w:rsidRPr="00990415">
        <w:rPr>
          <w:rFonts w:ascii="Garamond" w:hAnsi="Garamond"/>
          <w:sz w:val="24"/>
          <w:szCs w:val="24"/>
        </w:rPr>
        <w:t xml:space="preserve">The initiative was launched with the goal of creating a statewide coalition of key stakeholders representing the academic community and providers from </w:t>
      </w:r>
      <w:r w:rsidR="00832F6F" w:rsidRPr="00990415">
        <w:rPr>
          <w:rFonts w:ascii="Garamond" w:hAnsi="Garamond"/>
          <w:sz w:val="24"/>
          <w:szCs w:val="24"/>
        </w:rPr>
        <w:t xml:space="preserve">the public and private sectors. </w:t>
      </w:r>
      <w:r w:rsidRPr="00990415">
        <w:rPr>
          <w:rFonts w:ascii="Garamond" w:hAnsi="Garamond"/>
          <w:sz w:val="24"/>
          <w:szCs w:val="24"/>
        </w:rPr>
        <w:t xml:space="preserve">The vision for the group was to develop a statewide plan with specific strategies to address the need for building the training and education capacity, creating incentives for attracting students, and improving the diversity of the workforce. </w:t>
      </w:r>
    </w:p>
    <w:p w:rsidR="00DE654E" w:rsidRPr="00990415" w:rsidRDefault="00DE654E" w:rsidP="00990415">
      <w:pPr>
        <w:rPr>
          <w:rFonts w:ascii="Garamond" w:hAnsi="Garamond"/>
          <w:sz w:val="24"/>
          <w:szCs w:val="24"/>
        </w:rPr>
      </w:pPr>
    </w:p>
    <w:p w:rsidR="00DE654E" w:rsidRPr="00990415" w:rsidRDefault="00DE654E" w:rsidP="00990415">
      <w:pPr>
        <w:rPr>
          <w:rFonts w:ascii="Garamond" w:hAnsi="Garamond"/>
          <w:sz w:val="24"/>
          <w:szCs w:val="24"/>
        </w:rPr>
      </w:pPr>
      <w:r w:rsidRPr="00990415">
        <w:rPr>
          <w:rFonts w:ascii="Garamond" w:hAnsi="Garamond"/>
          <w:sz w:val="24"/>
          <w:szCs w:val="24"/>
        </w:rPr>
        <w:t>The Aging Initiative establi</w:t>
      </w:r>
      <w:r w:rsidR="0022541F" w:rsidRPr="00990415">
        <w:rPr>
          <w:rFonts w:ascii="Garamond" w:hAnsi="Garamond"/>
          <w:sz w:val="24"/>
          <w:szCs w:val="24"/>
        </w:rPr>
        <w:t>shed four strategic priorities:</w:t>
      </w:r>
    </w:p>
    <w:p w:rsidR="00DE654E" w:rsidRPr="00990415" w:rsidRDefault="00DE654E" w:rsidP="00990415">
      <w:pPr>
        <w:rPr>
          <w:rFonts w:ascii="Garamond" w:hAnsi="Garamond"/>
          <w:sz w:val="24"/>
          <w:szCs w:val="24"/>
        </w:rPr>
      </w:pPr>
      <w:r w:rsidRPr="00990415">
        <w:rPr>
          <w:rFonts w:ascii="Garamond" w:hAnsi="Garamond"/>
          <w:sz w:val="24"/>
          <w:szCs w:val="24"/>
        </w:rPr>
        <w:t>1. Create a Statewide Coalition to promote Social Work Workforce Development in Aging</w:t>
      </w:r>
    </w:p>
    <w:p w:rsidR="00DE654E" w:rsidRPr="00990415" w:rsidRDefault="00DE654E" w:rsidP="00990415">
      <w:pPr>
        <w:rPr>
          <w:rFonts w:ascii="Garamond" w:hAnsi="Garamond"/>
          <w:sz w:val="24"/>
          <w:szCs w:val="24"/>
        </w:rPr>
      </w:pPr>
      <w:r w:rsidRPr="00990415">
        <w:rPr>
          <w:rFonts w:ascii="Garamond" w:hAnsi="Garamond"/>
          <w:sz w:val="24"/>
          <w:szCs w:val="24"/>
        </w:rPr>
        <w:t>2. Development of Core Competencies in Geriatric Social Work</w:t>
      </w:r>
    </w:p>
    <w:p w:rsidR="00DE654E" w:rsidRPr="00990415" w:rsidRDefault="00DE654E" w:rsidP="00990415">
      <w:pPr>
        <w:rPr>
          <w:rFonts w:ascii="Garamond" w:hAnsi="Garamond"/>
          <w:sz w:val="24"/>
          <w:szCs w:val="24"/>
        </w:rPr>
      </w:pPr>
      <w:r w:rsidRPr="00990415">
        <w:rPr>
          <w:rFonts w:ascii="Garamond" w:hAnsi="Garamond"/>
          <w:sz w:val="24"/>
          <w:szCs w:val="24"/>
        </w:rPr>
        <w:t>3. Develop Workforce Development Strategies</w:t>
      </w:r>
    </w:p>
    <w:p w:rsidR="003F6745" w:rsidRPr="00990415" w:rsidRDefault="00DE654E" w:rsidP="00990415">
      <w:pPr>
        <w:rPr>
          <w:rFonts w:ascii="Garamond" w:hAnsi="Garamond"/>
          <w:sz w:val="24"/>
          <w:szCs w:val="24"/>
        </w:rPr>
      </w:pPr>
      <w:r w:rsidRPr="00990415">
        <w:rPr>
          <w:rFonts w:ascii="Garamond" w:hAnsi="Garamond"/>
          <w:sz w:val="24"/>
          <w:szCs w:val="24"/>
        </w:rPr>
        <w:t>4. Develop Capacity Building and Sustainability Strategies</w:t>
      </w:r>
    </w:p>
    <w:p w:rsidR="00DE654E" w:rsidRPr="00990415" w:rsidRDefault="00DE654E" w:rsidP="00990415">
      <w:pPr>
        <w:rPr>
          <w:rFonts w:ascii="Garamond" w:hAnsi="Garamond"/>
          <w:sz w:val="24"/>
          <w:szCs w:val="24"/>
        </w:rPr>
      </w:pPr>
    </w:p>
    <w:p w:rsidR="00990415" w:rsidRPr="00990415" w:rsidRDefault="00990415" w:rsidP="00990415">
      <w:pPr>
        <w:rPr>
          <w:rFonts w:ascii="Garamond" w:hAnsi="Garamond"/>
          <w:sz w:val="24"/>
          <w:szCs w:val="24"/>
        </w:rPr>
      </w:pPr>
    </w:p>
    <w:p w:rsidR="00E22E22" w:rsidRPr="0034038A" w:rsidRDefault="003F6745" w:rsidP="00990415">
      <w:pPr>
        <w:jc w:val="center"/>
        <w:rPr>
          <w:rFonts w:ascii="Garamond" w:eastAsiaTheme="minorHAnsi" w:hAnsi="Garamond"/>
          <w:b/>
          <w:sz w:val="28"/>
          <w:szCs w:val="28"/>
        </w:rPr>
      </w:pPr>
      <w:r w:rsidRPr="0034038A">
        <w:rPr>
          <w:rFonts w:ascii="Garamond" w:hAnsi="Garamond"/>
          <w:b/>
          <w:sz w:val="28"/>
          <w:szCs w:val="28"/>
        </w:rPr>
        <w:t>Timeline and s</w:t>
      </w:r>
      <w:r w:rsidR="00D732C7" w:rsidRPr="0034038A">
        <w:rPr>
          <w:rFonts w:ascii="Garamond" w:hAnsi="Garamond"/>
          <w:b/>
          <w:sz w:val="28"/>
          <w:szCs w:val="28"/>
        </w:rPr>
        <w:t>ummary</w:t>
      </w:r>
      <w:r w:rsidR="00DE654E" w:rsidRPr="0034038A">
        <w:rPr>
          <w:rFonts w:ascii="Garamond" w:hAnsi="Garamond"/>
          <w:b/>
          <w:sz w:val="28"/>
          <w:szCs w:val="28"/>
        </w:rPr>
        <w:t xml:space="preserve"> of Accomplishments</w:t>
      </w:r>
    </w:p>
    <w:p w:rsidR="00DE654E" w:rsidRPr="0034038A" w:rsidRDefault="00DE654E" w:rsidP="00990415">
      <w:pPr>
        <w:rPr>
          <w:rFonts w:ascii="Garamond" w:hAnsi="Garamond"/>
          <w:sz w:val="28"/>
          <w:szCs w:val="28"/>
        </w:rPr>
      </w:pPr>
      <w:r w:rsidRPr="0034038A">
        <w:rPr>
          <w:rFonts w:ascii="Garamond" w:hAnsi="Garamond"/>
          <w:sz w:val="28"/>
          <w:szCs w:val="28"/>
        </w:rPr>
        <w:t xml:space="preserve"> </w:t>
      </w:r>
    </w:p>
    <w:p w:rsidR="00C118EC" w:rsidRPr="0034038A" w:rsidRDefault="00C118EC" w:rsidP="00990415">
      <w:pPr>
        <w:pBdr>
          <w:bottom w:val="single" w:sz="4" w:space="1" w:color="auto"/>
        </w:pBdr>
        <w:rPr>
          <w:rFonts w:ascii="Garamond" w:hAnsi="Garamond"/>
          <w:b/>
          <w:sz w:val="24"/>
          <w:szCs w:val="24"/>
        </w:rPr>
      </w:pPr>
      <w:r w:rsidRPr="0034038A">
        <w:rPr>
          <w:rFonts w:ascii="Garamond" w:hAnsi="Garamond"/>
          <w:b/>
          <w:sz w:val="24"/>
          <w:szCs w:val="24"/>
        </w:rPr>
        <w:t>2004 to 2009</w:t>
      </w:r>
    </w:p>
    <w:p w:rsidR="00F3053C" w:rsidRPr="0034038A" w:rsidRDefault="00F3053C" w:rsidP="00990415">
      <w:pPr>
        <w:rPr>
          <w:rFonts w:ascii="Garamond" w:hAnsi="Garamond"/>
          <w:b/>
          <w:sz w:val="24"/>
          <w:szCs w:val="24"/>
        </w:rPr>
      </w:pPr>
    </w:p>
    <w:p w:rsidR="00990415" w:rsidRDefault="00D732C7" w:rsidP="00990415">
      <w:pPr>
        <w:rPr>
          <w:rFonts w:ascii="Garamond" w:hAnsi="Garamond"/>
          <w:sz w:val="24"/>
          <w:szCs w:val="24"/>
        </w:rPr>
      </w:pPr>
      <w:r w:rsidRPr="00990415">
        <w:rPr>
          <w:rFonts w:ascii="Garamond" w:hAnsi="Garamond"/>
          <w:b/>
          <w:sz w:val="24"/>
          <w:szCs w:val="24"/>
        </w:rPr>
        <w:t>Coalition D</w:t>
      </w:r>
      <w:r w:rsidR="00DE654E" w:rsidRPr="00990415">
        <w:rPr>
          <w:rFonts w:ascii="Garamond" w:hAnsi="Garamond"/>
          <w:b/>
          <w:sz w:val="24"/>
          <w:szCs w:val="24"/>
        </w:rPr>
        <w:t>evelopment:</w:t>
      </w:r>
      <w:r w:rsidRPr="00990415">
        <w:rPr>
          <w:rFonts w:ascii="Garamond" w:hAnsi="Garamond"/>
          <w:sz w:val="24"/>
          <w:szCs w:val="24"/>
        </w:rPr>
        <w:t xml:space="preserve"> A</w:t>
      </w:r>
      <w:r w:rsidR="00DE654E" w:rsidRPr="00990415">
        <w:rPr>
          <w:rFonts w:ascii="Garamond" w:hAnsi="Garamond"/>
          <w:sz w:val="24"/>
          <w:szCs w:val="24"/>
        </w:rPr>
        <w:t xml:space="preserve"> Statewide Aging Summit</w:t>
      </w:r>
      <w:r w:rsidRPr="00990415">
        <w:rPr>
          <w:rFonts w:ascii="Garamond" w:hAnsi="Garamond"/>
          <w:sz w:val="24"/>
          <w:szCs w:val="24"/>
        </w:rPr>
        <w:t xml:space="preserve"> was held</w:t>
      </w:r>
      <w:r w:rsidR="00DE654E" w:rsidRPr="00990415">
        <w:rPr>
          <w:rFonts w:ascii="Garamond" w:hAnsi="Garamond"/>
          <w:sz w:val="24"/>
          <w:szCs w:val="24"/>
        </w:rPr>
        <w:t xml:space="preserve"> in 2004.  This effort brought together 109 delegates, established a database of 305 key stakeholders and resources in the field of aging, presented successful models for training, and developed consensus in key areas to further th</w:t>
      </w:r>
      <w:r w:rsidR="003F6745" w:rsidRPr="00990415">
        <w:rPr>
          <w:rFonts w:ascii="Garamond" w:hAnsi="Garamond"/>
          <w:sz w:val="24"/>
          <w:szCs w:val="24"/>
        </w:rPr>
        <w:t>e Aging Initiative.  As well as i</w:t>
      </w:r>
      <w:r w:rsidR="00DE654E" w:rsidRPr="00990415">
        <w:rPr>
          <w:rFonts w:ascii="Garamond" w:hAnsi="Garamond"/>
          <w:sz w:val="24"/>
          <w:szCs w:val="24"/>
        </w:rPr>
        <w:t xml:space="preserve">nstitutionalized the Aging Committee as part of CalSWEC’s committee structure.  </w:t>
      </w:r>
    </w:p>
    <w:p w:rsidR="003A4842" w:rsidRPr="00990415" w:rsidRDefault="006A732A" w:rsidP="00990415">
      <w:pPr>
        <w:rPr>
          <w:rFonts w:ascii="Garamond" w:eastAsiaTheme="minorHAnsi" w:hAnsi="Garamond"/>
          <w:sz w:val="24"/>
          <w:szCs w:val="24"/>
        </w:rPr>
      </w:pPr>
      <w:r w:rsidRPr="00990415">
        <w:rPr>
          <w:rFonts w:ascii="Garamond" w:hAnsi="Garamond"/>
          <w:sz w:val="24"/>
          <w:szCs w:val="24"/>
        </w:rPr>
        <w:t>As a result of the groundwork laid during the 2004 October Summit the Aging Initiative was invited to submit a proposal to the Archstone Foundation and in July 2005 received a three-year grant to further many previously established AI goal</w:t>
      </w:r>
      <w:r w:rsidR="00B32858" w:rsidRPr="00990415">
        <w:rPr>
          <w:rFonts w:ascii="Garamond" w:hAnsi="Garamond"/>
          <w:sz w:val="24"/>
          <w:szCs w:val="24"/>
        </w:rPr>
        <w:t xml:space="preserve">s. </w:t>
      </w:r>
      <w:r w:rsidR="003A4842" w:rsidRPr="00990415">
        <w:rPr>
          <w:rFonts w:ascii="Garamond" w:eastAsiaTheme="minorHAnsi" w:hAnsi="Garamond"/>
          <w:sz w:val="24"/>
          <w:szCs w:val="24"/>
        </w:rPr>
        <w:t>The Archstone Funding</w:t>
      </w:r>
      <w:r w:rsidR="00D732C7" w:rsidRPr="00990415">
        <w:rPr>
          <w:rFonts w:ascii="Garamond" w:eastAsiaTheme="minorHAnsi" w:hAnsi="Garamond"/>
          <w:sz w:val="24"/>
          <w:szCs w:val="24"/>
        </w:rPr>
        <w:t xml:space="preserve"> provided support for specific </w:t>
      </w:r>
      <w:r w:rsidR="00D732C7" w:rsidRPr="00990415">
        <w:rPr>
          <w:rFonts w:ascii="Garamond" w:eastAsiaTheme="minorHAnsi" w:hAnsi="Garamond"/>
          <w:sz w:val="24"/>
          <w:szCs w:val="24"/>
        </w:rPr>
        <w:lastRenderedPageBreak/>
        <w:t xml:space="preserve">geriatric AI labor force development projects including the delineation of geriatric social work competencies and a university survey of social work curricula in aging. </w:t>
      </w:r>
    </w:p>
    <w:p w:rsidR="00C118EC" w:rsidRPr="00990415" w:rsidRDefault="00C118EC" w:rsidP="00990415">
      <w:pPr>
        <w:rPr>
          <w:rFonts w:ascii="Garamond" w:hAnsi="Garamond"/>
          <w:sz w:val="24"/>
          <w:szCs w:val="24"/>
        </w:rPr>
      </w:pPr>
    </w:p>
    <w:p w:rsidR="00AC1243" w:rsidRPr="00990415" w:rsidRDefault="00F3053C" w:rsidP="00990415">
      <w:pPr>
        <w:rPr>
          <w:rFonts w:ascii="Garamond" w:hAnsi="Garamond"/>
          <w:sz w:val="24"/>
          <w:szCs w:val="24"/>
        </w:rPr>
      </w:pPr>
      <w:r w:rsidRPr="00990415">
        <w:rPr>
          <w:rFonts w:ascii="Garamond" w:hAnsi="Garamond"/>
          <w:b/>
          <w:sz w:val="24"/>
          <w:szCs w:val="24"/>
        </w:rPr>
        <w:t>Curriculum Development:</w:t>
      </w:r>
      <w:r w:rsidRPr="00990415">
        <w:rPr>
          <w:rFonts w:ascii="Garamond" w:hAnsi="Garamond"/>
          <w:sz w:val="24"/>
          <w:szCs w:val="24"/>
        </w:rPr>
        <w:t xml:space="preserve">  </w:t>
      </w:r>
      <w:r w:rsidR="00D732C7" w:rsidRPr="00990415">
        <w:rPr>
          <w:rFonts w:ascii="Garamond" w:eastAsiaTheme="minorHAnsi" w:hAnsi="Garamond"/>
          <w:sz w:val="24"/>
          <w:szCs w:val="24"/>
        </w:rPr>
        <w:t xml:space="preserve">The AI Curriculum Workgroup utilized the CalSWEC curricula model including the definition of first year and second year skill levels. The competencies developed nationally through the Hartford Geriatric Social Work Initiative particularly the Social Work Leadership Institute Practicum Partnership Program </w:t>
      </w:r>
      <w:r w:rsidR="00A72FE8" w:rsidRPr="00990415">
        <w:rPr>
          <w:rFonts w:ascii="Garamond" w:eastAsiaTheme="minorHAnsi" w:hAnsi="Garamond"/>
          <w:sz w:val="24"/>
          <w:szCs w:val="24"/>
        </w:rPr>
        <w:t>was</w:t>
      </w:r>
      <w:r w:rsidR="00D732C7" w:rsidRPr="00990415">
        <w:rPr>
          <w:rFonts w:ascii="Garamond" w:eastAsiaTheme="minorHAnsi" w:hAnsi="Garamond"/>
          <w:sz w:val="24"/>
          <w:szCs w:val="24"/>
        </w:rPr>
        <w:t xml:space="preserve"> used as guides for competency development. The Council on Social Work Education Gero Ed Center collaborated to disseminate the AI competencies through faculty development institutes. CalSWEC members and the Executive Board approved competencies through an extensive process of review. </w:t>
      </w:r>
      <w:r w:rsidR="00AC1243" w:rsidRPr="00990415">
        <w:rPr>
          <w:rFonts w:ascii="Garamond" w:hAnsi="Garamond"/>
          <w:sz w:val="24"/>
          <w:szCs w:val="24"/>
        </w:rPr>
        <w:t xml:space="preserve">The CalSWEC Aging Competencies were completed and adopted by the CalSWEC Board of Directors in February 2006. CalSWEC promoted dissemination of the competencies throughout California Schools of Social Work. </w:t>
      </w:r>
    </w:p>
    <w:p w:rsidR="00F3053C" w:rsidRPr="00990415" w:rsidRDefault="00F3053C" w:rsidP="00990415">
      <w:pPr>
        <w:rPr>
          <w:rFonts w:ascii="Garamond" w:eastAsiaTheme="minorHAnsi" w:hAnsi="Garamond"/>
          <w:sz w:val="24"/>
          <w:szCs w:val="24"/>
        </w:rPr>
      </w:pPr>
    </w:p>
    <w:p w:rsidR="00D732C7" w:rsidRPr="00990415" w:rsidRDefault="00F3053C" w:rsidP="00990415">
      <w:pPr>
        <w:rPr>
          <w:rFonts w:ascii="Garamond" w:eastAsiaTheme="minorHAnsi" w:hAnsi="Garamond"/>
          <w:sz w:val="24"/>
          <w:szCs w:val="24"/>
        </w:rPr>
      </w:pPr>
      <w:r w:rsidRPr="00990415">
        <w:rPr>
          <w:rFonts w:ascii="Garamond" w:eastAsiaTheme="minorHAnsi" w:hAnsi="Garamond"/>
          <w:b/>
          <w:sz w:val="24"/>
          <w:szCs w:val="24"/>
        </w:rPr>
        <w:t>University and Aging services Surveys:</w:t>
      </w:r>
      <w:r w:rsidRPr="00990415">
        <w:rPr>
          <w:rFonts w:ascii="Garamond" w:eastAsiaTheme="minorHAnsi" w:hAnsi="Garamond"/>
          <w:sz w:val="24"/>
          <w:szCs w:val="24"/>
        </w:rPr>
        <w:t xml:space="preserve">  The Aging Initiative</w:t>
      </w:r>
      <w:r w:rsidR="00D732C7" w:rsidRPr="00990415">
        <w:rPr>
          <w:rFonts w:ascii="Garamond" w:eastAsiaTheme="minorHAnsi" w:hAnsi="Garamond"/>
          <w:sz w:val="24"/>
          <w:szCs w:val="24"/>
        </w:rPr>
        <w:t xml:space="preserve"> University Survey</w:t>
      </w:r>
      <w:r w:rsidRPr="00990415">
        <w:rPr>
          <w:rFonts w:ascii="Garamond" w:eastAsiaTheme="minorHAnsi" w:hAnsi="Garamond"/>
          <w:sz w:val="24"/>
          <w:szCs w:val="24"/>
        </w:rPr>
        <w:t xml:space="preserve"> was conducted in 2006/2007 that it was intended to</w:t>
      </w:r>
      <w:r w:rsidR="00D732C7" w:rsidRPr="00990415">
        <w:rPr>
          <w:rFonts w:ascii="Garamond" w:eastAsiaTheme="minorHAnsi" w:hAnsi="Garamond"/>
          <w:sz w:val="24"/>
          <w:szCs w:val="24"/>
        </w:rPr>
        <w:t xml:space="preserve"> 1) </w:t>
      </w:r>
      <w:r w:rsidR="00A72FE8" w:rsidRPr="00990415">
        <w:rPr>
          <w:rFonts w:ascii="Garamond" w:eastAsiaTheme="minorHAnsi" w:hAnsi="Garamond"/>
          <w:sz w:val="24"/>
          <w:szCs w:val="24"/>
        </w:rPr>
        <w:t>to</w:t>
      </w:r>
      <w:r w:rsidR="00D732C7" w:rsidRPr="00990415">
        <w:rPr>
          <w:rFonts w:ascii="Garamond" w:eastAsiaTheme="minorHAnsi" w:hAnsi="Garamond"/>
          <w:sz w:val="24"/>
          <w:szCs w:val="24"/>
        </w:rPr>
        <w:t xml:space="preserve"> describe the current s</w:t>
      </w:r>
      <w:r w:rsidRPr="00990415">
        <w:rPr>
          <w:rFonts w:ascii="Garamond" w:eastAsiaTheme="minorHAnsi" w:hAnsi="Garamond"/>
          <w:sz w:val="24"/>
          <w:szCs w:val="24"/>
        </w:rPr>
        <w:t xml:space="preserve">tatus of social work education </w:t>
      </w:r>
      <w:r w:rsidR="00D732C7" w:rsidRPr="00990415">
        <w:rPr>
          <w:rFonts w:ascii="Garamond" w:eastAsiaTheme="minorHAnsi" w:hAnsi="Garamond"/>
          <w:sz w:val="24"/>
          <w:szCs w:val="24"/>
        </w:rPr>
        <w:t>in aging within the curriculum in California Schools of Social Work. 2</w:t>
      </w:r>
      <w:r w:rsidRPr="00990415">
        <w:rPr>
          <w:rFonts w:ascii="Garamond" w:eastAsiaTheme="minorHAnsi" w:hAnsi="Garamond"/>
          <w:sz w:val="24"/>
          <w:szCs w:val="24"/>
        </w:rPr>
        <w:t xml:space="preserve">) To provide baseline data for </w:t>
      </w:r>
      <w:r w:rsidR="00D732C7" w:rsidRPr="00990415">
        <w:rPr>
          <w:rFonts w:ascii="Garamond" w:eastAsiaTheme="minorHAnsi" w:hAnsi="Garamond"/>
          <w:sz w:val="24"/>
          <w:szCs w:val="24"/>
        </w:rPr>
        <w:t>CALSWEC to use in assessing the level of competency-based social wor</w:t>
      </w:r>
      <w:r w:rsidRPr="00990415">
        <w:rPr>
          <w:rFonts w:ascii="Garamond" w:eastAsiaTheme="minorHAnsi" w:hAnsi="Garamond"/>
          <w:sz w:val="24"/>
          <w:szCs w:val="24"/>
        </w:rPr>
        <w:t xml:space="preserve">k in aging curriculum for both </w:t>
      </w:r>
      <w:r w:rsidR="00D732C7" w:rsidRPr="00990415">
        <w:rPr>
          <w:rFonts w:ascii="Garamond" w:eastAsiaTheme="minorHAnsi" w:hAnsi="Garamond"/>
          <w:sz w:val="24"/>
          <w:szCs w:val="24"/>
        </w:rPr>
        <w:t>infusion and aging specialization. 3) To provide data for comparison of social work in aging in</w:t>
      </w:r>
      <w:r w:rsidRPr="00990415">
        <w:rPr>
          <w:rFonts w:ascii="Garamond" w:eastAsiaTheme="minorHAnsi" w:hAnsi="Garamond"/>
          <w:sz w:val="24"/>
          <w:szCs w:val="24"/>
        </w:rPr>
        <w:t xml:space="preserve"> </w:t>
      </w:r>
      <w:r w:rsidR="00D732C7" w:rsidRPr="00990415">
        <w:rPr>
          <w:rFonts w:ascii="Garamond" w:eastAsiaTheme="minorHAnsi" w:hAnsi="Garamond"/>
          <w:sz w:val="24"/>
          <w:szCs w:val="24"/>
        </w:rPr>
        <w:t>California with national surveys.</w:t>
      </w:r>
    </w:p>
    <w:p w:rsidR="00D732C7" w:rsidRPr="00990415" w:rsidRDefault="00D732C7" w:rsidP="00990415">
      <w:pPr>
        <w:rPr>
          <w:rFonts w:ascii="Garamond" w:hAnsi="Garamond"/>
          <w:sz w:val="24"/>
          <w:szCs w:val="24"/>
        </w:rPr>
      </w:pPr>
    </w:p>
    <w:p w:rsidR="00E22E22" w:rsidRPr="00990415" w:rsidRDefault="00E22E22" w:rsidP="00990415">
      <w:pPr>
        <w:rPr>
          <w:rFonts w:ascii="Garamond" w:hAnsi="Garamond"/>
          <w:sz w:val="24"/>
          <w:szCs w:val="24"/>
        </w:rPr>
      </w:pPr>
      <w:r w:rsidRPr="00990415">
        <w:rPr>
          <w:rFonts w:ascii="Garamond" w:eastAsiaTheme="minorHAnsi" w:hAnsi="Garamond"/>
          <w:sz w:val="24"/>
          <w:szCs w:val="24"/>
        </w:rPr>
        <w:t>The Aging Services Labor Force Survey was conducted from 2006 to 2008. It aimed to describe current public aging service workers and their clients, project future growth in numbers of older clients and workers, and identify the skills required for staff as well as barriers to hiring and retaining qualified aging service workers needed to meet current and potential demand for social wo</w:t>
      </w:r>
      <w:r w:rsidR="00101C9E" w:rsidRPr="00990415">
        <w:rPr>
          <w:rFonts w:ascii="Garamond" w:eastAsiaTheme="minorHAnsi" w:hAnsi="Garamond"/>
          <w:sz w:val="24"/>
          <w:szCs w:val="24"/>
        </w:rPr>
        <w:t xml:space="preserve">rkers with geriatric competences, </w:t>
      </w:r>
      <w:r w:rsidRPr="00990415">
        <w:rPr>
          <w:rFonts w:ascii="Garamond" w:hAnsi="Garamond"/>
          <w:sz w:val="24"/>
          <w:szCs w:val="24"/>
        </w:rPr>
        <w:t xml:space="preserve">curriculum content, field placement, faculty specialization, aging programs, etc. </w:t>
      </w:r>
      <w:r w:rsidR="00394A15" w:rsidRPr="00990415">
        <w:rPr>
          <w:rFonts w:ascii="Garamond" w:hAnsi="Garamond"/>
          <w:sz w:val="24"/>
          <w:szCs w:val="24"/>
        </w:rPr>
        <w:t>The Labor Force Survey is reported in two reports, the first addressing public services for older adults, and this second report addressing community based organizations, including Area Agency on Aging (AAA), AAA subcontractors, and Adult Day Health Care Centers.</w:t>
      </w:r>
    </w:p>
    <w:p w:rsidR="00F3053C" w:rsidRPr="00990415" w:rsidRDefault="00F3053C" w:rsidP="00990415">
      <w:pPr>
        <w:rPr>
          <w:rFonts w:ascii="Garamond" w:hAnsi="Garamond"/>
          <w:sz w:val="24"/>
          <w:szCs w:val="24"/>
        </w:rPr>
      </w:pPr>
    </w:p>
    <w:p w:rsidR="00C118EC" w:rsidRPr="00990415" w:rsidRDefault="00C118EC" w:rsidP="00990415">
      <w:pPr>
        <w:rPr>
          <w:rFonts w:ascii="Garamond" w:hAnsi="Garamond"/>
          <w:sz w:val="24"/>
          <w:szCs w:val="24"/>
        </w:rPr>
      </w:pPr>
      <w:r w:rsidRPr="00990415">
        <w:rPr>
          <w:rFonts w:ascii="Garamond" w:hAnsi="Garamond"/>
          <w:b/>
          <w:sz w:val="24"/>
          <w:szCs w:val="24"/>
        </w:rPr>
        <w:t>Capacity Bu</w:t>
      </w:r>
      <w:r w:rsidR="00F3053C" w:rsidRPr="00990415">
        <w:rPr>
          <w:rFonts w:ascii="Garamond" w:hAnsi="Garamond"/>
          <w:b/>
          <w:sz w:val="24"/>
          <w:szCs w:val="24"/>
        </w:rPr>
        <w:t>ilding and Sustainability efforts:</w:t>
      </w:r>
      <w:r w:rsidR="00F3053C" w:rsidRPr="00990415">
        <w:rPr>
          <w:rFonts w:ascii="Garamond" w:hAnsi="Garamond"/>
          <w:sz w:val="24"/>
          <w:szCs w:val="24"/>
        </w:rPr>
        <w:t xml:space="preserve">  </w:t>
      </w:r>
      <w:r w:rsidRPr="00990415">
        <w:rPr>
          <w:rFonts w:ascii="Garamond" w:hAnsi="Garamond"/>
          <w:sz w:val="24"/>
          <w:szCs w:val="24"/>
        </w:rPr>
        <w:t>Three regional collaborative pilot sites were identified in northern, central and southern California to develop claiming strategies for allowable Medicaid/MediCal reimbursement costs for training in aging services. Almost a third of the universities with social work MSW programs are involved—five overall out of seventeen; and almost one in five of the fifty-eight counties</w:t>
      </w:r>
      <w:r w:rsidR="005912A1">
        <w:rPr>
          <w:rFonts w:ascii="Garamond" w:hAnsi="Garamond"/>
          <w:sz w:val="24"/>
          <w:szCs w:val="24"/>
        </w:rPr>
        <w:t xml:space="preserve"> were</w:t>
      </w:r>
      <w:r w:rsidRPr="00990415">
        <w:rPr>
          <w:rFonts w:ascii="Garamond" w:hAnsi="Garamond"/>
          <w:sz w:val="24"/>
          <w:szCs w:val="24"/>
        </w:rPr>
        <w:t xml:space="preserve"> involved—eleven in all.  This was accomplished through a request for proposals developed to recruit the university and county agency collaboratives. Stipends for students in aging were established through Archstone Foundation funding with match contributions from Collaborative partners.</w:t>
      </w:r>
    </w:p>
    <w:p w:rsidR="00C118EC" w:rsidRPr="00990415" w:rsidRDefault="00C118EC" w:rsidP="00990415">
      <w:pPr>
        <w:rPr>
          <w:rFonts w:ascii="Garamond" w:hAnsi="Garamond"/>
          <w:sz w:val="24"/>
          <w:szCs w:val="24"/>
        </w:rPr>
      </w:pPr>
    </w:p>
    <w:p w:rsidR="00825C23" w:rsidRPr="00990415" w:rsidRDefault="00F3053C" w:rsidP="00990415">
      <w:pPr>
        <w:rPr>
          <w:rFonts w:ascii="Garamond" w:hAnsi="Garamond"/>
          <w:sz w:val="24"/>
          <w:szCs w:val="24"/>
        </w:rPr>
      </w:pPr>
      <w:r w:rsidRPr="00990415">
        <w:rPr>
          <w:rFonts w:ascii="Garamond" w:hAnsi="Garamond"/>
          <w:sz w:val="24"/>
          <w:szCs w:val="24"/>
        </w:rPr>
        <w:t xml:space="preserve">The Aging Initiative </w:t>
      </w:r>
      <w:r w:rsidR="005912A1">
        <w:rPr>
          <w:rFonts w:ascii="Garamond" w:hAnsi="Garamond"/>
          <w:sz w:val="24"/>
          <w:szCs w:val="24"/>
        </w:rPr>
        <w:t>was</w:t>
      </w:r>
      <w:r w:rsidR="00990415" w:rsidRPr="00990415">
        <w:rPr>
          <w:rFonts w:ascii="Garamond" w:hAnsi="Garamond"/>
          <w:sz w:val="24"/>
          <w:szCs w:val="24"/>
        </w:rPr>
        <w:t xml:space="preserve"> a collaborative partner in support of the </w:t>
      </w:r>
      <w:r w:rsidRPr="00990415">
        <w:rPr>
          <w:rFonts w:ascii="Garamond" w:hAnsi="Garamond"/>
          <w:sz w:val="24"/>
          <w:szCs w:val="24"/>
        </w:rPr>
        <w:t xml:space="preserve">development </w:t>
      </w:r>
      <w:r w:rsidR="00990415" w:rsidRPr="00990415">
        <w:rPr>
          <w:rFonts w:ascii="Garamond" w:hAnsi="Garamond"/>
          <w:sz w:val="24"/>
          <w:szCs w:val="24"/>
        </w:rPr>
        <w:t xml:space="preserve">of </w:t>
      </w:r>
      <w:r w:rsidRPr="00990415">
        <w:rPr>
          <w:rFonts w:ascii="Garamond" w:hAnsi="Garamond"/>
          <w:sz w:val="24"/>
          <w:szCs w:val="24"/>
        </w:rPr>
        <w:t xml:space="preserve">a pilot program with the Institute of Geriatric Social Work at Boston University School of Social work to deliver training to current county social workers delivering services to the IHSS population.  </w:t>
      </w:r>
    </w:p>
    <w:p w:rsidR="00825C23" w:rsidRPr="00990415" w:rsidRDefault="00825C23" w:rsidP="00990415">
      <w:pPr>
        <w:rPr>
          <w:rFonts w:ascii="Garamond" w:hAnsi="Garamond"/>
          <w:sz w:val="24"/>
          <w:szCs w:val="24"/>
        </w:rPr>
      </w:pPr>
    </w:p>
    <w:p w:rsidR="00F3053C" w:rsidRPr="00990415" w:rsidRDefault="00F3053C" w:rsidP="00990415">
      <w:pPr>
        <w:rPr>
          <w:rFonts w:ascii="Garamond" w:hAnsi="Garamond"/>
          <w:sz w:val="24"/>
          <w:szCs w:val="24"/>
        </w:rPr>
      </w:pPr>
      <w:r w:rsidRPr="00990415">
        <w:rPr>
          <w:rFonts w:ascii="Garamond" w:hAnsi="Garamond"/>
          <w:sz w:val="24"/>
          <w:szCs w:val="24"/>
        </w:rPr>
        <w:t xml:space="preserve">The Aging </w:t>
      </w:r>
      <w:r w:rsidR="005912A1">
        <w:rPr>
          <w:rFonts w:ascii="Garamond" w:hAnsi="Garamond"/>
          <w:sz w:val="24"/>
          <w:szCs w:val="24"/>
        </w:rPr>
        <w:t>Initiative was</w:t>
      </w:r>
      <w:r w:rsidR="00990415" w:rsidRPr="00990415">
        <w:rPr>
          <w:rFonts w:ascii="Garamond" w:hAnsi="Garamond"/>
          <w:sz w:val="24"/>
          <w:szCs w:val="24"/>
        </w:rPr>
        <w:t xml:space="preserve"> a collaborative partner in support of the</w:t>
      </w:r>
      <w:r w:rsidRPr="00990415">
        <w:rPr>
          <w:rFonts w:ascii="Garamond" w:hAnsi="Garamond"/>
          <w:sz w:val="24"/>
          <w:szCs w:val="24"/>
        </w:rPr>
        <w:t xml:space="preserve"> development of the APS training project delivered by the Bay Area Regional Training Academy and the Southern Regional Training Academy.   </w:t>
      </w:r>
    </w:p>
    <w:p w:rsidR="00072C56" w:rsidRDefault="00072C56" w:rsidP="00990415">
      <w:pPr>
        <w:pBdr>
          <w:bottom w:val="single" w:sz="4" w:space="1" w:color="auto"/>
        </w:pBdr>
        <w:rPr>
          <w:rFonts w:ascii="Garamond" w:hAnsi="Garamond"/>
          <w:b/>
          <w:sz w:val="24"/>
          <w:szCs w:val="24"/>
        </w:rPr>
      </w:pPr>
    </w:p>
    <w:p w:rsidR="00072C56" w:rsidRDefault="00072C56" w:rsidP="00990415">
      <w:pPr>
        <w:pBdr>
          <w:bottom w:val="single" w:sz="4" w:space="1" w:color="auto"/>
        </w:pBdr>
        <w:rPr>
          <w:rFonts w:ascii="Garamond" w:hAnsi="Garamond"/>
          <w:b/>
          <w:sz w:val="24"/>
          <w:szCs w:val="24"/>
        </w:rPr>
      </w:pPr>
    </w:p>
    <w:p w:rsidR="00C118EC" w:rsidRPr="0034038A" w:rsidRDefault="00C118EC" w:rsidP="00990415">
      <w:pPr>
        <w:pBdr>
          <w:bottom w:val="single" w:sz="4" w:space="1" w:color="auto"/>
        </w:pBdr>
        <w:rPr>
          <w:rFonts w:ascii="Garamond" w:hAnsi="Garamond"/>
          <w:b/>
          <w:sz w:val="24"/>
          <w:szCs w:val="24"/>
        </w:rPr>
      </w:pPr>
      <w:r w:rsidRPr="0034038A">
        <w:rPr>
          <w:rFonts w:ascii="Garamond" w:hAnsi="Garamond"/>
          <w:b/>
          <w:sz w:val="24"/>
          <w:szCs w:val="24"/>
        </w:rPr>
        <w:lastRenderedPageBreak/>
        <w:t>2009 to present</w:t>
      </w:r>
    </w:p>
    <w:p w:rsidR="00990415" w:rsidRDefault="00990415" w:rsidP="00990415">
      <w:pPr>
        <w:rPr>
          <w:rFonts w:ascii="Garamond" w:hAnsi="Garamond"/>
          <w:sz w:val="24"/>
          <w:szCs w:val="24"/>
        </w:rPr>
      </w:pPr>
    </w:p>
    <w:p w:rsidR="00C118EC" w:rsidRPr="00990415" w:rsidRDefault="00C118EC" w:rsidP="00990415">
      <w:pPr>
        <w:rPr>
          <w:rFonts w:ascii="Garamond" w:hAnsi="Garamond"/>
          <w:sz w:val="24"/>
          <w:szCs w:val="24"/>
        </w:rPr>
      </w:pPr>
      <w:r w:rsidRPr="00990415">
        <w:rPr>
          <w:rFonts w:ascii="Garamond" w:hAnsi="Garamond"/>
          <w:sz w:val="24"/>
          <w:szCs w:val="24"/>
        </w:rPr>
        <w:t xml:space="preserve">During the 2009/2010 fiscal year the Aging Initiative began to rethink strategies for developing broader workforce development activities that supported the workforce in aging services.   The Aging Initiative continued to meet and to </w:t>
      </w:r>
      <w:r w:rsidR="00825C23" w:rsidRPr="00990415">
        <w:rPr>
          <w:rFonts w:ascii="Garamond" w:hAnsi="Garamond"/>
          <w:sz w:val="24"/>
          <w:szCs w:val="24"/>
        </w:rPr>
        <w:t>reconsider how education and those leading social services for older adults could find more common ground from which to develop and support the workforce.</w:t>
      </w:r>
    </w:p>
    <w:p w:rsidR="00C118EC" w:rsidRPr="00990415" w:rsidRDefault="00C118EC" w:rsidP="00990415">
      <w:pPr>
        <w:rPr>
          <w:rFonts w:ascii="Garamond" w:hAnsi="Garamond"/>
          <w:sz w:val="24"/>
          <w:szCs w:val="24"/>
        </w:rPr>
      </w:pPr>
    </w:p>
    <w:p w:rsidR="00595F70" w:rsidRPr="00990415" w:rsidRDefault="00C118EC" w:rsidP="00990415">
      <w:pPr>
        <w:rPr>
          <w:rFonts w:ascii="Garamond" w:hAnsi="Garamond"/>
          <w:sz w:val="24"/>
          <w:szCs w:val="24"/>
        </w:rPr>
      </w:pPr>
      <w:r w:rsidRPr="00990415">
        <w:rPr>
          <w:rFonts w:ascii="Garamond" w:hAnsi="Garamond"/>
          <w:b/>
          <w:sz w:val="24"/>
          <w:szCs w:val="24"/>
        </w:rPr>
        <w:t>Aging Initiative Convening</w:t>
      </w:r>
      <w:r w:rsidR="00990415" w:rsidRPr="00990415">
        <w:rPr>
          <w:rFonts w:ascii="Garamond" w:hAnsi="Garamond"/>
          <w:b/>
          <w:sz w:val="24"/>
          <w:szCs w:val="24"/>
        </w:rPr>
        <w:t>:</w:t>
      </w:r>
      <w:r w:rsidR="00990415" w:rsidRPr="00990415">
        <w:rPr>
          <w:rFonts w:ascii="Garamond" w:hAnsi="Garamond"/>
          <w:sz w:val="24"/>
          <w:szCs w:val="24"/>
        </w:rPr>
        <w:t xml:space="preserve">  </w:t>
      </w:r>
      <w:r w:rsidR="00825C23" w:rsidRPr="00990415">
        <w:rPr>
          <w:rFonts w:ascii="Garamond" w:hAnsi="Garamond"/>
          <w:sz w:val="24"/>
          <w:szCs w:val="24"/>
        </w:rPr>
        <w:t xml:space="preserve">In the </w:t>
      </w:r>
      <w:r w:rsidR="00A72FE8" w:rsidRPr="00990415">
        <w:rPr>
          <w:rFonts w:ascii="Garamond" w:hAnsi="Garamond"/>
          <w:sz w:val="24"/>
          <w:szCs w:val="24"/>
        </w:rPr>
        <w:t>winter</w:t>
      </w:r>
      <w:r w:rsidR="00825C23" w:rsidRPr="00990415">
        <w:rPr>
          <w:rFonts w:ascii="Garamond" w:hAnsi="Garamond"/>
          <w:sz w:val="24"/>
          <w:szCs w:val="24"/>
        </w:rPr>
        <w:t xml:space="preserve"> of 2011, </w:t>
      </w:r>
      <w:r w:rsidR="005912A1">
        <w:rPr>
          <w:rFonts w:ascii="Garamond" w:hAnsi="Garamond"/>
          <w:sz w:val="24"/>
          <w:szCs w:val="24"/>
        </w:rPr>
        <w:t xml:space="preserve">a </w:t>
      </w:r>
      <w:r w:rsidR="00825C23" w:rsidRPr="00990415">
        <w:rPr>
          <w:rFonts w:ascii="Garamond" w:hAnsi="Garamond"/>
          <w:sz w:val="24"/>
          <w:szCs w:val="24"/>
        </w:rPr>
        <w:t>group of stakeholders that have supported the Aging Initiative from it</w:t>
      </w:r>
      <w:r w:rsidR="00990415" w:rsidRPr="00990415">
        <w:rPr>
          <w:rFonts w:ascii="Garamond" w:hAnsi="Garamond"/>
          <w:sz w:val="24"/>
          <w:szCs w:val="24"/>
        </w:rPr>
        <w:t>s</w:t>
      </w:r>
      <w:r w:rsidR="00825C23" w:rsidRPr="00990415">
        <w:rPr>
          <w:rFonts w:ascii="Garamond" w:hAnsi="Garamond"/>
          <w:sz w:val="24"/>
          <w:szCs w:val="24"/>
        </w:rPr>
        <w:t xml:space="preserve"> inception were brought together to rethink the current </w:t>
      </w:r>
      <w:r w:rsidR="00A72FE8" w:rsidRPr="00990415">
        <w:rPr>
          <w:rFonts w:ascii="Garamond" w:hAnsi="Garamond"/>
          <w:sz w:val="24"/>
          <w:szCs w:val="24"/>
        </w:rPr>
        <w:t>work plan</w:t>
      </w:r>
      <w:r w:rsidR="00825C23" w:rsidRPr="00990415">
        <w:rPr>
          <w:rFonts w:ascii="Garamond" w:hAnsi="Garamond"/>
          <w:sz w:val="24"/>
          <w:szCs w:val="24"/>
        </w:rPr>
        <w:t xml:space="preserve"> and put pieces in place to develop a new plan.  This event provided the framework for the current activities of the Aging Initiative.  This plan consists of 2 </w:t>
      </w:r>
      <w:r w:rsidR="00595F70" w:rsidRPr="00990415">
        <w:rPr>
          <w:rFonts w:ascii="Garamond" w:hAnsi="Garamond"/>
          <w:sz w:val="24"/>
          <w:szCs w:val="24"/>
        </w:rPr>
        <w:t>area of focus, they are Goals</w:t>
      </w:r>
      <w:r w:rsidR="005912A1">
        <w:rPr>
          <w:rFonts w:ascii="Garamond" w:hAnsi="Garamond"/>
          <w:sz w:val="24"/>
          <w:szCs w:val="24"/>
        </w:rPr>
        <w:t xml:space="preserve"> for</w:t>
      </w:r>
      <w:r w:rsidR="00595F70" w:rsidRPr="00990415">
        <w:rPr>
          <w:rFonts w:ascii="Garamond" w:hAnsi="Garamond"/>
          <w:sz w:val="24"/>
          <w:szCs w:val="24"/>
        </w:rPr>
        <w:t xml:space="preserve"> System Improvement and Outcomes and the </w:t>
      </w:r>
      <w:r w:rsidR="00A72FE8" w:rsidRPr="00990415">
        <w:rPr>
          <w:rFonts w:ascii="Garamond" w:hAnsi="Garamond"/>
          <w:sz w:val="24"/>
          <w:szCs w:val="24"/>
        </w:rPr>
        <w:t>Work plan</w:t>
      </w:r>
      <w:r w:rsidR="00595F70" w:rsidRPr="00990415">
        <w:rPr>
          <w:rFonts w:ascii="Garamond" w:hAnsi="Garamond"/>
          <w:sz w:val="24"/>
          <w:szCs w:val="24"/>
        </w:rPr>
        <w:t xml:space="preserve"> itself. </w:t>
      </w:r>
    </w:p>
    <w:p w:rsidR="00990415" w:rsidRPr="00990415" w:rsidRDefault="00990415" w:rsidP="00990415">
      <w:pPr>
        <w:rPr>
          <w:rFonts w:ascii="Garamond" w:hAnsi="Garamond"/>
          <w:sz w:val="24"/>
          <w:szCs w:val="24"/>
        </w:rPr>
      </w:pPr>
    </w:p>
    <w:p w:rsidR="00C118EC" w:rsidRPr="00990415" w:rsidRDefault="00595F70" w:rsidP="00990415">
      <w:pPr>
        <w:rPr>
          <w:rFonts w:ascii="Garamond" w:hAnsi="Garamond"/>
          <w:sz w:val="24"/>
          <w:szCs w:val="24"/>
        </w:rPr>
      </w:pPr>
      <w:r w:rsidRPr="00990415">
        <w:rPr>
          <w:rFonts w:ascii="Garamond" w:hAnsi="Garamond"/>
          <w:sz w:val="24"/>
          <w:szCs w:val="24"/>
        </w:rPr>
        <w:t xml:space="preserve">The Goals for System Improvement and Outcomes are:  </w:t>
      </w:r>
      <w:r w:rsidR="00825C23" w:rsidRPr="00990415">
        <w:rPr>
          <w:rFonts w:ascii="Garamond" w:hAnsi="Garamond"/>
          <w:sz w:val="24"/>
          <w:szCs w:val="24"/>
        </w:rPr>
        <w:t xml:space="preserve"> </w:t>
      </w:r>
    </w:p>
    <w:p w:rsidR="00825C23" w:rsidRPr="00990415" w:rsidRDefault="00825C23" w:rsidP="0034038A">
      <w:pPr>
        <w:ind w:left="720"/>
        <w:rPr>
          <w:rFonts w:ascii="Garamond" w:hAnsi="Garamond"/>
          <w:sz w:val="24"/>
          <w:szCs w:val="24"/>
        </w:rPr>
      </w:pPr>
      <w:r w:rsidRPr="00990415">
        <w:rPr>
          <w:rFonts w:ascii="Garamond" w:hAnsi="Garamond"/>
          <w:i/>
          <w:sz w:val="24"/>
          <w:szCs w:val="24"/>
        </w:rPr>
        <w:t>Healthy aging focus.</w:t>
      </w:r>
      <w:r w:rsidRPr="00990415">
        <w:rPr>
          <w:rFonts w:ascii="Garamond" w:hAnsi="Garamond"/>
          <w:sz w:val="24"/>
          <w:szCs w:val="24"/>
        </w:rPr>
        <w:t xml:space="preserve">  Promote the development of  ‘Aging in place’ services, less restrictive services based on needs instead of aging; the whole patient model engaging family &amp; community; continuum of care services that promote active living in communities.</w:t>
      </w:r>
    </w:p>
    <w:p w:rsidR="00825C23" w:rsidRPr="00990415" w:rsidRDefault="00825C23" w:rsidP="0034038A">
      <w:pPr>
        <w:ind w:left="720"/>
        <w:rPr>
          <w:rFonts w:ascii="Garamond" w:hAnsi="Garamond"/>
          <w:sz w:val="24"/>
          <w:szCs w:val="24"/>
        </w:rPr>
      </w:pPr>
      <w:r w:rsidRPr="00990415">
        <w:rPr>
          <w:rFonts w:ascii="Garamond" w:hAnsi="Garamond"/>
          <w:i/>
          <w:sz w:val="24"/>
          <w:szCs w:val="24"/>
        </w:rPr>
        <w:t>Workforce capacity development.</w:t>
      </w:r>
      <w:r w:rsidRPr="00990415">
        <w:rPr>
          <w:rFonts w:ascii="Garamond" w:hAnsi="Garamond"/>
          <w:sz w:val="24"/>
          <w:szCs w:val="24"/>
        </w:rPr>
        <w:t xml:space="preserve">  Promote social work as one of the core professions that serves older adults.  Examine how Social Work is funded in healthcare reform; Connect Social Work values and practice to Healthcare reform.</w:t>
      </w:r>
    </w:p>
    <w:p w:rsidR="00825C23" w:rsidRPr="00990415" w:rsidRDefault="00825C23" w:rsidP="0034038A">
      <w:pPr>
        <w:ind w:left="720"/>
        <w:rPr>
          <w:rFonts w:ascii="Garamond" w:hAnsi="Garamond"/>
          <w:sz w:val="24"/>
          <w:szCs w:val="24"/>
        </w:rPr>
      </w:pPr>
      <w:r w:rsidRPr="00990415">
        <w:rPr>
          <w:rFonts w:ascii="Garamond" w:hAnsi="Garamond"/>
          <w:i/>
          <w:sz w:val="24"/>
          <w:szCs w:val="24"/>
        </w:rPr>
        <w:t>Competency and Standards of Practice.</w:t>
      </w:r>
      <w:r w:rsidRPr="00990415">
        <w:rPr>
          <w:rFonts w:ascii="Garamond" w:hAnsi="Garamond"/>
          <w:sz w:val="24"/>
          <w:szCs w:val="24"/>
        </w:rPr>
        <w:t xml:space="preserve">  A well educated workforce that is trained to agreed upon competencies and minimum standards of practice.  Develop a shared definition of ‘good practice’. Ongoing skill upgrade is met by training opportunities</w:t>
      </w:r>
    </w:p>
    <w:p w:rsidR="00825C23" w:rsidRPr="00990415" w:rsidRDefault="00825C23" w:rsidP="0034038A">
      <w:pPr>
        <w:ind w:left="720"/>
        <w:rPr>
          <w:rFonts w:ascii="Garamond" w:hAnsi="Garamond"/>
          <w:sz w:val="24"/>
          <w:szCs w:val="24"/>
        </w:rPr>
      </w:pPr>
      <w:r w:rsidRPr="00990415">
        <w:rPr>
          <w:rFonts w:ascii="Garamond" w:hAnsi="Garamond"/>
          <w:i/>
          <w:sz w:val="24"/>
          <w:szCs w:val="24"/>
        </w:rPr>
        <w:t>Collaborative Team Care.</w:t>
      </w:r>
      <w:r w:rsidRPr="00990415">
        <w:rPr>
          <w:rFonts w:ascii="Garamond" w:hAnsi="Garamond"/>
          <w:sz w:val="24"/>
          <w:szCs w:val="24"/>
        </w:rPr>
        <w:t xml:space="preserve">  Case Management and cross system collaboration in service delivery that utilizes an interdisciplinary approach offering more comprehensive services and practices that insure people are valued.</w:t>
      </w:r>
    </w:p>
    <w:p w:rsidR="00825C23" w:rsidRPr="00990415" w:rsidRDefault="00825C23" w:rsidP="0034038A">
      <w:pPr>
        <w:ind w:left="720"/>
        <w:rPr>
          <w:rFonts w:ascii="Garamond" w:hAnsi="Garamond"/>
          <w:sz w:val="24"/>
          <w:szCs w:val="24"/>
        </w:rPr>
      </w:pPr>
      <w:r w:rsidRPr="00990415">
        <w:rPr>
          <w:rFonts w:ascii="Garamond" w:hAnsi="Garamond"/>
          <w:i/>
          <w:sz w:val="24"/>
          <w:szCs w:val="24"/>
        </w:rPr>
        <w:t>Adequate and sustained funding.</w:t>
      </w:r>
      <w:r w:rsidRPr="00990415">
        <w:rPr>
          <w:rFonts w:ascii="Garamond" w:hAnsi="Garamond"/>
          <w:sz w:val="24"/>
          <w:szCs w:val="24"/>
        </w:rPr>
        <w:t xml:space="preserve">  Examine and develop new ways to bill for services; greater fiscal investment from government and philanthropy; increased public support measured by increased investment.</w:t>
      </w:r>
    </w:p>
    <w:p w:rsidR="00825C23" w:rsidRPr="00990415" w:rsidRDefault="00825C23" w:rsidP="0034038A">
      <w:pPr>
        <w:ind w:left="720"/>
        <w:rPr>
          <w:rFonts w:ascii="Garamond" w:hAnsi="Garamond"/>
          <w:sz w:val="24"/>
          <w:szCs w:val="24"/>
        </w:rPr>
      </w:pPr>
      <w:r w:rsidRPr="00990415">
        <w:rPr>
          <w:rFonts w:ascii="Garamond" w:hAnsi="Garamond"/>
          <w:i/>
          <w:sz w:val="24"/>
          <w:szCs w:val="24"/>
        </w:rPr>
        <w:t>Systematic Evaluation.</w:t>
      </w:r>
      <w:r w:rsidRPr="00990415">
        <w:rPr>
          <w:rFonts w:ascii="Garamond" w:hAnsi="Garamond"/>
          <w:sz w:val="24"/>
          <w:szCs w:val="24"/>
        </w:rPr>
        <w:t xml:space="preserve">  Develop a shared systematic evaluation process; Utilization of assessment tools for healthy aging; Services that aid in a better quality of life as defined by the consumer.</w:t>
      </w:r>
    </w:p>
    <w:p w:rsidR="00825C23" w:rsidRPr="00990415" w:rsidRDefault="00825C23" w:rsidP="00990415">
      <w:pPr>
        <w:rPr>
          <w:rFonts w:ascii="Garamond" w:hAnsi="Garamond"/>
          <w:sz w:val="24"/>
          <w:szCs w:val="24"/>
        </w:rPr>
      </w:pPr>
    </w:p>
    <w:p w:rsidR="00825C23" w:rsidRPr="00990415" w:rsidRDefault="00595F70" w:rsidP="00990415">
      <w:pPr>
        <w:rPr>
          <w:rFonts w:ascii="Garamond" w:hAnsi="Garamond"/>
          <w:sz w:val="24"/>
          <w:szCs w:val="24"/>
        </w:rPr>
      </w:pPr>
      <w:r w:rsidRPr="00990415">
        <w:rPr>
          <w:rFonts w:ascii="Garamond" w:hAnsi="Garamond"/>
          <w:sz w:val="24"/>
          <w:szCs w:val="24"/>
        </w:rPr>
        <w:t xml:space="preserve">The </w:t>
      </w:r>
      <w:r w:rsidR="00A72FE8" w:rsidRPr="00990415">
        <w:rPr>
          <w:rFonts w:ascii="Garamond" w:hAnsi="Garamond"/>
          <w:sz w:val="24"/>
          <w:szCs w:val="24"/>
        </w:rPr>
        <w:t>work plan</w:t>
      </w:r>
      <w:r w:rsidRPr="00990415">
        <w:rPr>
          <w:rFonts w:ascii="Garamond" w:hAnsi="Garamond"/>
          <w:sz w:val="24"/>
          <w:szCs w:val="24"/>
        </w:rPr>
        <w:t xml:space="preserve"> from the 2011/2012 fiscal year rested on 4 domains, they were:</w:t>
      </w:r>
    </w:p>
    <w:p w:rsidR="0034038A" w:rsidRDefault="0034038A" w:rsidP="00990415">
      <w:pPr>
        <w:rPr>
          <w:rFonts w:ascii="Garamond" w:hAnsi="Garamond"/>
          <w:b/>
          <w:sz w:val="24"/>
          <w:szCs w:val="24"/>
        </w:rPr>
      </w:pPr>
    </w:p>
    <w:p w:rsidR="00825C23" w:rsidRPr="0034038A" w:rsidRDefault="00825C23" w:rsidP="00990415">
      <w:pPr>
        <w:rPr>
          <w:rFonts w:ascii="Garamond" w:hAnsi="Garamond"/>
          <w:b/>
          <w:sz w:val="24"/>
          <w:szCs w:val="24"/>
        </w:rPr>
      </w:pPr>
      <w:r w:rsidRPr="0034038A">
        <w:rPr>
          <w:rFonts w:ascii="Garamond" w:hAnsi="Garamond"/>
          <w:b/>
          <w:sz w:val="24"/>
          <w:szCs w:val="24"/>
        </w:rPr>
        <w:t>Funding</w:t>
      </w:r>
    </w:p>
    <w:p w:rsidR="00825C23" w:rsidRPr="0034038A" w:rsidRDefault="00825C23" w:rsidP="0034038A">
      <w:pPr>
        <w:pStyle w:val="ListParagraph"/>
        <w:numPr>
          <w:ilvl w:val="0"/>
          <w:numId w:val="9"/>
        </w:numPr>
        <w:rPr>
          <w:rFonts w:ascii="Garamond" w:hAnsi="Garamond"/>
          <w:sz w:val="24"/>
          <w:szCs w:val="24"/>
        </w:rPr>
      </w:pPr>
      <w:r w:rsidRPr="0034038A">
        <w:rPr>
          <w:rFonts w:ascii="Garamond" w:hAnsi="Garamond"/>
          <w:sz w:val="24"/>
          <w:szCs w:val="24"/>
        </w:rPr>
        <w:t>Pursue MH partners st</w:t>
      </w:r>
      <w:r w:rsidR="00595F70" w:rsidRPr="0034038A">
        <w:rPr>
          <w:rFonts w:ascii="Garamond" w:hAnsi="Garamond"/>
          <w:sz w:val="24"/>
          <w:szCs w:val="24"/>
        </w:rPr>
        <w:t xml:space="preserve">ipends, student support via WET </w:t>
      </w:r>
      <w:r w:rsidRPr="0034038A">
        <w:rPr>
          <w:rFonts w:ascii="Garamond" w:hAnsi="Garamond"/>
          <w:sz w:val="24"/>
          <w:szCs w:val="24"/>
        </w:rPr>
        <w:t>funds</w:t>
      </w:r>
    </w:p>
    <w:p w:rsidR="00595F70" w:rsidRPr="0034038A" w:rsidRDefault="00825C23" w:rsidP="0034038A">
      <w:pPr>
        <w:pStyle w:val="ListParagraph"/>
        <w:numPr>
          <w:ilvl w:val="0"/>
          <w:numId w:val="9"/>
        </w:numPr>
        <w:rPr>
          <w:rFonts w:ascii="Garamond" w:hAnsi="Garamond"/>
          <w:sz w:val="24"/>
          <w:szCs w:val="24"/>
        </w:rPr>
      </w:pPr>
      <w:r w:rsidRPr="0034038A">
        <w:rPr>
          <w:rFonts w:ascii="Garamond" w:hAnsi="Garamond"/>
          <w:sz w:val="24"/>
          <w:szCs w:val="24"/>
        </w:rPr>
        <w:t>Develop funding potential for training in Social service and tribal agencies</w:t>
      </w:r>
    </w:p>
    <w:p w:rsidR="0034038A" w:rsidRDefault="0034038A" w:rsidP="00990415">
      <w:pPr>
        <w:rPr>
          <w:rFonts w:ascii="Garamond" w:hAnsi="Garamond"/>
          <w:sz w:val="24"/>
          <w:szCs w:val="24"/>
        </w:rPr>
      </w:pPr>
    </w:p>
    <w:p w:rsidR="00825C23" w:rsidRPr="0034038A" w:rsidRDefault="00825C23" w:rsidP="00990415">
      <w:pPr>
        <w:rPr>
          <w:rFonts w:ascii="Garamond" w:hAnsi="Garamond"/>
          <w:b/>
          <w:sz w:val="24"/>
          <w:szCs w:val="24"/>
        </w:rPr>
      </w:pPr>
      <w:r w:rsidRPr="0034038A">
        <w:rPr>
          <w:rFonts w:ascii="Garamond" w:hAnsi="Garamond"/>
          <w:b/>
          <w:sz w:val="24"/>
          <w:szCs w:val="24"/>
        </w:rPr>
        <w:t>Public Relations</w:t>
      </w:r>
    </w:p>
    <w:p w:rsidR="00825C23" w:rsidRPr="0034038A" w:rsidRDefault="00825C23" w:rsidP="0034038A">
      <w:pPr>
        <w:pStyle w:val="ListParagraph"/>
        <w:numPr>
          <w:ilvl w:val="0"/>
          <w:numId w:val="10"/>
        </w:numPr>
        <w:rPr>
          <w:rFonts w:ascii="Garamond" w:hAnsi="Garamond"/>
          <w:sz w:val="24"/>
          <w:szCs w:val="24"/>
        </w:rPr>
      </w:pPr>
      <w:r w:rsidRPr="0034038A">
        <w:rPr>
          <w:rFonts w:ascii="Garamond" w:hAnsi="Garamond"/>
          <w:sz w:val="24"/>
          <w:szCs w:val="24"/>
        </w:rPr>
        <w:t>Develop materials promoting social work jobs in targeted areas—health care, CBOs and counties</w:t>
      </w:r>
    </w:p>
    <w:p w:rsidR="0034038A" w:rsidRDefault="0034038A" w:rsidP="00990415">
      <w:pPr>
        <w:rPr>
          <w:rFonts w:ascii="Garamond" w:hAnsi="Garamond"/>
          <w:sz w:val="24"/>
          <w:szCs w:val="24"/>
        </w:rPr>
      </w:pPr>
    </w:p>
    <w:p w:rsidR="00825C23" w:rsidRPr="0034038A" w:rsidRDefault="00825C23" w:rsidP="00990415">
      <w:pPr>
        <w:rPr>
          <w:rFonts w:ascii="Garamond" w:hAnsi="Garamond"/>
          <w:b/>
          <w:sz w:val="24"/>
          <w:szCs w:val="24"/>
        </w:rPr>
      </w:pPr>
      <w:r w:rsidRPr="0034038A">
        <w:rPr>
          <w:rFonts w:ascii="Garamond" w:hAnsi="Garamond"/>
          <w:b/>
          <w:sz w:val="24"/>
          <w:szCs w:val="24"/>
        </w:rPr>
        <w:t>Curriculum development and delivery</w:t>
      </w:r>
    </w:p>
    <w:p w:rsidR="00595F70" w:rsidRPr="0034038A" w:rsidRDefault="00825C23" w:rsidP="0034038A">
      <w:pPr>
        <w:pStyle w:val="ListParagraph"/>
        <w:numPr>
          <w:ilvl w:val="0"/>
          <w:numId w:val="10"/>
        </w:numPr>
        <w:rPr>
          <w:rFonts w:ascii="Garamond" w:hAnsi="Garamond"/>
          <w:sz w:val="24"/>
          <w:szCs w:val="24"/>
        </w:rPr>
      </w:pPr>
      <w:r w:rsidRPr="0034038A">
        <w:rPr>
          <w:rFonts w:ascii="Garamond" w:hAnsi="Garamond"/>
          <w:sz w:val="24"/>
          <w:szCs w:val="24"/>
        </w:rPr>
        <w:t xml:space="preserve">Collect, Organize and host training and educational materials, develop sorting and organization to be accessed on CalSWEC </w:t>
      </w:r>
    </w:p>
    <w:p w:rsidR="0034038A" w:rsidRDefault="0034038A" w:rsidP="00990415">
      <w:pPr>
        <w:rPr>
          <w:rFonts w:ascii="Garamond" w:hAnsi="Garamond"/>
          <w:sz w:val="24"/>
          <w:szCs w:val="24"/>
        </w:rPr>
      </w:pPr>
    </w:p>
    <w:p w:rsidR="00825C23" w:rsidRPr="0034038A" w:rsidRDefault="00825C23" w:rsidP="00990415">
      <w:pPr>
        <w:rPr>
          <w:rFonts w:ascii="Garamond" w:hAnsi="Garamond"/>
          <w:b/>
          <w:sz w:val="24"/>
          <w:szCs w:val="24"/>
        </w:rPr>
      </w:pPr>
      <w:r w:rsidRPr="0034038A">
        <w:rPr>
          <w:rFonts w:ascii="Garamond" w:hAnsi="Garamond"/>
          <w:b/>
          <w:sz w:val="24"/>
          <w:szCs w:val="24"/>
        </w:rPr>
        <w:t>Continuum of Services Development</w:t>
      </w:r>
    </w:p>
    <w:p w:rsidR="00595F70" w:rsidRPr="0034038A" w:rsidRDefault="00825C23" w:rsidP="0034038A">
      <w:pPr>
        <w:pStyle w:val="ListParagraph"/>
        <w:numPr>
          <w:ilvl w:val="0"/>
          <w:numId w:val="10"/>
        </w:numPr>
        <w:rPr>
          <w:rFonts w:ascii="Garamond" w:hAnsi="Garamond"/>
          <w:sz w:val="24"/>
          <w:szCs w:val="24"/>
        </w:rPr>
      </w:pPr>
      <w:r w:rsidRPr="0034038A">
        <w:rPr>
          <w:rFonts w:ascii="Garamond" w:hAnsi="Garamond"/>
          <w:sz w:val="24"/>
          <w:szCs w:val="24"/>
        </w:rPr>
        <w:t>Come to agreement on continuum and create a 3 to 5 year plan for target WFD areas of the continuum</w:t>
      </w:r>
    </w:p>
    <w:p w:rsidR="00990415" w:rsidRPr="00990415" w:rsidRDefault="00990415" w:rsidP="00990415">
      <w:pPr>
        <w:rPr>
          <w:rFonts w:ascii="Garamond" w:hAnsi="Garamond"/>
          <w:sz w:val="24"/>
          <w:szCs w:val="24"/>
        </w:rPr>
      </w:pPr>
    </w:p>
    <w:p w:rsidR="0025366A" w:rsidRPr="00990415" w:rsidRDefault="0025366A" w:rsidP="00990415">
      <w:pPr>
        <w:rPr>
          <w:rFonts w:ascii="Garamond" w:hAnsi="Garamond"/>
          <w:sz w:val="24"/>
          <w:szCs w:val="24"/>
        </w:rPr>
      </w:pPr>
      <w:r w:rsidRPr="0034038A">
        <w:rPr>
          <w:rFonts w:ascii="Garamond" w:hAnsi="Garamond"/>
          <w:b/>
          <w:sz w:val="24"/>
          <w:szCs w:val="24"/>
        </w:rPr>
        <w:t>Update on Progress:</w:t>
      </w:r>
      <w:r w:rsidRPr="00990415">
        <w:rPr>
          <w:rFonts w:ascii="Garamond" w:hAnsi="Garamond"/>
          <w:sz w:val="24"/>
          <w:szCs w:val="24"/>
        </w:rPr>
        <w:t xml:space="preserve"> </w:t>
      </w:r>
      <w:r w:rsidR="00595F70" w:rsidRPr="00990415">
        <w:rPr>
          <w:rFonts w:ascii="Garamond" w:hAnsi="Garamond"/>
          <w:sz w:val="24"/>
          <w:szCs w:val="24"/>
        </w:rPr>
        <w:t xml:space="preserve">Upon completion of the 2011/2012 fiscal year, there has been progress in all domains.  </w:t>
      </w:r>
    </w:p>
    <w:p w:rsidR="00990415" w:rsidRPr="00990415" w:rsidRDefault="00990415" w:rsidP="00990415">
      <w:pPr>
        <w:rPr>
          <w:rFonts w:ascii="Garamond" w:hAnsi="Garamond"/>
          <w:sz w:val="24"/>
          <w:szCs w:val="24"/>
        </w:rPr>
      </w:pPr>
    </w:p>
    <w:p w:rsidR="0025366A" w:rsidRPr="0034038A" w:rsidRDefault="00595F70" w:rsidP="0034038A">
      <w:pPr>
        <w:pStyle w:val="ListParagraph"/>
        <w:numPr>
          <w:ilvl w:val="0"/>
          <w:numId w:val="11"/>
        </w:numPr>
        <w:rPr>
          <w:rFonts w:ascii="Garamond" w:hAnsi="Garamond"/>
          <w:sz w:val="24"/>
          <w:szCs w:val="24"/>
        </w:rPr>
      </w:pPr>
      <w:r w:rsidRPr="0034038A">
        <w:rPr>
          <w:rFonts w:ascii="Garamond" w:hAnsi="Garamond"/>
          <w:sz w:val="24"/>
          <w:szCs w:val="24"/>
        </w:rPr>
        <w:t xml:space="preserve">The Aging Initiative finalized its charter (see attached), </w:t>
      </w:r>
    </w:p>
    <w:p w:rsidR="0025366A" w:rsidRPr="0034038A" w:rsidRDefault="0034038A" w:rsidP="0034038A">
      <w:pPr>
        <w:pStyle w:val="ListParagraph"/>
        <w:numPr>
          <w:ilvl w:val="0"/>
          <w:numId w:val="11"/>
        </w:numPr>
        <w:rPr>
          <w:rFonts w:ascii="Garamond" w:hAnsi="Garamond"/>
          <w:sz w:val="24"/>
          <w:szCs w:val="24"/>
        </w:rPr>
      </w:pPr>
      <w:r>
        <w:rPr>
          <w:rFonts w:ascii="Garamond" w:hAnsi="Garamond"/>
          <w:sz w:val="24"/>
          <w:szCs w:val="24"/>
        </w:rPr>
        <w:t>C</w:t>
      </w:r>
      <w:r w:rsidR="0025366A" w:rsidRPr="0034038A">
        <w:rPr>
          <w:rFonts w:ascii="Garamond" w:hAnsi="Garamond"/>
          <w:sz w:val="24"/>
          <w:szCs w:val="24"/>
        </w:rPr>
        <w:t>urrently some s</w:t>
      </w:r>
      <w:r w:rsidR="005912A1">
        <w:rPr>
          <w:rFonts w:ascii="Garamond" w:hAnsi="Garamond"/>
          <w:sz w:val="24"/>
          <w:szCs w:val="24"/>
        </w:rPr>
        <w:t>tudents</w:t>
      </w:r>
      <w:r w:rsidR="0025366A" w:rsidRPr="0034038A">
        <w:rPr>
          <w:rFonts w:ascii="Garamond" w:hAnsi="Garamond"/>
          <w:sz w:val="24"/>
          <w:szCs w:val="24"/>
        </w:rPr>
        <w:t xml:space="preserve"> in CalSWEC’s Mental M</w:t>
      </w:r>
      <w:r w:rsidR="00595F70" w:rsidRPr="0034038A">
        <w:rPr>
          <w:rFonts w:ascii="Garamond" w:hAnsi="Garamond"/>
          <w:sz w:val="24"/>
          <w:szCs w:val="24"/>
        </w:rPr>
        <w:t>ealth program have field placements working with older adults</w:t>
      </w:r>
      <w:r w:rsidR="0025366A" w:rsidRPr="0034038A">
        <w:rPr>
          <w:rFonts w:ascii="Garamond" w:hAnsi="Garamond"/>
          <w:sz w:val="24"/>
          <w:szCs w:val="24"/>
        </w:rPr>
        <w:t xml:space="preserve"> and will likely go to work with older upon graduation</w:t>
      </w:r>
      <w:r w:rsidR="00595F70" w:rsidRPr="0034038A">
        <w:rPr>
          <w:rFonts w:ascii="Garamond" w:hAnsi="Garamond"/>
          <w:sz w:val="24"/>
          <w:szCs w:val="24"/>
        </w:rPr>
        <w:t xml:space="preserve"> </w:t>
      </w:r>
    </w:p>
    <w:p w:rsidR="0025366A" w:rsidRPr="0034038A" w:rsidRDefault="0034038A" w:rsidP="0034038A">
      <w:pPr>
        <w:pStyle w:val="ListParagraph"/>
        <w:numPr>
          <w:ilvl w:val="0"/>
          <w:numId w:val="11"/>
        </w:numPr>
        <w:rPr>
          <w:rFonts w:ascii="Garamond" w:hAnsi="Garamond"/>
          <w:sz w:val="24"/>
          <w:szCs w:val="24"/>
        </w:rPr>
      </w:pPr>
      <w:r>
        <w:rPr>
          <w:rFonts w:ascii="Garamond" w:hAnsi="Garamond"/>
          <w:sz w:val="24"/>
          <w:szCs w:val="24"/>
        </w:rPr>
        <w:t xml:space="preserve">A </w:t>
      </w:r>
      <w:r w:rsidR="00595F70" w:rsidRPr="0034038A">
        <w:rPr>
          <w:rFonts w:ascii="Garamond" w:hAnsi="Garamond"/>
          <w:sz w:val="24"/>
          <w:szCs w:val="24"/>
        </w:rPr>
        <w:t xml:space="preserve">toolkit </w:t>
      </w:r>
      <w:r w:rsidR="0025366A" w:rsidRPr="0034038A">
        <w:rPr>
          <w:rFonts w:ascii="Garamond" w:hAnsi="Garamond"/>
          <w:sz w:val="24"/>
          <w:szCs w:val="24"/>
        </w:rPr>
        <w:t xml:space="preserve">has been developed </w:t>
      </w:r>
      <w:r w:rsidR="00595F70" w:rsidRPr="0034038A">
        <w:rPr>
          <w:rFonts w:ascii="Garamond" w:hAnsi="Garamond"/>
          <w:sz w:val="24"/>
          <w:szCs w:val="24"/>
        </w:rPr>
        <w:t>for potential students to access loan forgiveness progra</w:t>
      </w:r>
      <w:r w:rsidR="005912A1">
        <w:rPr>
          <w:rFonts w:ascii="Garamond" w:hAnsi="Garamond"/>
          <w:sz w:val="24"/>
          <w:szCs w:val="24"/>
        </w:rPr>
        <w:t>ms and other financial support</w:t>
      </w:r>
    </w:p>
    <w:p w:rsidR="0025366A" w:rsidRPr="0034038A" w:rsidRDefault="0034038A" w:rsidP="0034038A">
      <w:pPr>
        <w:pStyle w:val="ListParagraph"/>
        <w:numPr>
          <w:ilvl w:val="0"/>
          <w:numId w:val="11"/>
        </w:numPr>
        <w:rPr>
          <w:rFonts w:ascii="Garamond" w:hAnsi="Garamond"/>
          <w:sz w:val="24"/>
          <w:szCs w:val="24"/>
        </w:rPr>
      </w:pPr>
      <w:r>
        <w:rPr>
          <w:rFonts w:ascii="Garamond" w:hAnsi="Garamond"/>
          <w:sz w:val="24"/>
          <w:szCs w:val="24"/>
        </w:rPr>
        <w:t xml:space="preserve">A </w:t>
      </w:r>
      <w:r w:rsidR="00595F70" w:rsidRPr="0034038A">
        <w:rPr>
          <w:rFonts w:ascii="Garamond" w:hAnsi="Garamond"/>
          <w:sz w:val="24"/>
          <w:szCs w:val="24"/>
        </w:rPr>
        <w:t>public relations/communication package</w:t>
      </w:r>
      <w:r w:rsidR="0025366A" w:rsidRPr="0034038A">
        <w:rPr>
          <w:rFonts w:ascii="Garamond" w:hAnsi="Garamond"/>
          <w:sz w:val="24"/>
          <w:szCs w:val="24"/>
        </w:rPr>
        <w:t xml:space="preserve"> is under development</w:t>
      </w:r>
      <w:r w:rsidR="00595F70" w:rsidRPr="0034038A">
        <w:rPr>
          <w:rFonts w:ascii="Garamond" w:hAnsi="Garamond"/>
          <w:sz w:val="24"/>
          <w:szCs w:val="24"/>
        </w:rPr>
        <w:t xml:space="preserve"> to include a short video to inspire potential student</w:t>
      </w:r>
      <w:r w:rsidR="0025366A" w:rsidRPr="0034038A">
        <w:rPr>
          <w:rFonts w:ascii="Garamond" w:hAnsi="Garamond"/>
          <w:sz w:val="24"/>
          <w:szCs w:val="24"/>
        </w:rPr>
        <w:t xml:space="preserve">s to work in the aging field;  </w:t>
      </w:r>
    </w:p>
    <w:p w:rsidR="0025366A" w:rsidRPr="0034038A" w:rsidRDefault="0034038A" w:rsidP="0034038A">
      <w:pPr>
        <w:pStyle w:val="ListParagraph"/>
        <w:numPr>
          <w:ilvl w:val="0"/>
          <w:numId w:val="11"/>
        </w:numPr>
        <w:rPr>
          <w:rFonts w:ascii="Garamond" w:hAnsi="Garamond"/>
          <w:sz w:val="24"/>
          <w:szCs w:val="24"/>
        </w:rPr>
      </w:pPr>
      <w:r>
        <w:rPr>
          <w:rFonts w:ascii="Garamond" w:hAnsi="Garamond"/>
          <w:sz w:val="24"/>
          <w:szCs w:val="24"/>
        </w:rPr>
        <w:t>I</w:t>
      </w:r>
      <w:r w:rsidR="00595F70" w:rsidRPr="0034038A">
        <w:rPr>
          <w:rFonts w:ascii="Garamond" w:hAnsi="Garamond"/>
          <w:sz w:val="24"/>
          <w:szCs w:val="24"/>
        </w:rPr>
        <w:t xml:space="preserve">n the 2012/2013 academic year </w:t>
      </w:r>
      <w:r w:rsidR="0025366A" w:rsidRPr="0034038A">
        <w:rPr>
          <w:rFonts w:ascii="Garamond" w:hAnsi="Garamond"/>
          <w:sz w:val="24"/>
          <w:szCs w:val="24"/>
        </w:rPr>
        <w:t xml:space="preserve">CalSWEC will begin </w:t>
      </w:r>
      <w:r w:rsidR="00595F70" w:rsidRPr="0034038A">
        <w:rPr>
          <w:rFonts w:ascii="Garamond" w:hAnsi="Garamond"/>
          <w:sz w:val="24"/>
          <w:szCs w:val="24"/>
        </w:rPr>
        <w:t>hosting curriculum resources for education and training</w:t>
      </w:r>
      <w:r w:rsidR="0025366A" w:rsidRPr="0034038A">
        <w:rPr>
          <w:rFonts w:ascii="Garamond" w:hAnsi="Garamond"/>
          <w:sz w:val="24"/>
          <w:szCs w:val="24"/>
        </w:rPr>
        <w:t xml:space="preserve">;  </w:t>
      </w:r>
    </w:p>
    <w:p w:rsidR="00595F70" w:rsidRDefault="0034038A" w:rsidP="0034038A">
      <w:pPr>
        <w:pStyle w:val="ListParagraph"/>
        <w:numPr>
          <w:ilvl w:val="0"/>
          <w:numId w:val="11"/>
        </w:numPr>
        <w:rPr>
          <w:rFonts w:ascii="Garamond" w:hAnsi="Garamond"/>
          <w:sz w:val="24"/>
          <w:szCs w:val="24"/>
        </w:rPr>
      </w:pPr>
      <w:r>
        <w:rPr>
          <w:rFonts w:ascii="Garamond" w:hAnsi="Garamond"/>
          <w:sz w:val="24"/>
          <w:szCs w:val="24"/>
        </w:rPr>
        <w:t>T</w:t>
      </w:r>
      <w:r w:rsidR="00595F70" w:rsidRPr="0034038A">
        <w:rPr>
          <w:rFonts w:ascii="Garamond" w:hAnsi="Garamond"/>
          <w:sz w:val="24"/>
          <w:szCs w:val="24"/>
        </w:rPr>
        <w:t>he Agin</w:t>
      </w:r>
      <w:r w:rsidR="005912A1">
        <w:rPr>
          <w:rFonts w:ascii="Garamond" w:hAnsi="Garamond"/>
          <w:sz w:val="24"/>
          <w:szCs w:val="24"/>
        </w:rPr>
        <w:t xml:space="preserve">g Initiative Summit will help develop actions for supporting the development of  </w:t>
      </w:r>
      <w:r w:rsidR="00595F70" w:rsidRPr="0034038A">
        <w:rPr>
          <w:rFonts w:ascii="Garamond" w:hAnsi="Garamond"/>
          <w:sz w:val="24"/>
          <w:szCs w:val="24"/>
        </w:rPr>
        <w:t>the continuum of serv</w:t>
      </w:r>
      <w:r w:rsidR="005912A1">
        <w:rPr>
          <w:rFonts w:ascii="Garamond" w:hAnsi="Garamond"/>
          <w:sz w:val="24"/>
          <w:szCs w:val="24"/>
        </w:rPr>
        <w:t>ices for older and aging adults</w:t>
      </w:r>
    </w:p>
    <w:p w:rsidR="005912A1" w:rsidRDefault="005912A1" w:rsidP="005912A1">
      <w:pPr>
        <w:rPr>
          <w:rFonts w:ascii="Garamond" w:hAnsi="Garamond"/>
          <w:sz w:val="24"/>
          <w:szCs w:val="24"/>
        </w:rPr>
      </w:pPr>
    </w:p>
    <w:p w:rsidR="005912A1" w:rsidRPr="00072C56" w:rsidRDefault="005912A1" w:rsidP="005912A1">
      <w:pPr>
        <w:rPr>
          <w:rFonts w:ascii="Garamond" w:hAnsi="Garamond"/>
          <w:b/>
          <w:sz w:val="24"/>
          <w:szCs w:val="24"/>
        </w:rPr>
      </w:pPr>
    </w:p>
    <w:p w:rsidR="005912A1" w:rsidRDefault="005912A1" w:rsidP="005912A1">
      <w:pPr>
        <w:rPr>
          <w:rFonts w:ascii="Garamond" w:hAnsi="Garamond"/>
          <w:sz w:val="24"/>
          <w:szCs w:val="24"/>
        </w:rPr>
      </w:pPr>
      <w:bookmarkStart w:id="0" w:name="_GoBack"/>
      <w:bookmarkEnd w:id="0"/>
    </w:p>
    <w:p w:rsidR="005912A1" w:rsidRDefault="005912A1" w:rsidP="005912A1">
      <w:pPr>
        <w:rPr>
          <w:rFonts w:ascii="Garamond" w:hAnsi="Garamond"/>
          <w:sz w:val="24"/>
          <w:szCs w:val="24"/>
        </w:rPr>
      </w:pPr>
    </w:p>
    <w:p w:rsidR="005912A1" w:rsidRDefault="005912A1" w:rsidP="005912A1">
      <w:pPr>
        <w:rPr>
          <w:rFonts w:ascii="Garamond" w:hAnsi="Garamond"/>
          <w:sz w:val="24"/>
          <w:szCs w:val="24"/>
        </w:rPr>
      </w:pPr>
    </w:p>
    <w:p w:rsidR="005912A1" w:rsidRPr="005912A1" w:rsidRDefault="005912A1" w:rsidP="005912A1">
      <w:pPr>
        <w:rPr>
          <w:rFonts w:ascii="Garamond" w:hAnsi="Garamond"/>
          <w:sz w:val="24"/>
          <w:szCs w:val="24"/>
        </w:rPr>
      </w:pPr>
    </w:p>
    <w:p w:rsidR="00990415" w:rsidRPr="00990415" w:rsidRDefault="00990415" w:rsidP="00990415">
      <w:pPr>
        <w:rPr>
          <w:rFonts w:ascii="Garamond" w:hAnsi="Garamond"/>
          <w:sz w:val="24"/>
          <w:szCs w:val="24"/>
        </w:rPr>
      </w:pPr>
    </w:p>
    <w:p w:rsidR="00990415" w:rsidRPr="00990415" w:rsidRDefault="00990415" w:rsidP="00990415">
      <w:pPr>
        <w:rPr>
          <w:rFonts w:ascii="Garamond" w:hAnsi="Garamond"/>
          <w:sz w:val="24"/>
          <w:szCs w:val="24"/>
        </w:rPr>
      </w:pPr>
    </w:p>
    <w:p w:rsidR="00595F70" w:rsidRPr="00990415" w:rsidRDefault="00595F70" w:rsidP="00990415">
      <w:pPr>
        <w:rPr>
          <w:rFonts w:ascii="Garamond" w:hAnsi="Garamond"/>
          <w:sz w:val="24"/>
          <w:szCs w:val="24"/>
        </w:rPr>
      </w:pPr>
    </w:p>
    <w:p w:rsidR="00DE654E" w:rsidRPr="00990415" w:rsidRDefault="00DE654E" w:rsidP="00990415">
      <w:pPr>
        <w:rPr>
          <w:rFonts w:ascii="Garamond" w:hAnsi="Garamond"/>
          <w:sz w:val="24"/>
          <w:szCs w:val="24"/>
        </w:rPr>
      </w:pPr>
    </w:p>
    <w:p w:rsidR="009F5BF3" w:rsidRPr="00990415" w:rsidRDefault="009F5BF3" w:rsidP="00990415">
      <w:pPr>
        <w:rPr>
          <w:rFonts w:ascii="Garamond" w:eastAsiaTheme="minorHAnsi" w:hAnsi="Garamond"/>
          <w:sz w:val="24"/>
          <w:szCs w:val="24"/>
        </w:rPr>
      </w:pPr>
    </w:p>
    <w:p w:rsidR="009F5BF3" w:rsidRPr="00990415" w:rsidRDefault="009F5BF3" w:rsidP="00990415">
      <w:pPr>
        <w:rPr>
          <w:rFonts w:ascii="Garamond" w:hAnsi="Garamond"/>
          <w:sz w:val="24"/>
          <w:szCs w:val="24"/>
        </w:rPr>
      </w:pPr>
    </w:p>
    <w:sectPr w:rsidR="009F5BF3" w:rsidRPr="0099041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415" w:rsidRDefault="00990415" w:rsidP="003A4842">
      <w:r>
        <w:separator/>
      </w:r>
    </w:p>
  </w:endnote>
  <w:endnote w:type="continuationSeparator" w:id="0">
    <w:p w:rsidR="00990415" w:rsidRDefault="00990415" w:rsidP="003A4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415" w:rsidRDefault="00990415">
    <w:pPr>
      <w:pStyle w:val="Footer"/>
    </w:pPr>
    <w:r>
      <w:rPr>
        <w:rStyle w:val="PageNumber"/>
      </w:rPr>
      <w:fldChar w:fldCharType="begin"/>
    </w:r>
    <w:r>
      <w:rPr>
        <w:rStyle w:val="PageNumber"/>
      </w:rPr>
      <w:instrText xml:space="preserve"> PAGE </w:instrText>
    </w:r>
    <w:r>
      <w:rPr>
        <w:rStyle w:val="PageNumber"/>
      </w:rPr>
      <w:fldChar w:fldCharType="separate"/>
    </w:r>
    <w:r w:rsidR="00A72FE8">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415" w:rsidRDefault="00990415" w:rsidP="003A4842">
      <w:r>
        <w:separator/>
      </w:r>
    </w:p>
  </w:footnote>
  <w:footnote w:type="continuationSeparator" w:id="0">
    <w:p w:rsidR="00990415" w:rsidRDefault="00990415" w:rsidP="003A4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38A" w:rsidRDefault="0034038A">
    <w:pPr>
      <w:pStyle w:val="Header"/>
    </w:pPr>
  </w:p>
  <w:p w:rsidR="0034038A" w:rsidRDefault="003403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56193"/>
    <w:multiLevelType w:val="hybridMultilevel"/>
    <w:tmpl w:val="1E9A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D6A97"/>
    <w:multiLevelType w:val="hybridMultilevel"/>
    <w:tmpl w:val="FBDEF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142A6"/>
    <w:multiLevelType w:val="hybridMultilevel"/>
    <w:tmpl w:val="1DAEDB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91E2A"/>
    <w:multiLevelType w:val="hybridMultilevel"/>
    <w:tmpl w:val="FCAE51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DD2704A"/>
    <w:multiLevelType w:val="hybridMultilevel"/>
    <w:tmpl w:val="0C7C2E40"/>
    <w:lvl w:ilvl="0" w:tplc="AF9A4B56">
      <w:start w:val="1"/>
      <w:numFmt w:val="bullet"/>
      <w:lvlText w:val="•"/>
      <w:lvlJc w:val="left"/>
      <w:pPr>
        <w:tabs>
          <w:tab w:val="num" w:pos="720"/>
        </w:tabs>
        <w:ind w:left="720" w:hanging="360"/>
      </w:pPr>
      <w:rPr>
        <w:rFonts w:ascii="Times New Roman" w:hAnsi="Times New Roman" w:hint="default"/>
      </w:rPr>
    </w:lvl>
    <w:lvl w:ilvl="1" w:tplc="7C58DF8C" w:tentative="1">
      <w:start w:val="1"/>
      <w:numFmt w:val="bullet"/>
      <w:lvlText w:val="•"/>
      <w:lvlJc w:val="left"/>
      <w:pPr>
        <w:tabs>
          <w:tab w:val="num" w:pos="1440"/>
        </w:tabs>
        <w:ind w:left="1440" w:hanging="360"/>
      </w:pPr>
      <w:rPr>
        <w:rFonts w:ascii="Times New Roman" w:hAnsi="Times New Roman" w:hint="default"/>
      </w:rPr>
    </w:lvl>
    <w:lvl w:ilvl="2" w:tplc="78222FDC" w:tentative="1">
      <w:start w:val="1"/>
      <w:numFmt w:val="bullet"/>
      <w:lvlText w:val="•"/>
      <w:lvlJc w:val="left"/>
      <w:pPr>
        <w:tabs>
          <w:tab w:val="num" w:pos="2160"/>
        </w:tabs>
        <w:ind w:left="2160" w:hanging="360"/>
      </w:pPr>
      <w:rPr>
        <w:rFonts w:ascii="Times New Roman" w:hAnsi="Times New Roman" w:hint="default"/>
      </w:rPr>
    </w:lvl>
    <w:lvl w:ilvl="3" w:tplc="7E806646" w:tentative="1">
      <w:start w:val="1"/>
      <w:numFmt w:val="bullet"/>
      <w:lvlText w:val="•"/>
      <w:lvlJc w:val="left"/>
      <w:pPr>
        <w:tabs>
          <w:tab w:val="num" w:pos="2880"/>
        </w:tabs>
        <w:ind w:left="2880" w:hanging="360"/>
      </w:pPr>
      <w:rPr>
        <w:rFonts w:ascii="Times New Roman" w:hAnsi="Times New Roman" w:hint="default"/>
      </w:rPr>
    </w:lvl>
    <w:lvl w:ilvl="4" w:tplc="1130B4A8" w:tentative="1">
      <w:start w:val="1"/>
      <w:numFmt w:val="bullet"/>
      <w:lvlText w:val="•"/>
      <w:lvlJc w:val="left"/>
      <w:pPr>
        <w:tabs>
          <w:tab w:val="num" w:pos="3600"/>
        </w:tabs>
        <w:ind w:left="3600" w:hanging="360"/>
      </w:pPr>
      <w:rPr>
        <w:rFonts w:ascii="Times New Roman" w:hAnsi="Times New Roman" w:hint="default"/>
      </w:rPr>
    </w:lvl>
    <w:lvl w:ilvl="5" w:tplc="1528124E" w:tentative="1">
      <w:start w:val="1"/>
      <w:numFmt w:val="bullet"/>
      <w:lvlText w:val="•"/>
      <w:lvlJc w:val="left"/>
      <w:pPr>
        <w:tabs>
          <w:tab w:val="num" w:pos="4320"/>
        </w:tabs>
        <w:ind w:left="4320" w:hanging="360"/>
      </w:pPr>
      <w:rPr>
        <w:rFonts w:ascii="Times New Roman" w:hAnsi="Times New Roman" w:hint="default"/>
      </w:rPr>
    </w:lvl>
    <w:lvl w:ilvl="6" w:tplc="B23C41DC" w:tentative="1">
      <w:start w:val="1"/>
      <w:numFmt w:val="bullet"/>
      <w:lvlText w:val="•"/>
      <w:lvlJc w:val="left"/>
      <w:pPr>
        <w:tabs>
          <w:tab w:val="num" w:pos="5040"/>
        </w:tabs>
        <w:ind w:left="5040" w:hanging="360"/>
      </w:pPr>
      <w:rPr>
        <w:rFonts w:ascii="Times New Roman" w:hAnsi="Times New Roman" w:hint="default"/>
      </w:rPr>
    </w:lvl>
    <w:lvl w:ilvl="7" w:tplc="10922F1E" w:tentative="1">
      <w:start w:val="1"/>
      <w:numFmt w:val="bullet"/>
      <w:lvlText w:val="•"/>
      <w:lvlJc w:val="left"/>
      <w:pPr>
        <w:tabs>
          <w:tab w:val="num" w:pos="5760"/>
        </w:tabs>
        <w:ind w:left="5760" w:hanging="360"/>
      </w:pPr>
      <w:rPr>
        <w:rFonts w:ascii="Times New Roman" w:hAnsi="Times New Roman" w:hint="default"/>
      </w:rPr>
    </w:lvl>
    <w:lvl w:ilvl="8" w:tplc="06041A2A" w:tentative="1">
      <w:start w:val="1"/>
      <w:numFmt w:val="bullet"/>
      <w:lvlText w:val="•"/>
      <w:lvlJc w:val="left"/>
      <w:pPr>
        <w:tabs>
          <w:tab w:val="num" w:pos="6480"/>
        </w:tabs>
        <w:ind w:left="6480" w:hanging="360"/>
      </w:pPr>
      <w:rPr>
        <w:rFonts w:ascii="Times New Roman" w:hAnsi="Times New Roman" w:hint="default"/>
      </w:rPr>
    </w:lvl>
  </w:abstractNum>
  <w:abstractNum w:abstractNumId="5">
    <w:nsid w:val="3E7018CC"/>
    <w:multiLevelType w:val="hybridMultilevel"/>
    <w:tmpl w:val="151A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4318F"/>
    <w:multiLevelType w:val="hybridMultilevel"/>
    <w:tmpl w:val="D180D09C"/>
    <w:lvl w:ilvl="0" w:tplc="7B669DA4">
      <w:start w:val="1"/>
      <w:numFmt w:val="bullet"/>
      <w:lvlText w:val="•"/>
      <w:lvlJc w:val="left"/>
      <w:pPr>
        <w:tabs>
          <w:tab w:val="num" w:pos="720"/>
        </w:tabs>
        <w:ind w:left="720" w:hanging="360"/>
      </w:pPr>
      <w:rPr>
        <w:rFonts w:ascii="Times New Roman" w:hAnsi="Times New Roman" w:hint="default"/>
      </w:rPr>
    </w:lvl>
    <w:lvl w:ilvl="1" w:tplc="1F4AD7CE">
      <w:start w:val="406"/>
      <w:numFmt w:val="bullet"/>
      <w:lvlText w:val="–"/>
      <w:lvlJc w:val="left"/>
      <w:pPr>
        <w:tabs>
          <w:tab w:val="num" w:pos="1440"/>
        </w:tabs>
        <w:ind w:left="1440" w:hanging="360"/>
      </w:pPr>
      <w:rPr>
        <w:rFonts w:ascii="Times New Roman" w:hAnsi="Times New Roman" w:hint="default"/>
      </w:rPr>
    </w:lvl>
    <w:lvl w:ilvl="2" w:tplc="A3F09854" w:tentative="1">
      <w:start w:val="1"/>
      <w:numFmt w:val="bullet"/>
      <w:lvlText w:val="•"/>
      <w:lvlJc w:val="left"/>
      <w:pPr>
        <w:tabs>
          <w:tab w:val="num" w:pos="2160"/>
        </w:tabs>
        <w:ind w:left="2160" w:hanging="360"/>
      </w:pPr>
      <w:rPr>
        <w:rFonts w:ascii="Times New Roman" w:hAnsi="Times New Roman" w:hint="default"/>
      </w:rPr>
    </w:lvl>
    <w:lvl w:ilvl="3" w:tplc="63A416A2" w:tentative="1">
      <w:start w:val="1"/>
      <w:numFmt w:val="bullet"/>
      <w:lvlText w:val="•"/>
      <w:lvlJc w:val="left"/>
      <w:pPr>
        <w:tabs>
          <w:tab w:val="num" w:pos="2880"/>
        </w:tabs>
        <w:ind w:left="2880" w:hanging="360"/>
      </w:pPr>
      <w:rPr>
        <w:rFonts w:ascii="Times New Roman" w:hAnsi="Times New Roman" w:hint="default"/>
      </w:rPr>
    </w:lvl>
    <w:lvl w:ilvl="4" w:tplc="A31630BC" w:tentative="1">
      <w:start w:val="1"/>
      <w:numFmt w:val="bullet"/>
      <w:lvlText w:val="•"/>
      <w:lvlJc w:val="left"/>
      <w:pPr>
        <w:tabs>
          <w:tab w:val="num" w:pos="3600"/>
        </w:tabs>
        <w:ind w:left="3600" w:hanging="360"/>
      </w:pPr>
      <w:rPr>
        <w:rFonts w:ascii="Times New Roman" w:hAnsi="Times New Roman" w:hint="default"/>
      </w:rPr>
    </w:lvl>
    <w:lvl w:ilvl="5" w:tplc="EDE61B30" w:tentative="1">
      <w:start w:val="1"/>
      <w:numFmt w:val="bullet"/>
      <w:lvlText w:val="•"/>
      <w:lvlJc w:val="left"/>
      <w:pPr>
        <w:tabs>
          <w:tab w:val="num" w:pos="4320"/>
        </w:tabs>
        <w:ind w:left="4320" w:hanging="360"/>
      </w:pPr>
      <w:rPr>
        <w:rFonts w:ascii="Times New Roman" w:hAnsi="Times New Roman" w:hint="default"/>
      </w:rPr>
    </w:lvl>
    <w:lvl w:ilvl="6" w:tplc="766C75B6" w:tentative="1">
      <w:start w:val="1"/>
      <w:numFmt w:val="bullet"/>
      <w:lvlText w:val="•"/>
      <w:lvlJc w:val="left"/>
      <w:pPr>
        <w:tabs>
          <w:tab w:val="num" w:pos="5040"/>
        </w:tabs>
        <w:ind w:left="5040" w:hanging="360"/>
      </w:pPr>
      <w:rPr>
        <w:rFonts w:ascii="Times New Roman" w:hAnsi="Times New Roman" w:hint="default"/>
      </w:rPr>
    </w:lvl>
    <w:lvl w:ilvl="7" w:tplc="5E5445E4" w:tentative="1">
      <w:start w:val="1"/>
      <w:numFmt w:val="bullet"/>
      <w:lvlText w:val="•"/>
      <w:lvlJc w:val="left"/>
      <w:pPr>
        <w:tabs>
          <w:tab w:val="num" w:pos="5760"/>
        </w:tabs>
        <w:ind w:left="5760" w:hanging="360"/>
      </w:pPr>
      <w:rPr>
        <w:rFonts w:ascii="Times New Roman" w:hAnsi="Times New Roman" w:hint="default"/>
      </w:rPr>
    </w:lvl>
    <w:lvl w:ilvl="8" w:tplc="A1523950" w:tentative="1">
      <w:start w:val="1"/>
      <w:numFmt w:val="bullet"/>
      <w:lvlText w:val="•"/>
      <w:lvlJc w:val="left"/>
      <w:pPr>
        <w:tabs>
          <w:tab w:val="num" w:pos="6480"/>
        </w:tabs>
        <w:ind w:left="6480" w:hanging="360"/>
      </w:pPr>
      <w:rPr>
        <w:rFonts w:ascii="Times New Roman" w:hAnsi="Times New Roman" w:hint="default"/>
      </w:rPr>
    </w:lvl>
  </w:abstractNum>
  <w:abstractNum w:abstractNumId="7">
    <w:nsid w:val="645270D6"/>
    <w:multiLevelType w:val="hybridMultilevel"/>
    <w:tmpl w:val="24E0FC92"/>
    <w:lvl w:ilvl="0" w:tplc="04F44222">
      <w:start w:val="1"/>
      <w:numFmt w:val="bullet"/>
      <w:lvlText w:val="•"/>
      <w:lvlJc w:val="left"/>
      <w:pPr>
        <w:tabs>
          <w:tab w:val="num" w:pos="720"/>
        </w:tabs>
        <w:ind w:left="720" w:hanging="360"/>
      </w:pPr>
      <w:rPr>
        <w:rFonts w:ascii="Times New Roman" w:hAnsi="Times New Roman" w:hint="default"/>
      </w:rPr>
    </w:lvl>
    <w:lvl w:ilvl="1" w:tplc="774E82A8">
      <w:start w:val="406"/>
      <w:numFmt w:val="bullet"/>
      <w:lvlText w:val="–"/>
      <w:lvlJc w:val="left"/>
      <w:pPr>
        <w:tabs>
          <w:tab w:val="num" w:pos="1440"/>
        </w:tabs>
        <w:ind w:left="1440" w:hanging="360"/>
      </w:pPr>
      <w:rPr>
        <w:rFonts w:ascii="Times New Roman" w:hAnsi="Times New Roman" w:hint="default"/>
      </w:rPr>
    </w:lvl>
    <w:lvl w:ilvl="2" w:tplc="DE16ADA6" w:tentative="1">
      <w:start w:val="1"/>
      <w:numFmt w:val="bullet"/>
      <w:lvlText w:val="•"/>
      <w:lvlJc w:val="left"/>
      <w:pPr>
        <w:tabs>
          <w:tab w:val="num" w:pos="2160"/>
        </w:tabs>
        <w:ind w:left="2160" w:hanging="360"/>
      </w:pPr>
      <w:rPr>
        <w:rFonts w:ascii="Times New Roman" w:hAnsi="Times New Roman" w:hint="default"/>
      </w:rPr>
    </w:lvl>
    <w:lvl w:ilvl="3" w:tplc="23D60BD0" w:tentative="1">
      <w:start w:val="1"/>
      <w:numFmt w:val="bullet"/>
      <w:lvlText w:val="•"/>
      <w:lvlJc w:val="left"/>
      <w:pPr>
        <w:tabs>
          <w:tab w:val="num" w:pos="2880"/>
        </w:tabs>
        <w:ind w:left="2880" w:hanging="360"/>
      </w:pPr>
      <w:rPr>
        <w:rFonts w:ascii="Times New Roman" w:hAnsi="Times New Roman" w:hint="default"/>
      </w:rPr>
    </w:lvl>
    <w:lvl w:ilvl="4" w:tplc="93CA509C" w:tentative="1">
      <w:start w:val="1"/>
      <w:numFmt w:val="bullet"/>
      <w:lvlText w:val="•"/>
      <w:lvlJc w:val="left"/>
      <w:pPr>
        <w:tabs>
          <w:tab w:val="num" w:pos="3600"/>
        </w:tabs>
        <w:ind w:left="3600" w:hanging="360"/>
      </w:pPr>
      <w:rPr>
        <w:rFonts w:ascii="Times New Roman" w:hAnsi="Times New Roman" w:hint="default"/>
      </w:rPr>
    </w:lvl>
    <w:lvl w:ilvl="5" w:tplc="CAFEF864" w:tentative="1">
      <w:start w:val="1"/>
      <w:numFmt w:val="bullet"/>
      <w:lvlText w:val="•"/>
      <w:lvlJc w:val="left"/>
      <w:pPr>
        <w:tabs>
          <w:tab w:val="num" w:pos="4320"/>
        </w:tabs>
        <w:ind w:left="4320" w:hanging="360"/>
      </w:pPr>
      <w:rPr>
        <w:rFonts w:ascii="Times New Roman" w:hAnsi="Times New Roman" w:hint="default"/>
      </w:rPr>
    </w:lvl>
    <w:lvl w:ilvl="6" w:tplc="9EB4CB0A" w:tentative="1">
      <w:start w:val="1"/>
      <w:numFmt w:val="bullet"/>
      <w:lvlText w:val="•"/>
      <w:lvlJc w:val="left"/>
      <w:pPr>
        <w:tabs>
          <w:tab w:val="num" w:pos="5040"/>
        </w:tabs>
        <w:ind w:left="5040" w:hanging="360"/>
      </w:pPr>
      <w:rPr>
        <w:rFonts w:ascii="Times New Roman" w:hAnsi="Times New Roman" w:hint="default"/>
      </w:rPr>
    </w:lvl>
    <w:lvl w:ilvl="7" w:tplc="B5B6AADC" w:tentative="1">
      <w:start w:val="1"/>
      <w:numFmt w:val="bullet"/>
      <w:lvlText w:val="•"/>
      <w:lvlJc w:val="left"/>
      <w:pPr>
        <w:tabs>
          <w:tab w:val="num" w:pos="5760"/>
        </w:tabs>
        <w:ind w:left="5760" w:hanging="360"/>
      </w:pPr>
      <w:rPr>
        <w:rFonts w:ascii="Times New Roman" w:hAnsi="Times New Roman" w:hint="default"/>
      </w:rPr>
    </w:lvl>
    <w:lvl w:ilvl="8" w:tplc="367A3BDA" w:tentative="1">
      <w:start w:val="1"/>
      <w:numFmt w:val="bullet"/>
      <w:lvlText w:val="•"/>
      <w:lvlJc w:val="left"/>
      <w:pPr>
        <w:tabs>
          <w:tab w:val="num" w:pos="6480"/>
        </w:tabs>
        <w:ind w:left="6480" w:hanging="360"/>
      </w:pPr>
      <w:rPr>
        <w:rFonts w:ascii="Times New Roman" w:hAnsi="Times New Roman" w:hint="default"/>
      </w:rPr>
    </w:lvl>
  </w:abstractNum>
  <w:abstractNum w:abstractNumId="8">
    <w:nsid w:val="7B5C57DB"/>
    <w:multiLevelType w:val="hybridMultilevel"/>
    <w:tmpl w:val="D9E85A4A"/>
    <w:lvl w:ilvl="0" w:tplc="07803064">
      <w:start w:val="1"/>
      <w:numFmt w:val="decimal"/>
      <w:lvlText w:val="%1.)"/>
      <w:lvlJc w:val="left"/>
      <w:pPr>
        <w:ind w:left="420" w:hanging="360"/>
      </w:pPr>
      <w:rPr>
        <w:rFonts w:ascii="Arial" w:hAnsi="Arial"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7B780A1B"/>
    <w:multiLevelType w:val="hybridMultilevel"/>
    <w:tmpl w:val="B4500D62"/>
    <w:lvl w:ilvl="0" w:tplc="B1964E4A">
      <w:start w:val="1"/>
      <w:numFmt w:val="bullet"/>
      <w:lvlText w:val="•"/>
      <w:lvlJc w:val="left"/>
      <w:pPr>
        <w:tabs>
          <w:tab w:val="num" w:pos="720"/>
        </w:tabs>
        <w:ind w:left="720" w:hanging="360"/>
      </w:pPr>
      <w:rPr>
        <w:rFonts w:ascii="Times New Roman" w:hAnsi="Times New Roman" w:hint="default"/>
      </w:rPr>
    </w:lvl>
    <w:lvl w:ilvl="1" w:tplc="E1A40EAC" w:tentative="1">
      <w:start w:val="1"/>
      <w:numFmt w:val="bullet"/>
      <w:lvlText w:val="•"/>
      <w:lvlJc w:val="left"/>
      <w:pPr>
        <w:tabs>
          <w:tab w:val="num" w:pos="1440"/>
        </w:tabs>
        <w:ind w:left="1440" w:hanging="360"/>
      </w:pPr>
      <w:rPr>
        <w:rFonts w:ascii="Times New Roman" w:hAnsi="Times New Roman" w:hint="default"/>
      </w:rPr>
    </w:lvl>
    <w:lvl w:ilvl="2" w:tplc="3E686CE6" w:tentative="1">
      <w:start w:val="1"/>
      <w:numFmt w:val="bullet"/>
      <w:lvlText w:val="•"/>
      <w:lvlJc w:val="left"/>
      <w:pPr>
        <w:tabs>
          <w:tab w:val="num" w:pos="2160"/>
        </w:tabs>
        <w:ind w:left="2160" w:hanging="360"/>
      </w:pPr>
      <w:rPr>
        <w:rFonts w:ascii="Times New Roman" w:hAnsi="Times New Roman" w:hint="default"/>
      </w:rPr>
    </w:lvl>
    <w:lvl w:ilvl="3" w:tplc="2E8029BE" w:tentative="1">
      <w:start w:val="1"/>
      <w:numFmt w:val="bullet"/>
      <w:lvlText w:val="•"/>
      <w:lvlJc w:val="left"/>
      <w:pPr>
        <w:tabs>
          <w:tab w:val="num" w:pos="2880"/>
        </w:tabs>
        <w:ind w:left="2880" w:hanging="360"/>
      </w:pPr>
      <w:rPr>
        <w:rFonts w:ascii="Times New Roman" w:hAnsi="Times New Roman" w:hint="default"/>
      </w:rPr>
    </w:lvl>
    <w:lvl w:ilvl="4" w:tplc="BE6E092A" w:tentative="1">
      <w:start w:val="1"/>
      <w:numFmt w:val="bullet"/>
      <w:lvlText w:val="•"/>
      <w:lvlJc w:val="left"/>
      <w:pPr>
        <w:tabs>
          <w:tab w:val="num" w:pos="3600"/>
        </w:tabs>
        <w:ind w:left="3600" w:hanging="360"/>
      </w:pPr>
      <w:rPr>
        <w:rFonts w:ascii="Times New Roman" w:hAnsi="Times New Roman" w:hint="default"/>
      </w:rPr>
    </w:lvl>
    <w:lvl w:ilvl="5" w:tplc="14E61164" w:tentative="1">
      <w:start w:val="1"/>
      <w:numFmt w:val="bullet"/>
      <w:lvlText w:val="•"/>
      <w:lvlJc w:val="left"/>
      <w:pPr>
        <w:tabs>
          <w:tab w:val="num" w:pos="4320"/>
        </w:tabs>
        <w:ind w:left="4320" w:hanging="360"/>
      </w:pPr>
      <w:rPr>
        <w:rFonts w:ascii="Times New Roman" w:hAnsi="Times New Roman" w:hint="default"/>
      </w:rPr>
    </w:lvl>
    <w:lvl w:ilvl="6" w:tplc="96828FAA" w:tentative="1">
      <w:start w:val="1"/>
      <w:numFmt w:val="bullet"/>
      <w:lvlText w:val="•"/>
      <w:lvlJc w:val="left"/>
      <w:pPr>
        <w:tabs>
          <w:tab w:val="num" w:pos="5040"/>
        </w:tabs>
        <w:ind w:left="5040" w:hanging="360"/>
      </w:pPr>
      <w:rPr>
        <w:rFonts w:ascii="Times New Roman" w:hAnsi="Times New Roman" w:hint="default"/>
      </w:rPr>
    </w:lvl>
    <w:lvl w:ilvl="7" w:tplc="FD46328E" w:tentative="1">
      <w:start w:val="1"/>
      <w:numFmt w:val="bullet"/>
      <w:lvlText w:val="•"/>
      <w:lvlJc w:val="left"/>
      <w:pPr>
        <w:tabs>
          <w:tab w:val="num" w:pos="5760"/>
        </w:tabs>
        <w:ind w:left="5760" w:hanging="360"/>
      </w:pPr>
      <w:rPr>
        <w:rFonts w:ascii="Times New Roman" w:hAnsi="Times New Roman" w:hint="default"/>
      </w:rPr>
    </w:lvl>
    <w:lvl w:ilvl="8" w:tplc="F7C87B5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C4D71DE"/>
    <w:multiLevelType w:val="hybridMultilevel"/>
    <w:tmpl w:val="F4D8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9"/>
  </w:num>
  <w:num w:numId="5">
    <w:abstractNumId w:val="6"/>
  </w:num>
  <w:num w:numId="6">
    <w:abstractNumId w:val="7"/>
  </w:num>
  <w:num w:numId="7">
    <w:abstractNumId w:val="0"/>
  </w:num>
  <w:num w:numId="8">
    <w:abstractNumId w:val="1"/>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54E"/>
    <w:rsid w:val="0001696D"/>
    <w:rsid w:val="00035168"/>
    <w:rsid w:val="000406CF"/>
    <w:rsid w:val="00072C56"/>
    <w:rsid w:val="00101C9E"/>
    <w:rsid w:val="002175B7"/>
    <w:rsid w:val="0022541F"/>
    <w:rsid w:val="0025366A"/>
    <w:rsid w:val="00263085"/>
    <w:rsid w:val="00331571"/>
    <w:rsid w:val="0034038A"/>
    <w:rsid w:val="00394A15"/>
    <w:rsid w:val="003A4842"/>
    <w:rsid w:val="003F6745"/>
    <w:rsid w:val="00402E13"/>
    <w:rsid w:val="005912A1"/>
    <w:rsid w:val="00595F70"/>
    <w:rsid w:val="006A732A"/>
    <w:rsid w:val="007A1499"/>
    <w:rsid w:val="00825C23"/>
    <w:rsid w:val="00832F6F"/>
    <w:rsid w:val="008B3A92"/>
    <w:rsid w:val="008E1118"/>
    <w:rsid w:val="00962481"/>
    <w:rsid w:val="00990415"/>
    <w:rsid w:val="009C6EB4"/>
    <w:rsid w:val="009F5BF3"/>
    <w:rsid w:val="00A72FE8"/>
    <w:rsid w:val="00AC1243"/>
    <w:rsid w:val="00B32858"/>
    <w:rsid w:val="00B34E0A"/>
    <w:rsid w:val="00C118EC"/>
    <w:rsid w:val="00C14C01"/>
    <w:rsid w:val="00D64AE1"/>
    <w:rsid w:val="00D732C7"/>
    <w:rsid w:val="00DE654E"/>
    <w:rsid w:val="00E22E22"/>
    <w:rsid w:val="00E53453"/>
    <w:rsid w:val="00F3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54E"/>
    <w:pPr>
      <w:spacing w:after="0" w:line="240"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4E"/>
    <w:pPr>
      <w:ind w:left="720"/>
      <w:contextualSpacing/>
    </w:pPr>
  </w:style>
  <w:style w:type="paragraph" w:customStyle="1" w:styleId="Default">
    <w:name w:val="Default"/>
    <w:rsid w:val="0022541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A4842"/>
    <w:pPr>
      <w:tabs>
        <w:tab w:val="center" w:pos="4680"/>
        <w:tab w:val="right" w:pos="9360"/>
      </w:tabs>
    </w:pPr>
  </w:style>
  <w:style w:type="character" w:customStyle="1" w:styleId="HeaderChar">
    <w:name w:val="Header Char"/>
    <w:basedOn w:val="DefaultParagraphFont"/>
    <w:link w:val="Header"/>
    <w:uiPriority w:val="99"/>
    <w:rsid w:val="003A4842"/>
    <w:rPr>
      <w:rFonts w:ascii="Calibri" w:eastAsia="Times New Roman" w:hAnsi="Calibri" w:cs="Arial"/>
    </w:rPr>
  </w:style>
  <w:style w:type="paragraph" w:styleId="Footer">
    <w:name w:val="footer"/>
    <w:basedOn w:val="Normal"/>
    <w:link w:val="FooterChar"/>
    <w:unhideWhenUsed/>
    <w:rsid w:val="003A4842"/>
    <w:pPr>
      <w:tabs>
        <w:tab w:val="center" w:pos="4680"/>
        <w:tab w:val="right" w:pos="9360"/>
      </w:tabs>
    </w:pPr>
  </w:style>
  <w:style w:type="character" w:customStyle="1" w:styleId="FooterChar">
    <w:name w:val="Footer Char"/>
    <w:basedOn w:val="DefaultParagraphFont"/>
    <w:link w:val="Footer"/>
    <w:uiPriority w:val="99"/>
    <w:rsid w:val="003A4842"/>
    <w:rPr>
      <w:rFonts w:ascii="Calibri" w:eastAsia="Times New Roman" w:hAnsi="Calibri" w:cs="Arial"/>
    </w:rPr>
  </w:style>
  <w:style w:type="character" w:styleId="PageNumber">
    <w:name w:val="page number"/>
    <w:basedOn w:val="DefaultParagraphFont"/>
    <w:rsid w:val="00C118EC"/>
  </w:style>
  <w:style w:type="paragraph" w:styleId="BalloonText">
    <w:name w:val="Balloon Text"/>
    <w:basedOn w:val="Normal"/>
    <w:link w:val="BalloonTextChar"/>
    <w:uiPriority w:val="99"/>
    <w:semiHidden/>
    <w:unhideWhenUsed/>
    <w:rsid w:val="0034038A"/>
    <w:rPr>
      <w:rFonts w:ascii="Tahoma" w:hAnsi="Tahoma" w:cs="Tahoma"/>
      <w:sz w:val="16"/>
      <w:szCs w:val="16"/>
    </w:rPr>
  </w:style>
  <w:style w:type="character" w:customStyle="1" w:styleId="BalloonTextChar">
    <w:name w:val="Balloon Text Char"/>
    <w:basedOn w:val="DefaultParagraphFont"/>
    <w:link w:val="BalloonText"/>
    <w:uiPriority w:val="99"/>
    <w:semiHidden/>
    <w:rsid w:val="0034038A"/>
    <w:rPr>
      <w:rFonts w:ascii="Tahoma" w:eastAsia="Times New Roman" w:hAnsi="Tahoma" w:cs="Tahoma"/>
      <w:sz w:val="16"/>
      <w:szCs w:val="16"/>
    </w:rPr>
  </w:style>
  <w:style w:type="character" w:styleId="Hyperlink">
    <w:name w:val="Hyperlink"/>
    <w:basedOn w:val="DefaultParagraphFont"/>
    <w:uiPriority w:val="99"/>
    <w:unhideWhenUsed/>
    <w:rsid w:val="005912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54E"/>
    <w:pPr>
      <w:spacing w:after="0" w:line="240"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4E"/>
    <w:pPr>
      <w:ind w:left="720"/>
      <w:contextualSpacing/>
    </w:pPr>
  </w:style>
  <w:style w:type="paragraph" w:customStyle="1" w:styleId="Default">
    <w:name w:val="Default"/>
    <w:rsid w:val="0022541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A4842"/>
    <w:pPr>
      <w:tabs>
        <w:tab w:val="center" w:pos="4680"/>
        <w:tab w:val="right" w:pos="9360"/>
      </w:tabs>
    </w:pPr>
  </w:style>
  <w:style w:type="character" w:customStyle="1" w:styleId="HeaderChar">
    <w:name w:val="Header Char"/>
    <w:basedOn w:val="DefaultParagraphFont"/>
    <w:link w:val="Header"/>
    <w:uiPriority w:val="99"/>
    <w:rsid w:val="003A4842"/>
    <w:rPr>
      <w:rFonts w:ascii="Calibri" w:eastAsia="Times New Roman" w:hAnsi="Calibri" w:cs="Arial"/>
    </w:rPr>
  </w:style>
  <w:style w:type="paragraph" w:styleId="Footer">
    <w:name w:val="footer"/>
    <w:basedOn w:val="Normal"/>
    <w:link w:val="FooterChar"/>
    <w:unhideWhenUsed/>
    <w:rsid w:val="003A4842"/>
    <w:pPr>
      <w:tabs>
        <w:tab w:val="center" w:pos="4680"/>
        <w:tab w:val="right" w:pos="9360"/>
      </w:tabs>
    </w:pPr>
  </w:style>
  <w:style w:type="character" w:customStyle="1" w:styleId="FooterChar">
    <w:name w:val="Footer Char"/>
    <w:basedOn w:val="DefaultParagraphFont"/>
    <w:link w:val="Footer"/>
    <w:uiPriority w:val="99"/>
    <w:rsid w:val="003A4842"/>
    <w:rPr>
      <w:rFonts w:ascii="Calibri" w:eastAsia="Times New Roman" w:hAnsi="Calibri" w:cs="Arial"/>
    </w:rPr>
  </w:style>
  <w:style w:type="character" w:styleId="PageNumber">
    <w:name w:val="page number"/>
    <w:basedOn w:val="DefaultParagraphFont"/>
    <w:rsid w:val="00C118EC"/>
  </w:style>
  <w:style w:type="paragraph" w:styleId="BalloonText">
    <w:name w:val="Balloon Text"/>
    <w:basedOn w:val="Normal"/>
    <w:link w:val="BalloonTextChar"/>
    <w:uiPriority w:val="99"/>
    <w:semiHidden/>
    <w:unhideWhenUsed/>
    <w:rsid w:val="0034038A"/>
    <w:rPr>
      <w:rFonts w:ascii="Tahoma" w:hAnsi="Tahoma" w:cs="Tahoma"/>
      <w:sz w:val="16"/>
      <w:szCs w:val="16"/>
    </w:rPr>
  </w:style>
  <w:style w:type="character" w:customStyle="1" w:styleId="BalloonTextChar">
    <w:name w:val="Balloon Text Char"/>
    <w:basedOn w:val="DefaultParagraphFont"/>
    <w:link w:val="BalloonText"/>
    <w:uiPriority w:val="99"/>
    <w:semiHidden/>
    <w:rsid w:val="0034038A"/>
    <w:rPr>
      <w:rFonts w:ascii="Tahoma" w:eastAsia="Times New Roman" w:hAnsi="Tahoma" w:cs="Tahoma"/>
      <w:sz w:val="16"/>
      <w:szCs w:val="16"/>
    </w:rPr>
  </w:style>
  <w:style w:type="character" w:styleId="Hyperlink">
    <w:name w:val="Hyperlink"/>
    <w:basedOn w:val="DefaultParagraphFont"/>
    <w:uiPriority w:val="99"/>
    <w:unhideWhenUsed/>
    <w:rsid w:val="005912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21434">
      <w:bodyDiv w:val="1"/>
      <w:marLeft w:val="0"/>
      <w:marRight w:val="0"/>
      <w:marTop w:val="0"/>
      <w:marBottom w:val="0"/>
      <w:divBdr>
        <w:top w:val="none" w:sz="0" w:space="0" w:color="auto"/>
        <w:left w:val="none" w:sz="0" w:space="0" w:color="auto"/>
        <w:bottom w:val="none" w:sz="0" w:space="0" w:color="auto"/>
        <w:right w:val="none" w:sz="0" w:space="0" w:color="auto"/>
      </w:divBdr>
      <w:divsChild>
        <w:div w:id="1979410994">
          <w:marLeft w:val="547"/>
          <w:marRight w:val="0"/>
          <w:marTop w:val="154"/>
          <w:marBottom w:val="0"/>
          <w:divBdr>
            <w:top w:val="none" w:sz="0" w:space="0" w:color="auto"/>
            <w:left w:val="none" w:sz="0" w:space="0" w:color="auto"/>
            <w:bottom w:val="none" w:sz="0" w:space="0" w:color="auto"/>
            <w:right w:val="none" w:sz="0" w:space="0" w:color="auto"/>
          </w:divBdr>
        </w:div>
        <w:div w:id="1843280141">
          <w:marLeft w:val="1166"/>
          <w:marRight w:val="0"/>
          <w:marTop w:val="134"/>
          <w:marBottom w:val="0"/>
          <w:divBdr>
            <w:top w:val="none" w:sz="0" w:space="0" w:color="auto"/>
            <w:left w:val="none" w:sz="0" w:space="0" w:color="auto"/>
            <w:bottom w:val="none" w:sz="0" w:space="0" w:color="auto"/>
            <w:right w:val="none" w:sz="0" w:space="0" w:color="auto"/>
          </w:divBdr>
        </w:div>
        <w:div w:id="1976593482">
          <w:marLeft w:val="1166"/>
          <w:marRight w:val="0"/>
          <w:marTop w:val="134"/>
          <w:marBottom w:val="0"/>
          <w:divBdr>
            <w:top w:val="none" w:sz="0" w:space="0" w:color="auto"/>
            <w:left w:val="none" w:sz="0" w:space="0" w:color="auto"/>
            <w:bottom w:val="none" w:sz="0" w:space="0" w:color="auto"/>
            <w:right w:val="none" w:sz="0" w:space="0" w:color="auto"/>
          </w:divBdr>
        </w:div>
        <w:div w:id="2122407445">
          <w:marLeft w:val="547"/>
          <w:marRight w:val="0"/>
          <w:marTop w:val="154"/>
          <w:marBottom w:val="0"/>
          <w:divBdr>
            <w:top w:val="none" w:sz="0" w:space="0" w:color="auto"/>
            <w:left w:val="none" w:sz="0" w:space="0" w:color="auto"/>
            <w:bottom w:val="none" w:sz="0" w:space="0" w:color="auto"/>
            <w:right w:val="none" w:sz="0" w:space="0" w:color="auto"/>
          </w:divBdr>
        </w:div>
        <w:div w:id="2047949038">
          <w:marLeft w:val="1166"/>
          <w:marRight w:val="0"/>
          <w:marTop w:val="134"/>
          <w:marBottom w:val="0"/>
          <w:divBdr>
            <w:top w:val="none" w:sz="0" w:space="0" w:color="auto"/>
            <w:left w:val="none" w:sz="0" w:space="0" w:color="auto"/>
            <w:bottom w:val="none" w:sz="0" w:space="0" w:color="auto"/>
            <w:right w:val="none" w:sz="0" w:space="0" w:color="auto"/>
          </w:divBdr>
        </w:div>
      </w:divsChild>
    </w:div>
    <w:div w:id="364334581">
      <w:bodyDiv w:val="1"/>
      <w:marLeft w:val="0"/>
      <w:marRight w:val="0"/>
      <w:marTop w:val="0"/>
      <w:marBottom w:val="0"/>
      <w:divBdr>
        <w:top w:val="none" w:sz="0" w:space="0" w:color="auto"/>
        <w:left w:val="none" w:sz="0" w:space="0" w:color="auto"/>
        <w:bottom w:val="none" w:sz="0" w:space="0" w:color="auto"/>
        <w:right w:val="none" w:sz="0" w:space="0" w:color="auto"/>
      </w:divBdr>
      <w:divsChild>
        <w:div w:id="597834287">
          <w:marLeft w:val="547"/>
          <w:marRight w:val="0"/>
          <w:marTop w:val="154"/>
          <w:marBottom w:val="0"/>
          <w:divBdr>
            <w:top w:val="none" w:sz="0" w:space="0" w:color="auto"/>
            <w:left w:val="none" w:sz="0" w:space="0" w:color="auto"/>
            <w:bottom w:val="none" w:sz="0" w:space="0" w:color="auto"/>
            <w:right w:val="none" w:sz="0" w:space="0" w:color="auto"/>
          </w:divBdr>
        </w:div>
        <w:div w:id="2017221529">
          <w:marLeft w:val="1166"/>
          <w:marRight w:val="0"/>
          <w:marTop w:val="134"/>
          <w:marBottom w:val="0"/>
          <w:divBdr>
            <w:top w:val="none" w:sz="0" w:space="0" w:color="auto"/>
            <w:left w:val="none" w:sz="0" w:space="0" w:color="auto"/>
            <w:bottom w:val="none" w:sz="0" w:space="0" w:color="auto"/>
            <w:right w:val="none" w:sz="0" w:space="0" w:color="auto"/>
          </w:divBdr>
        </w:div>
        <w:div w:id="1745950558">
          <w:marLeft w:val="547"/>
          <w:marRight w:val="0"/>
          <w:marTop w:val="154"/>
          <w:marBottom w:val="0"/>
          <w:divBdr>
            <w:top w:val="none" w:sz="0" w:space="0" w:color="auto"/>
            <w:left w:val="none" w:sz="0" w:space="0" w:color="auto"/>
            <w:bottom w:val="none" w:sz="0" w:space="0" w:color="auto"/>
            <w:right w:val="none" w:sz="0" w:space="0" w:color="auto"/>
          </w:divBdr>
        </w:div>
        <w:div w:id="1892303720">
          <w:marLeft w:val="1166"/>
          <w:marRight w:val="0"/>
          <w:marTop w:val="134"/>
          <w:marBottom w:val="0"/>
          <w:divBdr>
            <w:top w:val="none" w:sz="0" w:space="0" w:color="auto"/>
            <w:left w:val="none" w:sz="0" w:space="0" w:color="auto"/>
            <w:bottom w:val="none" w:sz="0" w:space="0" w:color="auto"/>
            <w:right w:val="none" w:sz="0" w:space="0" w:color="auto"/>
          </w:divBdr>
        </w:div>
      </w:divsChild>
    </w:div>
    <w:div w:id="840583590">
      <w:bodyDiv w:val="1"/>
      <w:marLeft w:val="0"/>
      <w:marRight w:val="0"/>
      <w:marTop w:val="0"/>
      <w:marBottom w:val="0"/>
      <w:divBdr>
        <w:top w:val="none" w:sz="0" w:space="0" w:color="auto"/>
        <w:left w:val="none" w:sz="0" w:space="0" w:color="auto"/>
        <w:bottom w:val="none" w:sz="0" w:space="0" w:color="auto"/>
        <w:right w:val="none" w:sz="0" w:space="0" w:color="auto"/>
      </w:divBdr>
      <w:divsChild>
        <w:div w:id="40400672">
          <w:marLeft w:val="547"/>
          <w:marRight w:val="0"/>
          <w:marTop w:val="96"/>
          <w:marBottom w:val="0"/>
          <w:divBdr>
            <w:top w:val="none" w:sz="0" w:space="0" w:color="auto"/>
            <w:left w:val="none" w:sz="0" w:space="0" w:color="auto"/>
            <w:bottom w:val="none" w:sz="0" w:space="0" w:color="auto"/>
            <w:right w:val="none" w:sz="0" w:space="0" w:color="auto"/>
          </w:divBdr>
        </w:div>
        <w:div w:id="1957566750">
          <w:marLeft w:val="547"/>
          <w:marRight w:val="0"/>
          <w:marTop w:val="96"/>
          <w:marBottom w:val="0"/>
          <w:divBdr>
            <w:top w:val="none" w:sz="0" w:space="0" w:color="auto"/>
            <w:left w:val="none" w:sz="0" w:space="0" w:color="auto"/>
            <w:bottom w:val="none" w:sz="0" w:space="0" w:color="auto"/>
            <w:right w:val="none" w:sz="0" w:space="0" w:color="auto"/>
          </w:divBdr>
        </w:div>
        <w:div w:id="495801511">
          <w:marLeft w:val="547"/>
          <w:marRight w:val="0"/>
          <w:marTop w:val="96"/>
          <w:marBottom w:val="0"/>
          <w:divBdr>
            <w:top w:val="none" w:sz="0" w:space="0" w:color="auto"/>
            <w:left w:val="none" w:sz="0" w:space="0" w:color="auto"/>
            <w:bottom w:val="none" w:sz="0" w:space="0" w:color="auto"/>
            <w:right w:val="none" w:sz="0" w:space="0" w:color="auto"/>
          </w:divBdr>
        </w:div>
      </w:divsChild>
    </w:div>
    <w:div w:id="1709914824">
      <w:bodyDiv w:val="1"/>
      <w:marLeft w:val="0"/>
      <w:marRight w:val="0"/>
      <w:marTop w:val="0"/>
      <w:marBottom w:val="0"/>
      <w:divBdr>
        <w:top w:val="none" w:sz="0" w:space="0" w:color="auto"/>
        <w:left w:val="none" w:sz="0" w:space="0" w:color="auto"/>
        <w:bottom w:val="none" w:sz="0" w:space="0" w:color="auto"/>
        <w:right w:val="none" w:sz="0" w:space="0" w:color="auto"/>
      </w:divBdr>
    </w:div>
    <w:div w:id="2019843560">
      <w:bodyDiv w:val="1"/>
      <w:marLeft w:val="0"/>
      <w:marRight w:val="0"/>
      <w:marTop w:val="0"/>
      <w:marBottom w:val="0"/>
      <w:divBdr>
        <w:top w:val="none" w:sz="0" w:space="0" w:color="auto"/>
        <w:left w:val="none" w:sz="0" w:space="0" w:color="auto"/>
        <w:bottom w:val="none" w:sz="0" w:space="0" w:color="auto"/>
        <w:right w:val="none" w:sz="0" w:space="0" w:color="auto"/>
      </w:divBdr>
      <w:divsChild>
        <w:div w:id="132645450">
          <w:marLeft w:val="547"/>
          <w:marRight w:val="0"/>
          <w:marTop w:val="106"/>
          <w:marBottom w:val="0"/>
          <w:divBdr>
            <w:top w:val="none" w:sz="0" w:space="0" w:color="auto"/>
            <w:left w:val="none" w:sz="0" w:space="0" w:color="auto"/>
            <w:bottom w:val="none" w:sz="0" w:space="0" w:color="auto"/>
            <w:right w:val="none" w:sz="0" w:space="0" w:color="auto"/>
          </w:divBdr>
        </w:div>
        <w:div w:id="1100493637">
          <w:marLeft w:val="547"/>
          <w:marRight w:val="0"/>
          <w:marTop w:val="106"/>
          <w:marBottom w:val="0"/>
          <w:divBdr>
            <w:top w:val="none" w:sz="0" w:space="0" w:color="auto"/>
            <w:left w:val="none" w:sz="0" w:space="0" w:color="auto"/>
            <w:bottom w:val="none" w:sz="0" w:space="0" w:color="auto"/>
            <w:right w:val="none" w:sz="0" w:space="0" w:color="auto"/>
          </w:divBdr>
        </w:div>
        <w:div w:id="2143037793">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55A10-3A05-407D-9BA6-475CD70B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 S Harkness</dc:creator>
  <cp:lastModifiedBy>CHRISTINE CAROL MATHIAS</cp:lastModifiedBy>
  <cp:revision>4</cp:revision>
  <cp:lastPrinted>2012-09-12T02:30:00Z</cp:lastPrinted>
  <dcterms:created xsi:type="dcterms:W3CDTF">2012-09-12T02:43:00Z</dcterms:created>
  <dcterms:modified xsi:type="dcterms:W3CDTF">2012-09-12T22:19:00Z</dcterms:modified>
</cp:coreProperties>
</file>