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A1" w:rsidRPr="00B51B8C" w:rsidRDefault="00FC3A0B" w:rsidP="005F0DA1">
      <w:pPr>
        <w:ind w:left="7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Resource Exchanges</w:t>
      </w:r>
      <w:r w:rsidR="00565113">
        <w:rPr>
          <w:sz w:val="28"/>
          <w:szCs w:val="28"/>
        </w:rPr>
        <w:t xml:space="preserve"> for Social Work Field Instruction</w:t>
      </w:r>
    </w:p>
    <w:tbl>
      <w:tblPr>
        <w:tblStyle w:val="TableGrid"/>
        <w:tblpPr w:leftFromText="180" w:rightFromText="180" w:vertAnchor="page" w:horzAnchor="margin" w:tblpY="1471"/>
        <w:tblW w:w="14616" w:type="dxa"/>
        <w:tblLook w:val="04A0" w:firstRow="1" w:lastRow="0" w:firstColumn="1" w:lastColumn="0" w:noHBand="0" w:noVBand="1"/>
      </w:tblPr>
      <w:tblGrid>
        <w:gridCol w:w="1852"/>
        <w:gridCol w:w="2304"/>
        <w:gridCol w:w="2053"/>
        <w:gridCol w:w="2099"/>
        <w:gridCol w:w="2277"/>
        <w:gridCol w:w="2190"/>
        <w:gridCol w:w="1841"/>
      </w:tblGrid>
      <w:tr w:rsidR="00D7571E" w:rsidTr="009D69B2">
        <w:tc>
          <w:tcPr>
            <w:tcW w:w="1884" w:type="dxa"/>
            <w:shd w:val="clear" w:color="auto" w:fill="92CDDC" w:themeFill="accent5" w:themeFillTint="99"/>
          </w:tcPr>
          <w:p w:rsidR="001549AE" w:rsidRDefault="00EB15FC" w:rsidP="001549AE">
            <w:r>
              <w:t>Who is involved i</w:t>
            </w:r>
            <w:r w:rsidRPr="009D69B2">
              <w:rPr>
                <w:shd w:val="clear" w:color="auto" w:fill="92CDDC" w:themeFill="accent5" w:themeFillTint="99"/>
              </w:rPr>
              <w:t>n</w:t>
            </w:r>
            <w:r>
              <w:t xml:space="preserve"> the exchanges?</w:t>
            </w:r>
          </w:p>
        </w:tc>
        <w:tc>
          <w:tcPr>
            <w:tcW w:w="1962" w:type="dxa"/>
            <w:shd w:val="clear" w:color="auto" w:fill="C6EDB3"/>
          </w:tcPr>
          <w:p w:rsidR="001549AE" w:rsidRDefault="001549AE" w:rsidP="001549AE">
            <w:r>
              <w:t>CalSWEC</w:t>
            </w:r>
          </w:p>
        </w:tc>
        <w:tc>
          <w:tcPr>
            <w:tcW w:w="2123" w:type="dxa"/>
            <w:shd w:val="clear" w:color="auto" w:fill="C6EDB3"/>
          </w:tcPr>
          <w:p w:rsidR="001549AE" w:rsidRDefault="001549AE" w:rsidP="001549AE">
            <w:r>
              <w:t>University</w:t>
            </w:r>
          </w:p>
        </w:tc>
        <w:tc>
          <w:tcPr>
            <w:tcW w:w="2123" w:type="dxa"/>
            <w:shd w:val="clear" w:color="auto" w:fill="C6EDB3"/>
          </w:tcPr>
          <w:p w:rsidR="001549AE" w:rsidRDefault="001549AE" w:rsidP="001549AE">
            <w:r>
              <w:t>School</w:t>
            </w:r>
            <w:r w:rsidR="00D11623">
              <w:t xml:space="preserve"> of Social Work/Welfare</w:t>
            </w:r>
          </w:p>
        </w:tc>
        <w:tc>
          <w:tcPr>
            <w:tcW w:w="2366" w:type="dxa"/>
            <w:shd w:val="clear" w:color="auto" w:fill="C6EDB3"/>
          </w:tcPr>
          <w:p w:rsidR="001549AE" w:rsidRDefault="001549AE" w:rsidP="001549AE">
            <w:r>
              <w:t>County Agency</w:t>
            </w:r>
          </w:p>
        </w:tc>
        <w:tc>
          <w:tcPr>
            <w:tcW w:w="2270" w:type="dxa"/>
            <w:shd w:val="clear" w:color="auto" w:fill="C6EDB3"/>
          </w:tcPr>
          <w:p w:rsidR="001549AE" w:rsidRDefault="001549AE" w:rsidP="001549AE">
            <w:r>
              <w:t>Child Welfare Department</w:t>
            </w:r>
          </w:p>
        </w:tc>
        <w:tc>
          <w:tcPr>
            <w:tcW w:w="1888" w:type="dxa"/>
            <w:shd w:val="clear" w:color="auto" w:fill="C6EDB3"/>
          </w:tcPr>
          <w:p w:rsidR="001549AE" w:rsidRDefault="001549AE" w:rsidP="001549AE">
            <w:r>
              <w:t>Academy IUC</w:t>
            </w:r>
          </w:p>
        </w:tc>
      </w:tr>
      <w:tr w:rsidR="001549AE" w:rsidTr="00D7571E">
        <w:trPr>
          <w:trHeight w:val="2132"/>
        </w:trPr>
        <w:tc>
          <w:tcPr>
            <w:tcW w:w="1884" w:type="dxa"/>
            <w:shd w:val="clear" w:color="auto" w:fill="DAEEF3" w:themeFill="accent5" w:themeFillTint="33"/>
          </w:tcPr>
          <w:p w:rsidR="001549AE" w:rsidRPr="00B86706" w:rsidRDefault="001549AE" w:rsidP="001549AE">
            <w:pPr>
              <w:rPr>
                <w:szCs w:val="20"/>
              </w:rPr>
            </w:pPr>
            <w:r w:rsidRPr="00B86706">
              <w:rPr>
                <w:szCs w:val="20"/>
              </w:rPr>
              <w:t>Academic program personnel</w:t>
            </w:r>
            <w:r w:rsidR="00EB15FC" w:rsidRPr="00B86706">
              <w:rPr>
                <w:szCs w:val="20"/>
              </w:rPr>
              <w:t>:</w:t>
            </w:r>
          </w:p>
          <w:p w:rsidR="001549AE" w:rsidRPr="00B86706" w:rsidRDefault="001549AE" w:rsidP="001549AE">
            <w:pPr>
              <w:rPr>
                <w:szCs w:val="20"/>
              </w:rPr>
            </w:pPr>
          </w:p>
          <w:p w:rsidR="001549AE" w:rsidRPr="00B86706" w:rsidRDefault="001549AE" w:rsidP="001549AE">
            <w:pPr>
              <w:rPr>
                <w:szCs w:val="20"/>
              </w:rPr>
            </w:pPr>
            <w:r w:rsidRPr="00B86706">
              <w:rPr>
                <w:szCs w:val="20"/>
              </w:rPr>
              <w:t>Faculty</w:t>
            </w:r>
          </w:p>
          <w:p w:rsidR="001549AE" w:rsidRPr="00B86706" w:rsidRDefault="001549AE" w:rsidP="001549AE">
            <w:pPr>
              <w:rPr>
                <w:szCs w:val="20"/>
              </w:rPr>
            </w:pPr>
            <w:r w:rsidRPr="00B86706">
              <w:rPr>
                <w:szCs w:val="20"/>
              </w:rPr>
              <w:t>Deans and Directors</w:t>
            </w:r>
          </w:p>
          <w:p w:rsidR="001549AE" w:rsidRPr="00B86706" w:rsidRDefault="001549AE" w:rsidP="001549AE">
            <w:pPr>
              <w:rPr>
                <w:szCs w:val="20"/>
              </w:rPr>
            </w:pPr>
            <w:r w:rsidRPr="00B86706">
              <w:rPr>
                <w:szCs w:val="20"/>
              </w:rPr>
              <w:t>Field Director</w:t>
            </w:r>
            <w:r w:rsidR="00EB15FC" w:rsidRPr="00B86706">
              <w:rPr>
                <w:szCs w:val="20"/>
              </w:rPr>
              <w:t>s</w:t>
            </w:r>
          </w:p>
          <w:p w:rsidR="001549AE" w:rsidRPr="00B86706" w:rsidRDefault="001549AE" w:rsidP="001549AE">
            <w:pPr>
              <w:rPr>
                <w:szCs w:val="20"/>
              </w:rPr>
            </w:pPr>
            <w:r w:rsidRPr="00B86706">
              <w:rPr>
                <w:szCs w:val="20"/>
              </w:rPr>
              <w:t>Field Liaison</w:t>
            </w:r>
            <w:r w:rsidR="00EB15FC" w:rsidRPr="00B86706">
              <w:rPr>
                <w:szCs w:val="20"/>
              </w:rPr>
              <w:t>s</w:t>
            </w:r>
          </w:p>
          <w:p w:rsidR="00141AB1" w:rsidRPr="00B86706" w:rsidRDefault="00141AB1" w:rsidP="001549AE">
            <w:pPr>
              <w:rPr>
                <w:szCs w:val="20"/>
              </w:rPr>
            </w:pPr>
            <w:r w:rsidRPr="00B86706">
              <w:rPr>
                <w:szCs w:val="20"/>
              </w:rPr>
              <w:t>Project Coordinator</w:t>
            </w:r>
            <w:r w:rsidR="0000412C">
              <w:rPr>
                <w:szCs w:val="20"/>
              </w:rPr>
              <w:t>s</w:t>
            </w:r>
          </w:p>
        </w:tc>
        <w:tc>
          <w:tcPr>
            <w:tcW w:w="1962" w:type="dxa"/>
          </w:tcPr>
          <w:p w:rsidR="001549AE" w:rsidRPr="00B86706" w:rsidRDefault="006C70F4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CalSWEC can pay for or provide itself, faculty development inst</w:t>
            </w:r>
            <w:r w:rsidR="00D61C83">
              <w:rPr>
                <w:sz w:val="20"/>
                <w:szCs w:val="20"/>
              </w:rPr>
              <w:t>itutes for regions or statewide; in return we can positively influence the curricula.</w:t>
            </w:r>
          </w:p>
          <w:p w:rsidR="006C70F4" w:rsidRPr="00B86706" w:rsidRDefault="006C70F4" w:rsidP="001549AE">
            <w:pPr>
              <w:rPr>
                <w:sz w:val="20"/>
                <w:szCs w:val="20"/>
              </w:rPr>
            </w:pPr>
          </w:p>
          <w:p w:rsidR="006C70F4" w:rsidRPr="00B86706" w:rsidRDefault="006C70F4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CalSWEC does the footwork in creating the statewide research agenda and helps match researchers to counties who request assistance.</w:t>
            </w:r>
          </w:p>
          <w:p w:rsidR="00141AB1" w:rsidRPr="00B86706" w:rsidRDefault="00141AB1" w:rsidP="001549AE">
            <w:pPr>
              <w:rPr>
                <w:sz w:val="20"/>
                <w:szCs w:val="20"/>
              </w:rPr>
            </w:pPr>
          </w:p>
          <w:p w:rsidR="00141AB1" w:rsidRPr="00B86706" w:rsidRDefault="00141AB1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 xml:space="preserve">CalSWEC provides a forum for the Deans/Directors group to meet. </w:t>
            </w:r>
            <w:r w:rsidR="00D61C83">
              <w:rPr>
                <w:sz w:val="20"/>
                <w:szCs w:val="20"/>
              </w:rPr>
              <w:t xml:space="preserve">In return, </w:t>
            </w:r>
            <w:r w:rsidRPr="00B86706">
              <w:rPr>
                <w:sz w:val="20"/>
                <w:szCs w:val="20"/>
              </w:rPr>
              <w:t>Deans/Directors serve on CalSWEC Board.</w:t>
            </w:r>
          </w:p>
          <w:p w:rsidR="00141AB1" w:rsidRPr="00B86706" w:rsidRDefault="00141AB1" w:rsidP="001549AE">
            <w:pPr>
              <w:rPr>
                <w:sz w:val="20"/>
                <w:szCs w:val="20"/>
              </w:rPr>
            </w:pPr>
          </w:p>
          <w:p w:rsidR="00B86706" w:rsidRPr="00B86706" w:rsidRDefault="00B86706" w:rsidP="001549AE">
            <w:pPr>
              <w:rPr>
                <w:sz w:val="20"/>
                <w:szCs w:val="20"/>
              </w:rPr>
            </w:pPr>
          </w:p>
          <w:p w:rsidR="00B86706" w:rsidRDefault="00B86706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Default="009D69B2" w:rsidP="001549AE">
            <w:pPr>
              <w:rPr>
                <w:sz w:val="20"/>
                <w:szCs w:val="20"/>
              </w:rPr>
            </w:pPr>
          </w:p>
          <w:p w:rsidR="009D69B2" w:rsidRPr="00B86706" w:rsidRDefault="009D69B2" w:rsidP="001549AE">
            <w:pPr>
              <w:rPr>
                <w:sz w:val="20"/>
                <w:szCs w:val="20"/>
              </w:rPr>
            </w:pPr>
          </w:p>
          <w:p w:rsidR="00B86706" w:rsidRPr="00B86706" w:rsidRDefault="00B86706" w:rsidP="001549AE">
            <w:pPr>
              <w:rPr>
                <w:sz w:val="20"/>
                <w:szCs w:val="20"/>
              </w:rPr>
            </w:pPr>
          </w:p>
          <w:p w:rsidR="00B86706" w:rsidRPr="00B86706" w:rsidRDefault="00B86706" w:rsidP="001549AE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</w:tcPr>
          <w:p w:rsidR="001549AE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Match</w:t>
            </w:r>
            <w:r w:rsidR="001673C7">
              <w:rPr>
                <w:sz w:val="20"/>
                <w:szCs w:val="20"/>
              </w:rPr>
              <w:t xml:space="preserve"> of indirect costs foregone to support the stipend program.</w:t>
            </w:r>
          </w:p>
          <w:p w:rsidR="00393403" w:rsidRDefault="00393403" w:rsidP="001549AE">
            <w:pPr>
              <w:rPr>
                <w:sz w:val="20"/>
                <w:szCs w:val="20"/>
              </w:rPr>
            </w:pPr>
          </w:p>
          <w:p w:rsidR="001673C7" w:rsidRPr="00B86706" w:rsidRDefault="001673C7" w:rsidP="001549AE">
            <w:pPr>
              <w:rPr>
                <w:sz w:val="20"/>
                <w:szCs w:val="20"/>
              </w:rPr>
            </w:pP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Research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Publications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Presentations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 xml:space="preserve">Screening </w:t>
            </w:r>
            <w:r w:rsidR="001673C7">
              <w:rPr>
                <w:sz w:val="20"/>
                <w:szCs w:val="20"/>
              </w:rPr>
              <w:t xml:space="preserve">students for </w:t>
            </w:r>
            <w:r w:rsidRPr="00B86706">
              <w:rPr>
                <w:sz w:val="20"/>
                <w:szCs w:val="20"/>
              </w:rPr>
              <w:t>admissions</w:t>
            </w:r>
            <w:r w:rsidR="001673C7">
              <w:rPr>
                <w:sz w:val="20"/>
                <w:szCs w:val="20"/>
              </w:rPr>
              <w:t xml:space="preserve"> for suitability for public child welfare work. </w:t>
            </w:r>
          </w:p>
        </w:tc>
        <w:tc>
          <w:tcPr>
            <w:tcW w:w="2123" w:type="dxa"/>
          </w:tcPr>
          <w:p w:rsidR="001549AE" w:rsidRPr="00B86706" w:rsidRDefault="00FC3A0B" w:rsidP="00FC3A0B">
            <w:pPr>
              <w:rPr>
                <w:sz w:val="20"/>
                <w:szCs w:val="20"/>
              </w:rPr>
            </w:pPr>
            <w:r w:rsidRPr="00B8670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A030D8" wp14:editId="0C7E9B20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2503804</wp:posOffset>
                      </wp:positionV>
                      <wp:extent cx="2028825" cy="220027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2200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057" w:rsidRPr="00B86706" w:rsidRDefault="002E70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6706">
                                    <w:rPr>
                                      <w:sz w:val="20"/>
                                      <w:szCs w:val="20"/>
                                    </w:rPr>
                                    <w:t>School offers to appoint county Field Coordinator as lecturer and pays for salary, while County continues to pay for benefits. (</w:t>
                                  </w:r>
                                  <w:proofErr w:type="spellStart"/>
                                  <w:r w:rsidRPr="00B86706">
                                    <w:rPr>
                                      <w:sz w:val="20"/>
                                      <w:szCs w:val="20"/>
                                    </w:rPr>
                                    <w:t>CoCo</w:t>
                                  </w:r>
                                  <w:proofErr w:type="spellEnd"/>
                                  <w:r w:rsidRPr="00B86706">
                                    <w:rPr>
                                      <w:sz w:val="20"/>
                                      <w:szCs w:val="20"/>
                                    </w:rPr>
                                    <w:t xml:space="preserve"> County) Note: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1) </w:t>
                                  </w:r>
                                  <w:r w:rsidRPr="00B86706">
                                    <w:rPr>
                                      <w:sz w:val="20"/>
                                      <w:szCs w:val="20"/>
                                    </w:rPr>
                                    <w:t>This exchange requires a well-defined job description on both the u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niversity and county sides, 2) We have to wait and see if this option is still on the table as a result of realignment.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.55pt;margin-top:197.15pt;width:159.7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">
                      <v:textbox>
                        <w:txbxContent>
                          <w:p w:rsidR="002E7057" w:rsidRPr="00B86706" w:rsidRDefault="002E70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86706">
                              <w:rPr>
                                <w:sz w:val="20"/>
                                <w:szCs w:val="20"/>
                              </w:rPr>
                              <w:t>School offers to appoint county Field Coordinator as lecturer and pays for salary, while County continues to pay for benefits. (</w:t>
                            </w:r>
                            <w:proofErr w:type="spellStart"/>
                            <w:r w:rsidRPr="00B86706">
                              <w:rPr>
                                <w:sz w:val="20"/>
                                <w:szCs w:val="20"/>
                              </w:rPr>
                              <w:t>CoCo</w:t>
                            </w:r>
                            <w:proofErr w:type="spellEnd"/>
                            <w:r w:rsidRPr="00B86706">
                              <w:rPr>
                                <w:sz w:val="20"/>
                                <w:szCs w:val="20"/>
                              </w:rPr>
                              <w:t xml:space="preserve"> County) Note: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1) </w:t>
                            </w:r>
                            <w:r w:rsidRPr="00B86706">
                              <w:rPr>
                                <w:sz w:val="20"/>
                                <w:szCs w:val="20"/>
                              </w:rPr>
                              <w:t>This exchange requires a well-defined job description on both the 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niversity and county sides, 2) We have to wait and see if this option is still on the table as a result of realignment.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AB1" w:rsidRPr="00B86706">
              <w:rPr>
                <w:sz w:val="20"/>
                <w:szCs w:val="20"/>
              </w:rPr>
              <w:t xml:space="preserve">School provides integrative field seminar which focuses on the competencies and relates them to students’ field experiences, involving the field instructors in picking the specific competencies. </w:t>
            </w:r>
            <w:r w:rsidR="00B86706" w:rsidRPr="00B86706">
              <w:rPr>
                <w:sz w:val="20"/>
                <w:szCs w:val="20"/>
              </w:rPr>
              <w:t xml:space="preserve">Field instructors do not have to worry about whether they are addressing specific competencies in the field. </w:t>
            </w:r>
            <w:r w:rsidR="00141AB1" w:rsidRPr="00B86706">
              <w:rPr>
                <w:sz w:val="20"/>
                <w:szCs w:val="20"/>
              </w:rPr>
              <w:t>(USC)</w:t>
            </w:r>
          </w:p>
        </w:tc>
        <w:tc>
          <w:tcPr>
            <w:tcW w:w="2366" w:type="dxa"/>
          </w:tcPr>
          <w:p w:rsidR="001549AE" w:rsidRPr="00B86706" w:rsidRDefault="001549AE" w:rsidP="00FC3A0B">
            <w:pPr>
              <w:rPr>
                <w:sz w:val="20"/>
                <w:szCs w:val="20"/>
              </w:rPr>
            </w:pPr>
          </w:p>
        </w:tc>
        <w:tc>
          <w:tcPr>
            <w:tcW w:w="2270" w:type="dxa"/>
          </w:tcPr>
          <w:p w:rsidR="001549AE" w:rsidRPr="00B86706" w:rsidRDefault="00FC3A0B" w:rsidP="00FC3A0B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 xml:space="preserve">School creates small groups of co-located students requiring them to investigate a practice problem important to child welfare practice in that county.  </w:t>
            </w:r>
            <w:r w:rsidR="00A23545">
              <w:rPr>
                <w:sz w:val="20"/>
                <w:szCs w:val="20"/>
              </w:rPr>
              <w:t>In return</w:t>
            </w:r>
            <w:r w:rsidR="00854BF5">
              <w:rPr>
                <w:sz w:val="20"/>
                <w:szCs w:val="20"/>
              </w:rPr>
              <w:t>, s</w:t>
            </w:r>
            <w:r w:rsidRPr="00B86706">
              <w:rPr>
                <w:sz w:val="20"/>
                <w:szCs w:val="20"/>
              </w:rPr>
              <w:t xml:space="preserve">chool holds sessions with FIs to help them refresh their research skills </w:t>
            </w:r>
            <w:r w:rsidR="00854BF5">
              <w:rPr>
                <w:sz w:val="20"/>
                <w:szCs w:val="20"/>
              </w:rPr>
              <w:t xml:space="preserve">(for example, to formulate a researchable question) </w:t>
            </w:r>
            <w:r w:rsidRPr="00B86706">
              <w:rPr>
                <w:sz w:val="20"/>
                <w:szCs w:val="20"/>
              </w:rPr>
              <w:t>and use data available to them at their agency (SJSU).</w:t>
            </w:r>
          </w:p>
          <w:p w:rsidR="00141AB1" w:rsidRPr="00B86706" w:rsidRDefault="00141AB1" w:rsidP="00FC3A0B">
            <w:pPr>
              <w:rPr>
                <w:sz w:val="20"/>
                <w:szCs w:val="20"/>
              </w:rPr>
            </w:pPr>
          </w:p>
          <w:p w:rsidR="00141AB1" w:rsidRPr="00B86706" w:rsidRDefault="00141AB1" w:rsidP="00FC3A0B">
            <w:pPr>
              <w:rPr>
                <w:sz w:val="20"/>
                <w:szCs w:val="20"/>
              </w:rPr>
            </w:pPr>
          </w:p>
        </w:tc>
        <w:tc>
          <w:tcPr>
            <w:tcW w:w="1888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Instructors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Curriculum</w:t>
            </w:r>
          </w:p>
          <w:p w:rsidR="001549AE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Relationships with counties</w:t>
            </w:r>
          </w:p>
          <w:p w:rsidR="00D61C83" w:rsidRDefault="00D61C83" w:rsidP="001549AE">
            <w:pPr>
              <w:rPr>
                <w:sz w:val="20"/>
                <w:szCs w:val="20"/>
              </w:rPr>
            </w:pPr>
          </w:p>
          <w:p w:rsidR="00D61C83" w:rsidRPr="00B86706" w:rsidRDefault="00D61C83" w:rsidP="00154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Academies provide mentors to counties.  Can they provide field instructors as well?</w:t>
            </w:r>
          </w:p>
        </w:tc>
      </w:tr>
      <w:tr w:rsidR="001549AE" w:rsidTr="00D7571E">
        <w:tc>
          <w:tcPr>
            <w:tcW w:w="1884" w:type="dxa"/>
            <w:shd w:val="clear" w:color="auto" w:fill="DAEEF3" w:themeFill="accent5" w:themeFillTint="33"/>
          </w:tcPr>
          <w:p w:rsidR="001549AE" w:rsidRDefault="001549AE" w:rsidP="001549AE">
            <w:r>
              <w:lastRenderedPageBreak/>
              <w:t>Agency service personnel</w:t>
            </w:r>
            <w:r w:rsidR="00EB15FC">
              <w:t>:</w:t>
            </w:r>
          </w:p>
          <w:p w:rsidR="001549AE" w:rsidRDefault="001549AE" w:rsidP="001549AE"/>
          <w:p w:rsidR="00EB15FC" w:rsidRDefault="00EB15FC" w:rsidP="001549AE">
            <w:r>
              <w:t>Agency Administration</w:t>
            </w:r>
          </w:p>
          <w:p w:rsidR="00EB15FC" w:rsidRDefault="00EB15FC" w:rsidP="001549AE">
            <w:r>
              <w:t>Managers</w:t>
            </w:r>
          </w:p>
          <w:p w:rsidR="00EB15FC" w:rsidRDefault="00EB15FC" w:rsidP="001549AE">
            <w:r>
              <w:t>Supervisors</w:t>
            </w:r>
          </w:p>
          <w:p w:rsidR="00EB15FC" w:rsidRDefault="00EB15FC" w:rsidP="001549AE">
            <w:r>
              <w:t>Line Workers</w:t>
            </w:r>
          </w:p>
          <w:p w:rsidR="001549AE" w:rsidRDefault="001549AE" w:rsidP="001549AE">
            <w:r>
              <w:t>Field Coordinator</w:t>
            </w:r>
            <w:r w:rsidR="00EB15FC">
              <w:t>s</w:t>
            </w:r>
          </w:p>
          <w:p w:rsidR="001549AE" w:rsidRDefault="001549AE" w:rsidP="001549AE">
            <w:r>
              <w:t>Field Instructor</w:t>
            </w:r>
            <w:r w:rsidR="00EB15FC">
              <w:t>s</w:t>
            </w:r>
          </w:p>
          <w:p w:rsidR="001549AE" w:rsidRDefault="001549AE" w:rsidP="001549AE">
            <w:r>
              <w:t>Work/Task leader</w:t>
            </w:r>
            <w:r w:rsidR="00EB15FC">
              <w:t>s</w:t>
            </w:r>
          </w:p>
          <w:p w:rsidR="00393403" w:rsidRDefault="00393403" w:rsidP="001549AE">
            <w:r>
              <w:t>Alumni</w:t>
            </w:r>
          </w:p>
        </w:tc>
        <w:tc>
          <w:tcPr>
            <w:tcW w:w="1962" w:type="dxa"/>
          </w:tcPr>
          <w:p w:rsidR="001549AE" w:rsidRPr="00B86706" w:rsidRDefault="006C70F4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CalSWEC can facilitate a group of Universities to coordinate aspects of the field placement process:  their academic calendars, their learning agreements and evaluation forms.</w:t>
            </w:r>
          </w:p>
          <w:p w:rsidR="00B86706" w:rsidRPr="00B86706" w:rsidRDefault="00B86706" w:rsidP="001549AE">
            <w:pPr>
              <w:rPr>
                <w:sz w:val="20"/>
              </w:rPr>
            </w:pPr>
          </w:p>
          <w:p w:rsidR="00B86706" w:rsidRPr="00B86706" w:rsidRDefault="00B86706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 xml:space="preserve">Coordinating students from multiple schools enriches staff </w:t>
            </w:r>
            <w:r w:rsidR="00A23545">
              <w:rPr>
                <w:sz w:val="20"/>
              </w:rPr>
              <w:t xml:space="preserve">&amp; student </w:t>
            </w:r>
            <w:r w:rsidRPr="00B86706">
              <w:rPr>
                <w:sz w:val="20"/>
              </w:rPr>
              <w:t>experience, broadens the county hiring base (</w:t>
            </w:r>
            <w:proofErr w:type="spellStart"/>
            <w:r w:rsidRPr="00B86706">
              <w:rPr>
                <w:sz w:val="20"/>
              </w:rPr>
              <w:t>CoCo</w:t>
            </w:r>
            <w:proofErr w:type="spellEnd"/>
            <w:r w:rsidRPr="00B86706">
              <w:rPr>
                <w:sz w:val="20"/>
              </w:rPr>
              <w:t xml:space="preserve"> County)</w:t>
            </w:r>
            <w:r w:rsidR="00A23545">
              <w:rPr>
                <w:sz w:val="20"/>
              </w:rPr>
              <w:t xml:space="preserve"> Note: this can also backfire if the policies and procedures of the schools are not in synch.</w:t>
            </w:r>
          </w:p>
          <w:p w:rsidR="001549AE" w:rsidRPr="00B86706" w:rsidRDefault="001549AE" w:rsidP="001549AE">
            <w:pPr>
              <w:rPr>
                <w:sz w:val="20"/>
              </w:rPr>
            </w:pPr>
          </w:p>
        </w:tc>
        <w:tc>
          <w:tcPr>
            <w:tcW w:w="2123" w:type="dxa"/>
          </w:tcPr>
          <w:p w:rsidR="001549AE" w:rsidRDefault="001549AE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Service learning support resources</w:t>
            </w:r>
            <w:r w:rsidR="00393403">
              <w:rPr>
                <w:sz w:val="20"/>
              </w:rPr>
              <w:t>.</w:t>
            </w:r>
          </w:p>
          <w:p w:rsidR="00393403" w:rsidRPr="00B86706" w:rsidRDefault="00393403" w:rsidP="001549AE">
            <w:pPr>
              <w:rPr>
                <w:sz w:val="20"/>
              </w:rPr>
            </w:pPr>
          </w:p>
          <w:p w:rsidR="00393403" w:rsidRDefault="00393403" w:rsidP="003934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professional development opportunities.</w:t>
            </w:r>
          </w:p>
          <w:p w:rsidR="001549AE" w:rsidRPr="00B86706" w:rsidRDefault="001549AE" w:rsidP="001549AE">
            <w:pPr>
              <w:rPr>
                <w:sz w:val="20"/>
              </w:rPr>
            </w:pPr>
          </w:p>
        </w:tc>
        <w:tc>
          <w:tcPr>
            <w:tcW w:w="2123" w:type="dxa"/>
          </w:tcPr>
          <w:p w:rsidR="001549AE" w:rsidRPr="00B86706" w:rsidRDefault="001A317F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 xml:space="preserve">Field instructor recognition day </w:t>
            </w:r>
            <w:r w:rsidR="00D11623" w:rsidRPr="00B86706">
              <w:rPr>
                <w:sz w:val="20"/>
              </w:rPr>
              <w:t xml:space="preserve">at the U. </w:t>
            </w:r>
            <w:r w:rsidRPr="00B86706">
              <w:rPr>
                <w:sz w:val="20"/>
              </w:rPr>
              <w:t xml:space="preserve">provides </w:t>
            </w:r>
            <w:r w:rsidR="00D11623" w:rsidRPr="00B86706">
              <w:rPr>
                <w:sz w:val="20"/>
              </w:rPr>
              <w:t xml:space="preserve">lunch and free CEUs to attendees </w:t>
            </w:r>
            <w:r w:rsidR="00D11623" w:rsidRPr="00B86706">
              <w:rPr>
                <w:i/>
                <w:sz w:val="20"/>
              </w:rPr>
              <w:t>at one of the counties</w:t>
            </w:r>
            <w:r w:rsidR="00D11623" w:rsidRPr="00B86706">
              <w:rPr>
                <w:sz w:val="20"/>
              </w:rPr>
              <w:t>.</w:t>
            </w:r>
          </w:p>
          <w:p w:rsidR="00D11623" w:rsidRPr="00B86706" w:rsidRDefault="00D11623" w:rsidP="001549AE">
            <w:pPr>
              <w:rPr>
                <w:sz w:val="20"/>
              </w:rPr>
            </w:pPr>
          </w:p>
          <w:p w:rsidR="00D11623" w:rsidRPr="00B86706" w:rsidRDefault="00D11623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School offers a day-long CE session on how to find resources for practice on the internet and in the libraries at the school’s computer lab. Attendees come away with a portfolio about their particular issue. (UCB)</w:t>
            </w:r>
          </w:p>
          <w:p w:rsidR="00D11623" w:rsidRPr="00B86706" w:rsidRDefault="00D11623" w:rsidP="001549AE">
            <w:pPr>
              <w:rPr>
                <w:sz w:val="20"/>
              </w:rPr>
            </w:pPr>
          </w:p>
        </w:tc>
        <w:tc>
          <w:tcPr>
            <w:tcW w:w="2366" w:type="dxa"/>
          </w:tcPr>
          <w:p w:rsidR="001549AE" w:rsidRPr="00B86706" w:rsidRDefault="00FC3A0B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Agency administration obtains written commitment from participating FIs to attend the project sessions regularly.  Participants are advised that their efforts would benefit them when apply</w:t>
            </w:r>
            <w:r w:rsidR="00AF1C7F" w:rsidRPr="00B86706">
              <w:rPr>
                <w:sz w:val="20"/>
              </w:rPr>
              <w:t>ing for promotions. (CSU Chico).</w:t>
            </w:r>
          </w:p>
          <w:p w:rsidR="00AF1C7F" w:rsidRPr="00B86706" w:rsidRDefault="00AF1C7F" w:rsidP="001549AE">
            <w:pPr>
              <w:rPr>
                <w:sz w:val="20"/>
              </w:rPr>
            </w:pPr>
          </w:p>
          <w:p w:rsidR="00AF1C7F" w:rsidRPr="00B86706" w:rsidRDefault="00AF1C7F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Having a field unit means that the field coordinator (needs to be a well-respected county employee) can redistribute cases and ease the workload of workers by taking on the actual case management in partnership with students (</w:t>
            </w:r>
            <w:proofErr w:type="spellStart"/>
            <w:r w:rsidRPr="00B86706">
              <w:rPr>
                <w:sz w:val="20"/>
              </w:rPr>
              <w:t>CoCo</w:t>
            </w:r>
            <w:proofErr w:type="spellEnd"/>
            <w:r w:rsidRPr="00B86706">
              <w:rPr>
                <w:sz w:val="20"/>
              </w:rPr>
              <w:t xml:space="preserve"> County).</w:t>
            </w:r>
          </w:p>
          <w:p w:rsidR="001549AE" w:rsidRPr="00B86706" w:rsidRDefault="001549AE" w:rsidP="001549AE">
            <w:pPr>
              <w:rPr>
                <w:sz w:val="20"/>
              </w:rPr>
            </w:pPr>
          </w:p>
        </w:tc>
        <w:tc>
          <w:tcPr>
            <w:tcW w:w="2270" w:type="dxa"/>
          </w:tcPr>
          <w:p w:rsidR="00EB15FC" w:rsidRPr="00B86706" w:rsidRDefault="00285C00" w:rsidP="00AF1C7F">
            <w:pPr>
              <w:rPr>
                <w:sz w:val="20"/>
              </w:rPr>
            </w:pPr>
            <w:r w:rsidRPr="00B86706">
              <w:rPr>
                <w:sz w:val="20"/>
              </w:rPr>
              <w:t>County FI or coordinator helps students with their community service project (not research), such as arranging the holiday party donations for the foster children (</w:t>
            </w:r>
            <w:proofErr w:type="spellStart"/>
            <w:r w:rsidRPr="00B86706">
              <w:rPr>
                <w:sz w:val="20"/>
              </w:rPr>
              <w:t>CoCo</w:t>
            </w:r>
            <w:proofErr w:type="spellEnd"/>
            <w:r w:rsidR="00935749">
              <w:rPr>
                <w:sz w:val="20"/>
              </w:rPr>
              <w:t xml:space="preserve"> </w:t>
            </w:r>
            <w:r w:rsidRPr="00B86706">
              <w:rPr>
                <w:sz w:val="20"/>
              </w:rPr>
              <w:t xml:space="preserve">County) or </w:t>
            </w:r>
            <w:r w:rsidR="00AF1C7F" w:rsidRPr="00B86706">
              <w:rPr>
                <w:sz w:val="20"/>
              </w:rPr>
              <w:t xml:space="preserve">creating a group meeting for clients in a particular neighborhood at a safe place in the neighborhood, or creating a Grandma’s kinship care group and unit at a community location (Sac County).  </w:t>
            </w:r>
          </w:p>
          <w:p w:rsidR="00EB15FC" w:rsidRPr="00B86706" w:rsidRDefault="00EB15FC" w:rsidP="00AF1C7F">
            <w:pPr>
              <w:rPr>
                <w:sz w:val="20"/>
              </w:rPr>
            </w:pPr>
          </w:p>
          <w:p w:rsidR="001549AE" w:rsidRPr="00B86706" w:rsidRDefault="00AF1C7F" w:rsidP="00AF1C7F">
            <w:pPr>
              <w:rPr>
                <w:sz w:val="20"/>
              </w:rPr>
            </w:pPr>
            <w:r w:rsidRPr="00B86706">
              <w:rPr>
                <w:sz w:val="20"/>
              </w:rPr>
              <w:t xml:space="preserve">Examples in this category are particularly important for employee-students to </w:t>
            </w:r>
            <w:r w:rsidR="00EB15FC" w:rsidRPr="00B86706">
              <w:rPr>
                <w:sz w:val="20"/>
              </w:rPr>
              <w:t xml:space="preserve">advance their knowledge and </w:t>
            </w:r>
            <w:r w:rsidRPr="00B86706">
              <w:rPr>
                <w:sz w:val="20"/>
              </w:rPr>
              <w:t>show their creativity.</w:t>
            </w:r>
          </w:p>
          <w:p w:rsidR="00141AB1" w:rsidRPr="00B86706" w:rsidRDefault="00141AB1" w:rsidP="00AF1C7F">
            <w:pPr>
              <w:rPr>
                <w:sz w:val="20"/>
              </w:rPr>
            </w:pPr>
          </w:p>
          <w:p w:rsidR="00141AB1" w:rsidRPr="00B86706" w:rsidRDefault="00141AB1" w:rsidP="00EB15FC">
            <w:pPr>
              <w:rPr>
                <w:sz w:val="20"/>
              </w:rPr>
            </w:pPr>
            <w:r w:rsidRPr="00B86706">
              <w:rPr>
                <w:sz w:val="20"/>
              </w:rPr>
              <w:t xml:space="preserve">Orientation to </w:t>
            </w:r>
            <w:r w:rsidR="00EB15FC" w:rsidRPr="00B86706">
              <w:rPr>
                <w:sz w:val="20"/>
              </w:rPr>
              <w:t>c</w:t>
            </w:r>
            <w:r w:rsidRPr="00B86706">
              <w:rPr>
                <w:sz w:val="20"/>
              </w:rPr>
              <w:t>ounty policy provided to the students as a group, so the field instructor doesn’t have to do this.</w:t>
            </w:r>
          </w:p>
        </w:tc>
        <w:tc>
          <w:tcPr>
            <w:tcW w:w="1888" w:type="dxa"/>
          </w:tcPr>
          <w:p w:rsidR="001549AE" w:rsidRPr="00B86706" w:rsidRDefault="001549AE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Instructors</w:t>
            </w:r>
          </w:p>
          <w:p w:rsidR="001549AE" w:rsidRPr="00B86706" w:rsidRDefault="001549AE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Field Unit leaders</w:t>
            </w:r>
          </w:p>
          <w:p w:rsidR="001549AE" w:rsidRPr="00B86706" w:rsidRDefault="001549AE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Space</w:t>
            </w:r>
          </w:p>
          <w:p w:rsidR="001549AE" w:rsidRPr="00B86706" w:rsidRDefault="001549AE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Mentors</w:t>
            </w:r>
          </w:p>
          <w:p w:rsidR="001549AE" w:rsidRDefault="001549AE" w:rsidP="001549AE">
            <w:pPr>
              <w:rPr>
                <w:sz w:val="20"/>
              </w:rPr>
            </w:pPr>
            <w:r w:rsidRPr="00B86706">
              <w:rPr>
                <w:sz w:val="20"/>
              </w:rPr>
              <w:t>Websites</w:t>
            </w:r>
          </w:p>
          <w:p w:rsidR="00284466" w:rsidRDefault="00284466" w:rsidP="001549AE">
            <w:pPr>
              <w:rPr>
                <w:sz w:val="20"/>
              </w:rPr>
            </w:pPr>
          </w:p>
          <w:p w:rsidR="00284466" w:rsidRDefault="00284466" w:rsidP="001549AE">
            <w:pPr>
              <w:rPr>
                <w:sz w:val="20"/>
              </w:rPr>
            </w:pPr>
            <w:r>
              <w:rPr>
                <w:sz w:val="20"/>
              </w:rPr>
              <w:t>Academies provide mentoring for workers, supervisors, or students.</w:t>
            </w:r>
          </w:p>
          <w:p w:rsidR="00284466" w:rsidRDefault="00284466" w:rsidP="001549AE">
            <w:pPr>
              <w:rPr>
                <w:sz w:val="20"/>
              </w:rPr>
            </w:pPr>
          </w:p>
          <w:p w:rsidR="00284466" w:rsidRPr="00B86706" w:rsidRDefault="00284466" w:rsidP="001549AE">
            <w:pPr>
              <w:rPr>
                <w:sz w:val="20"/>
              </w:rPr>
            </w:pPr>
            <w:r>
              <w:rPr>
                <w:sz w:val="20"/>
              </w:rPr>
              <w:t>Academies establish ongoing student field units and pay for personnel in return for counties providing logistical support.</w:t>
            </w:r>
          </w:p>
        </w:tc>
      </w:tr>
      <w:tr w:rsidR="001549AE" w:rsidTr="00D7571E">
        <w:tc>
          <w:tcPr>
            <w:tcW w:w="1884" w:type="dxa"/>
            <w:shd w:val="clear" w:color="auto" w:fill="DAEEF3" w:themeFill="accent5" w:themeFillTint="33"/>
          </w:tcPr>
          <w:p w:rsidR="001549AE" w:rsidRDefault="001549AE" w:rsidP="001549AE">
            <w:r>
              <w:t>Students</w:t>
            </w:r>
            <w:r w:rsidR="00EB15FC">
              <w:t>:</w:t>
            </w:r>
          </w:p>
          <w:p w:rsidR="001549AE" w:rsidRDefault="001549AE" w:rsidP="001549AE"/>
          <w:p w:rsidR="001549AE" w:rsidRDefault="001549AE" w:rsidP="001549AE">
            <w:r>
              <w:t>BSW students</w:t>
            </w:r>
          </w:p>
          <w:p w:rsidR="001549AE" w:rsidRDefault="001549AE" w:rsidP="001549AE">
            <w:r>
              <w:t>1</w:t>
            </w:r>
            <w:r w:rsidRPr="000738E0">
              <w:rPr>
                <w:vertAlign w:val="superscript"/>
              </w:rPr>
              <w:t>st</w:t>
            </w:r>
            <w:r>
              <w:t xml:space="preserve"> year MSWs</w:t>
            </w:r>
          </w:p>
          <w:p w:rsidR="001549AE" w:rsidRDefault="001549AE" w:rsidP="001549AE">
            <w:r>
              <w:t>2</w:t>
            </w:r>
            <w:r w:rsidRPr="000738E0">
              <w:rPr>
                <w:vertAlign w:val="superscript"/>
              </w:rPr>
              <w:t>nd</w:t>
            </w:r>
            <w:r>
              <w:t xml:space="preserve"> Year MSWs</w:t>
            </w:r>
          </w:p>
        </w:tc>
        <w:tc>
          <w:tcPr>
            <w:tcW w:w="1962" w:type="dxa"/>
          </w:tcPr>
          <w:p w:rsidR="00EB15FC" w:rsidRPr="00B86706" w:rsidRDefault="00EB15FC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 xml:space="preserve">Financial support to enable student graduation  from accredited degree programs: 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Stipends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Tuition, fees, travel &amp; books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Student day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Evaluation resources</w:t>
            </w:r>
          </w:p>
          <w:p w:rsidR="00EB15FC" w:rsidRPr="00B86706" w:rsidRDefault="00EB15FC" w:rsidP="001549AE">
            <w:pPr>
              <w:rPr>
                <w:sz w:val="20"/>
                <w:szCs w:val="20"/>
              </w:rPr>
            </w:pPr>
          </w:p>
          <w:p w:rsidR="001549AE" w:rsidRPr="00B86706" w:rsidRDefault="006C70F4" w:rsidP="00A23545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 xml:space="preserve">CalSWEC creates and maintains current job resources for students and </w:t>
            </w:r>
            <w:r w:rsidR="00A23545">
              <w:rPr>
                <w:sz w:val="20"/>
                <w:szCs w:val="20"/>
              </w:rPr>
              <w:t>fast up-to-date ways</w:t>
            </w:r>
            <w:r w:rsidRPr="00B86706">
              <w:rPr>
                <w:sz w:val="20"/>
                <w:szCs w:val="20"/>
              </w:rPr>
              <w:t xml:space="preserve"> of communicating to them: e.g., Twitter and Facebook.</w:t>
            </w:r>
          </w:p>
        </w:tc>
        <w:tc>
          <w:tcPr>
            <w:tcW w:w="2123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lastRenderedPageBreak/>
              <w:t>Library resources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Degree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Counseling resources: ESL office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Re-entry office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Child care</w:t>
            </w:r>
          </w:p>
        </w:tc>
        <w:tc>
          <w:tcPr>
            <w:tcW w:w="2123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Curriculum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Classes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Social welfare library</w:t>
            </w:r>
          </w:p>
          <w:p w:rsidR="001549AE" w:rsidRPr="00B86706" w:rsidRDefault="00EB15FC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Program Advising/</w:t>
            </w:r>
            <w:r w:rsidR="001549AE" w:rsidRPr="00B86706">
              <w:rPr>
                <w:sz w:val="20"/>
                <w:szCs w:val="20"/>
              </w:rPr>
              <w:t>Counseling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Field seminars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Travel grants</w:t>
            </w:r>
          </w:p>
        </w:tc>
        <w:tc>
          <w:tcPr>
            <w:tcW w:w="2366" w:type="dxa"/>
          </w:tcPr>
          <w:p w:rsidR="001549AE" w:rsidRPr="00B86706" w:rsidRDefault="00FC3A0B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Agency provides separate desks and phones for students so their workspace is j</w:t>
            </w:r>
            <w:r w:rsidR="001A317F" w:rsidRPr="00B86706">
              <w:rPr>
                <w:sz w:val="20"/>
                <w:szCs w:val="20"/>
              </w:rPr>
              <w:t>ust like the workers’ workspace (</w:t>
            </w:r>
            <w:proofErr w:type="spellStart"/>
            <w:r w:rsidR="001A317F" w:rsidRPr="00B86706">
              <w:rPr>
                <w:sz w:val="20"/>
                <w:szCs w:val="20"/>
              </w:rPr>
              <w:t>CoCo</w:t>
            </w:r>
            <w:proofErr w:type="spellEnd"/>
            <w:r w:rsidR="001A317F" w:rsidRPr="00B86706">
              <w:rPr>
                <w:sz w:val="20"/>
                <w:szCs w:val="20"/>
              </w:rPr>
              <w:t xml:space="preserve"> County).</w:t>
            </w:r>
            <w:r w:rsidR="00AF1C7F" w:rsidRPr="00B86706">
              <w:rPr>
                <w:sz w:val="20"/>
                <w:szCs w:val="20"/>
              </w:rPr>
              <w:t xml:space="preserve">  Students feel respected and this increases perceived organizational support </w:t>
            </w:r>
            <w:r w:rsidR="00AF1C7F" w:rsidRPr="00B86706">
              <w:rPr>
                <w:sz w:val="20"/>
                <w:szCs w:val="20"/>
              </w:rPr>
              <w:lastRenderedPageBreak/>
              <w:t>(attitude)</w:t>
            </w:r>
            <w:r w:rsidR="009D69B2">
              <w:rPr>
                <w:sz w:val="20"/>
                <w:szCs w:val="20"/>
              </w:rPr>
              <w:t>.</w:t>
            </w:r>
          </w:p>
        </w:tc>
        <w:tc>
          <w:tcPr>
            <w:tcW w:w="2270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lastRenderedPageBreak/>
              <w:t xml:space="preserve">The field placement 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 xml:space="preserve">Time 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Supervision</w:t>
            </w:r>
          </w:p>
          <w:p w:rsidR="00EB15FC" w:rsidRPr="00B86706" w:rsidRDefault="00EB15FC" w:rsidP="001549AE">
            <w:pPr>
              <w:rPr>
                <w:sz w:val="20"/>
                <w:szCs w:val="20"/>
              </w:rPr>
            </w:pPr>
          </w:p>
          <w:p w:rsidR="001549AE" w:rsidRPr="00B86706" w:rsidRDefault="00EB15FC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Clinical supervision provided to increase self-awareness of how they interact with clients.</w:t>
            </w:r>
          </w:p>
        </w:tc>
        <w:tc>
          <w:tcPr>
            <w:tcW w:w="1888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Opportunity to attend Core &amp; other training (?)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Instructors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Field Unit leaders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Space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Mentors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Websites</w:t>
            </w:r>
          </w:p>
        </w:tc>
      </w:tr>
      <w:tr w:rsidR="001549AE" w:rsidTr="00D7571E">
        <w:trPr>
          <w:trHeight w:val="1700"/>
        </w:trPr>
        <w:tc>
          <w:tcPr>
            <w:tcW w:w="1884" w:type="dxa"/>
            <w:shd w:val="clear" w:color="auto" w:fill="DAEEF3" w:themeFill="accent5" w:themeFillTint="33"/>
          </w:tcPr>
          <w:p w:rsidR="001549AE" w:rsidRDefault="009D69B2" w:rsidP="001549AE">
            <w:r>
              <w:lastRenderedPageBreak/>
              <w:t>Worker</w:t>
            </w:r>
            <w:r w:rsidR="00EB15FC">
              <w:t>s:</w:t>
            </w:r>
          </w:p>
          <w:p w:rsidR="001549AE" w:rsidRDefault="001549AE" w:rsidP="001549AE"/>
          <w:p w:rsidR="001549AE" w:rsidRDefault="001549AE" w:rsidP="001549AE">
            <w:r>
              <w:t>New hire</w:t>
            </w:r>
          </w:p>
          <w:p w:rsidR="001549AE" w:rsidRDefault="001549AE" w:rsidP="001549AE">
            <w:r>
              <w:t>2-3 years later</w:t>
            </w:r>
          </w:p>
          <w:p w:rsidR="001549AE" w:rsidRDefault="001549AE" w:rsidP="001549AE">
            <w:r>
              <w:t>5-6 years later</w:t>
            </w:r>
          </w:p>
          <w:p w:rsidR="001549AE" w:rsidRDefault="001549AE" w:rsidP="001549AE">
            <w:r>
              <w:t>8-10 Years later</w:t>
            </w:r>
          </w:p>
        </w:tc>
        <w:tc>
          <w:tcPr>
            <w:tcW w:w="1962" w:type="dxa"/>
          </w:tcPr>
          <w:p w:rsidR="00EB15FC" w:rsidRPr="00B86706" w:rsidRDefault="00EB15FC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Statewide in-service coordination so that CWWs can move from one county to another having had the same core curriculum.</w:t>
            </w:r>
          </w:p>
          <w:p w:rsidR="00EB15FC" w:rsidRDefault="00EB15FC" w:rsidP="001549AE">
            <w:pPr>
              <w:rPr>
                <w:sz w:val="20"/>
                <w:szCs w:val="20"/>
              </w:rPr>
            </w:pPr>
          </w:p>
          <w:p w:rsidR="00E51747" w:rsidRDefault="00E51747" w:rsidP="00154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Informational, accessible </w:t>
            </w:r>
            <w:r w:rsidRPr="00B86706">
              <w:rPr>
                <w:sz w:val="20"/>
                <w:szCs w:val="20"/>
              </w:rPr>
              <w:t>Websites</w:t>
            </w:r>
            <w:r>
              <w:rPr>
                <w:sz w:val="20"/>
                <w:szCs w:val="20"/>
              </w:rPr>
              <w:t xml:space="preserve"> and eLearning opportunities.</w:t>
            </w:r>
          </w:p>
          <w:p w:rsidR="00E51747" w:rsidRPr="00B86706" w:rsidRDefault="00E51747" w:rsidP="001549AE">
            <w:pPr>
              <w:rPr>
                <w:sz w:val="20"/>
                <w:szCs w:val="20"/>
              </w:rPr>
            </w:pPr>
          </w:p>
          <w:p w:rsidR="001549AE" w:rsidRPr="00B86706" w:rsidRDefault="00EB15FC" w:rsidP="009D69B2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Alumni professional development</w:t>
            </w:r>
            <w:r w:rsidR="009D69B2">
              <w:rPr>
                <w:sz w:val="20"/>
                <w:szCs w:val="20"/>
              </w:rPr>
              <w:t>/recognition in return for mentoring students, participating on interview panels.</w:t>
            </w:r>
          </w:p>
        </w:tc>
        <w:tc>
          <w:tcPr>
            <w:tcW w:w="2123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Adjunct faculty appointments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Guest lecturing</w:t>
            </w:r>
          </w:p>
        </w:tc>
        <w:tc>
          <w:tcPr>
            <w:tcW w:w="2123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Adjunct faculty appointments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Screening committee participation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Guest lecturing</w:t>
            </w:r>
          </w:p>
        </w:tc>
        <w:tc>
          <w:tcPr>
            <w:tcW w:w="2366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Physical space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Policy training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Connection between continuing education, field instruction, and promotions</w:t>
            </w:r>
          </w:p>
        </w:tc>
        <w:tc>
          <w:tcPr>
            <w:tcW w:w="2270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Lateral transfers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Licensure supervision hours</w:t>
            </w:r>
          </w:p>
          <w:p w:rsidR="00EB15FC" w:rsidRPr="00B86706" w:rsidRDefault="00EB15FC" w:rsidP="001549AE">
            <w:pPr>
              <w:rPr>
                <w:sz w:val="20"/>
                <w:szCs w:val="20"/>
              </w:rPr>
            </w:pPr>
          </w:p>
          <w:p w:rsidR="001549AE" w:rsidRPr="00B86706" w:rsidRDefault="001549AE" w:rsidP="00D61C83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 xml:space="preserve">Clinical supervision </w:t>
            </w:r>
            <w:r w:rsidR="00AF1C7F" w:rsidRPr="00B86706">
              <w:rPr>
                <w:sz w:val="20"/>
                <w:szCs w:val="20"/>
              </w:rPr>
              <w:t>provided to increase self-awarene</w:t>
            </w:r>
            <w:r w:rsidR="00EB15FC" w:rsidRPr="00B86706">
              <w:rPr>
                <w:sz w:val="20"/>
                <w:szCs w:val="20"/>
              </w:rPr>
              <w:t xml:space="preserve">ss of how </w:t>
            </w:r>
            <w:r w:rsidR="00D61C83">
              <w:rPr>
                <w:sz w:val="20"/>
                <w:szCs w:val="20"/>
              </w:rPr>
              <w:t>workers</w:t>
            </w:r>
            <w:r w:rsidR="00EB15FC" w:rsidRPr="00B86706">
              <w:rPr>
                <w:sz w:val="20"/>
                <w:szCs w:val="20"/>
              </w:rPr>
              <w:t xml:space="preserve"> interact with clients.</w:t>
            </w:r>
          </w:p>
        </w:tc>
        <w:tc>
          <w:tcPr>
            <w:tcW w:w="1888" w:type="dxa"/>
          </w:tcPr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Core curriculum</w:t>
            </w:r>
          </w:p>
          <w:p w:rsidR="001549AE" w:rsidRPr="00B86706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Advanced curriculum</w:t>
            </w:r>
          </w:p>
          <w:p w:rsidR="001549AE" w:rsidRDefault="001549AE" w:rsidP="001549AE">
            <w:pPr>
              <w:rPr>
                <w:sz w:val="20"/>
                <w:szCs w:val="20"/>
              </w:rPr>
            </w:pPr>
            <w:r w:rsidRPr="00B86706">
              <w:rPr>
                <w:sz w:val="20"/>
                <w:szCs w:val="20"/>
              </w:rPr>
              <w:t>Training in both of the above</w:t>
            </w:r>
            <w:r w:rsidR="00E51747">
              <w:rPr>
                <w:sz w:val="20"/>
                <w:szCs w:val="20"/>
              </w:rPr>
              <w:t>.</w:t>
            </w:r>
          </w:p>
          <w:p w:rsidR="00E51747" w:rsidRPr="00B86706" w:rsidRDefault="00E51747" w:rsidP="001549AE">
            <w:pPr>
              <w:rPr>
                <w:sz w:val="20"/>
                <w:szCs w:val="20"/>
              </w:rPr>
            </w:pPr>
          </w:p>
          <w:p w:rsidR="001549AE" w:rsidRPr="00B86706" w:rsidRDefault="00E51747" w:rsidP="00D61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Informational, accessible </w:t>
            </w:r>
            <w:r w:rsidR="001549AE" w:rsidRPr="00B86706">
              <w:rPr>
                <w:sz w:val="20"/>
                <w:szCs w:val="20"/>
              </w:rPr>
              <w:t>Websites</w:t>
            </w:r>
            <w:r>
              <w:rPr>
                <w:sz w:val="20"/>
                <w:szCs w:val="20"/>
              </w:rPr>
              <w:t xml:space="preserve"> and eLearning opportunities</w:t>
            </w:r>
            <w:r w:rsidR="00D61C83">
              <w:rPr>
                <w:sz w:val="20"/>
                <w:szCs w:val="20"/>
              </w:rPr>
              <w:t>.  Training at-your-desk accessible, efficient.</w:t>
            </w:r>
          </w:p>
        </w:tc>
      </w:tr>
    </w:tbl>
    <w:p w:rsidR="003806A9" w:rsidRDefault="00E91D5C" w:rsidP="00A11A4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B15FC" w:rsidRPr="00836EB0">
        <w:rPr>
          <w:sz w:val="24"/>
          <w:szCs w:val="24"/>
        </w:rPr>
        <w:t>he Project Coordinator position is a boundary spanner position</w:t>
      </w:r>
      <w:r w:rsidR="0000412C">
        <w:rPr>
          <w:sz w:val="24"/>
          <w:szCs w:val="24"/>
        </w:rPr>
        <w:t xml:space="preserve"> because</w:t>
      </w:r>
      <w:r w:rsidR="00EB15FC" w:rsidRPr="00836EB0">
        <w:rPr>
          <w:sz w:val="24"/>
          <w:szCs w:val="24"/>
        </w:rPr>
        <w:t xml:space="preserve"> the Project Coordinator is the </w:t>
      </w:r>
      <w:r w:rsidR="00836EB0">
        <w:rPr>
          <w:sz w:val="24"/>
          <w:szCs w:val="24"/>
        </w:rPr>
        <w:t xml:space="preserve">primary </w:t>
      </w:r>
      <w:r w:rsidR="00EB15FC" w:rsidRPr="00836EB0">
        <w:rPr>
          <w:sz w:val="24"/>
          <w:szCs w:val="24"/>
        </w:rPr>
        <w:t xml:space="preserve">person who can </w:t>
      </w:r>
      <w:r w:rsidR="00A23545">
        <w:rPr>
          <w:sz w:val="24"/>
          <w:szCs w:val="24"/>
        </w:rPr>
        <w:t>apply</w:t>
      </w:r>
      <w:r>
        <w:rPr>
          <w:sz w:val="24"/>
          <w:szCs w:val="24"/>
        </w:rPr>
        <w:t xml:space="preserve"> </w:t>
      </w:r>
      <w:r w:rsidR="00EB15FC" w:rsidRPr="00836EB0">
        <w:rPr>
          <w:sz w:val="24"/>
          <w:szCs w:val="24"/>
        </w:rPr>
        <w:t xml:space="preserve">the </w:t>
      </w:r>
      <w:r w:rsidR="00A23545" w:rsidRPr="00836EB0">
        <w:rPr>
          <w:sz w:val="24"/>
          <w:szCs w:val="24"/>
        </w:rPr>
        <w:t xml:space="preserve">resources </w:t>
      </w:r>
      <w:r w:rsidR="00EB15FC" w:rsidRPr="00836EB0">
        <w:rPr>
          <w:sz w:val="24"/>
          <w:szCs w:val="24"/>
        </w:rPr>
        <w:t>of one sector</w:t>
      </w:r>
      <w:r w:rsidR="00A23545">
        <w:rPr>
          <w:sz w:val="24"/>
          <w:szCs w:val="24"/>
        </w:rPr>
        <w:t xml:space="preserve"> to address</w:t>
      </w:r>
      <w:r w:rsidR="00EB15FC" w:rsidRPr="00836EB0">
        <w:rPr>
          <w:sz w:val="24"/>
          <w:szCs w:val="24"/>
        </w:rPr>
        <w:t xml:space="preserve"> the </w:t>
      </w:r>
      <w:r w:rsidR="00A23545" w:rsidRPr="00836EB0">
        <w:rPr>
          <w:sz w:val="24"/>
          <w:szCs w:val="24"/>
        </w:rPr>
        <w:t xml:space="preserve">needs </w:t>
      </w:r>
      <w:r w:rsidR="00A23545">
        <w:rPr>
          <w:sz w:val="24"/>
          <w:szCs w:val="24"/>
        </w:rPr>
        <w:t>of</w:t>
      </w:r>
      <w:r w:rsidR="0000412C">
        <w:rPr>
          <w:sz w:val="24"/>
          <w:szCs w:val="24"/>
        </w:rPr>
        <w:t xml:space="preserve"> the other in the language that both sectors will understand.</w:t>
      </w:r>
    </w:p>
    <w:p w:rsidR="003806A9" w:rsidRDefault="003806A9" w:rsidP="00A11A46">
      <w:pPr>
        <w:rPr>
          <w:sz w:val="24"/>
          <w:szCs w:val="24"/>
        </w:rPr>
      </w:pPr>
      <w:r>
        <w:rPr>
          <w:sz w:val="24"/>
          <w:szCs w:val="24"/>
        </w:rPr>
        <w:t xml:space="preserve">Before setting up </w:t>
      </w:r>
      <w:r w:rsidR="00E75FE1">
        <w:rPr>
          <w:sz w:val="24"/>
          <w:szCs w:val="24"/>
        </w:rPr>
        <w:t>any exchange,</w:t>
      </w:r>
      <w:r>
        <w:rPr>
          <w:sz w:val="24"/>
          <w:szCs w:val="24"/>
        </w:rPr>
        <w:t xml:space="preserve"> it’s crucial to find out what your exchange partners value.  For example, don’t assume that “being chosen” to be a field instructor is particularly valued by the chosen one.  Don’t assume that the field instructors will come to an orientation </w:t>
      </w:r>
      <w:r w:rsidR="00E75FE1">
        <w:rPr>
          <w:sz w:val="24"/>
          <w:szCs w:val="24"/>
        </w:rPr>
        <w:t xml:space="preserve">just </w:t>
      </w:r>
      <w:r>
        <w:rPr>
          <w:sz w:val="24"/>
          <w:szCs w:val="24"/>
        </w:rPr>
        <w:t>because they’</w:t>
      </w:r>
      <w:r w:rsidR="002E7057">
        <w:rPr>
          <w:sz w:val="24"/>
          <w:szCs w:val="24"/>
        </w:rPr>
        <w:t>ve been chosen.</w:t>
      </w:r>
    </w:p>
    <w:p w:rsidR="003806A9" w:rsidRPr="00836EB0" w:rsidRDefault="003806A9" w:rsidP="00A11A46">
      <w:pPr>
        <w:rPr>
          <w:sz w:val="24"/>
          <w:szCs w:val="24"/>
        </w:rPr>
      </w:pPr>
    </w:p>
    <w:sectPr w:rsidR="003806A9" w:rsidRPr="00836EB0" w:rsidSect="00A11A46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0C" w:rsidRDefault="00560F0C" w:rsidP="005F0DA1">
      <w:pPr>
        <w:spacing w:after="0" w:line="240" w:lineRule="auto"/>
      </w:pPr>
      <w:r>
        <w:separator/>
      </w:r>
    </w:p>
  </w:endnote>
  <w:endnote w:type="continuationSeparator" w:id="0">
    <w:p w:rsidR="00560F0C" w:rsidRDefault="00560F0C" w:rsidP="005F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057" w:rsidRDefault="002E7057">
    <w:pPr>
      <w:pStyle w:val="Footer"/>
    </w:pPr>
    <w:r>
      <w:t>August23 2011</w:t>
    </w:r>
    <w:r>
      <w:ptab w:relativeTo="margin" w:alignment="center" w:leader="none"/>
    </w:r>
    <w:r>
      <w:t>California Social Work Education Center</w:t>
    </w:r>
    <w:r>
      <w:ptab w:relativeTo="margin" w:alignment="right" w:leader="none"/>
    </w:r>
    <w:r>
      <w:t>FII Resource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0C" w:rsidRDefault="00560F0C" w:rsidP="005F0DA1">
      <w:pPr>
        <w:spacing w:after="0" w:line="240" w:lineRule="auto"/>
      </w:pPr>
      <w:r>
        <w:separator/>
      </w:r>
    </w:p>
  </w:footnote>
  <w:footnote w:type="continuationSeparator" w:id="0">
    <w:p w:rsidR="00560F0C" w:rsidRDefault="00560F0C" w:rsidP="005F0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2B"/>
    <w:rsid w:val="0000412C"/>
    <w:rsid w:val="000B34D6"/>
    <w:rsid w:val="00141AB1"/>
    <w:rsid w:val="001549AE"/>
    <w:rsid w:val="001673C7"/>
    <w:rsid w:val="001A317F"/>
    <w:rsid w:val="002448F9"/>
    <w:rsid w:val="00284466"/>
    <w:rsid w:val="00285C00"/>
    <w:rsid w:val="002E7057"/>
    <w:rsid w:val="003806A9"/>
    <w:rsid w:val="00393403"/>
    <w:rsid w:val="00560F0C"/>
    <w:rsid w:val="00565113"/>
    <w:rsid w:val="005F0DA1"/>
    <w:rsid w:val="006C70F4"/>
    <w:rsid w:val="00752C51"/>
    <w:rsid w:val="007916DE"/>
    <w:rsid w:val="007C56F9"/>
    <w:rsid w:val="007E02F2"/>
    <w:rsid w:val="007E6902"/>
    <w:rsid w:val="00836EB0"/>
    <w:rsid w:val="008428AA"/>
    <w:rsid w:val="00854BF5"/>
    <w:rsid w:val="00866432"/>
    <w:rsid w:val="00906DA3"/>
    <w:rsid w:val="00935749"/>
    <w:rsid w:val="009D69B2"/>
    <w:rsid w:val="00A11A46"/>
    <w:rsid w:val="00A23545"/>
    <w:rsid w:val="00AF1C7F"/>
    <w:rsid w:val="00B03BAC"/>
    <w:rsid w:val="00B86706"/>
    <w:rsid w:val="00C905C3"/>
    <w:rsid w:val="00CB4E2B"/>
    <w:rsid w:val="00D11623"/>
    <w:rsid w:val="00D3402B"/>
    <w:rsid w:val="00D61C83"/>
    <w:rsid w:val="00D7571E"/>
    <w:rsid w:val="00E51747"/>
    <w:rsid w:val="00E75FE1"/>
    <w:rsid w:val="00E91D5C"/>
    <w:rsid w:val="00EB15FC"/>
    <w:rsid w:val="00FB5AC0"/>
    <w:rsid w:val="00F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A1"/>
  </w:style>
  <w:style w:type="paragraph" w:styleId="Footer">
    <w:name w:val="footer"/>
    <w:basedOn w:val="Normal"/>
    <w:link w:val="FooterChar"/>
    <w:uiPriority w:val="99"/>
    <w:unhideWhenUsed/>
    <w:rsid w:val="005F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A1"/>
  </w:style>
  <w:style w:type="paragraph" w:styleId="BalloonText">
    <w:name w:val="Balloon Text"/>
    <w:basedOn w:val="Normal"/>
    <w:link w:val="BalloonTextChar"/>
    <w:uiPriority w:val="99"/>
    <w:semiHidden/>
    <w:unhideWhenUsed/>
    <w:rsid w:val="005F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A1"/>
  </w:style>
  <w:style w:type="paragraph" w:styleId="Footer">
    <w:name w:val="footer"/>
    <w:basedOn w:val="Normal"/>
    <w:link w:val="FooterChar"/>
    <w:uiPriority w:val="99"/>
    <w:unhideWhenUsed/>
    <w:rsid w:val="005F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A1"/>
  </w:style>
  <w:style w:type="paragraph" w:styleId="BalloonText">
    <w:name w:val="Balloon Text"/>
    <w:basedOn w:val="Normal"/>
    <w:link w:val="BalloonTextChar"/>
    <w:uiPriority w:val="99"/>
    <w:semiHidden/>
    <w:unhideWhenUsed/>
    <w:rsid w:val="005F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15147-A81C-4CAF-B3F4-268CCCE5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Sherrill J. CLARK</dc:creator>
  <cp:lastModifiedBy>Elizabeth D. GILMAN</cp:lastModifiedBy>
  <cp:revision>2</cp:revision>
  <dcterms:created xsi:type="dcterms:W3CDTF">2012-09-05T20:22:00Z</dcterms:created>
  <dcterms:modified xsi:type="dcterms:W3CDTF">2012-09-05T20:22:00Z</dcterms:modified>
</cp:coreProperties>
</file>