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2194f06c62f6e2d8da859b533baaf295bdd2b8"/>
    <w:p>
      <w:pPr>
        <w:pStyle w:val="Heading1"/>
      </w:pPr>
      <w:r>
        <w:t xml:space="preserve">Listing-level cage-free check on Spain’s top-5 grocery retailers – 2026-Q2</w:t>
      </w:r>
    </w:p>
    <w:p>
      <w:pPr>
        <w:pStyle w:val="FirstParagraph"/>
      </w:pPr>
      <w:r>
        <w:rPr>
          <w:b/>
          <w:bCs/>
        </w:rPr>
        <w:t xml:space="preserve">Snapshot 2026-05-04. n = 67 chicken shell-egg SKUs across Mercadona, Carrefour, Lidl, Eroski (with subsidiary Caprabo) and DIA. Quarterly rerunnable scraper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scraper/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A SKU (stock-keeping unit) is a single unique product listing in a retailer’s online catalogue, identified by a distinct product name and package configuration (e.g.,</w:t>
      </w:r>
      <w:r>
        <w:t xml:space="preserve"> </w:t>
      </w:r>
      <w:r>
        <w:t xml:space="preserve">“Huevos camperos L EROSKI 12u”</w:t>
      </w:r>
      <w:r>
        <w:t xml:space="preserve"> </w:t>
      </w:r>
      <w:r>
        <w:t xml:space="preserve">is one SKU). The analysis counts SKUs, not units sold.</w:t>
      </w:r>
    </w:p>
    <w:bookmarkStart w:id="9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The scraper records every chicken shell-egg SKU listed on each retailer’s online catalogue (Spain-specific sites: mercadona.es, carrefour.es, eroski.es, caprabo.es; DIA via the Soysuper.com aggregator because dia.es blocks automated access; Lidl has no online shell-egg listings). Each SKU is classified by EU production code (0 organic, 1 free-range, 2 barn, 3 caged) using an explicit production-system field where available (Carrefour</w:t>
      </w:r>
      <w:r>
        <w:t xml:space="preserve"> </w:t>
      </w:r>
      <w:r>
        <w:rPr>
          <w:rStyle w:val="VerbatimChar"/>
        </w:rPr>
        <w:t xml:space="preserve">Tipo de produccion</w:t>
      </w:r>
      <w:r>
        <w:t xml:space="preserve">; Mercadona</w:t>
      </w:r>
      <w:r>
        <w:t xml:space="preserve"> </w:t>
      </w:r>
      <w:r>
        <w:rPr>
          <w:rStyle w:val="VerbatimChar"/>
        </w:rPr>
        <w:t xml:space="preserve">mandatory_mentions</w:t>
      </w:r>
      <w:r>
        <w:t xml:space="preserve">; Eroski / Caprabo product-detail</w:t>
      </w:r>
      <w:r>
        <w:t xml:space="preserve"> </w:t>
      </w:r>
      <w:r>
        <w:rPr>
          <w:rStyle w:val="VerbatimChar"/>
        </w:rPr>
        <w:t xml:space="preserve">caracteristicas</w:t>
      </w:r>
      <w:r>
        <w:t xml:space="preserve">), otherwise by keyword in the SKU name (</w:t>
      </w:r>
      <w:r>
        <w:rPr>
          <w:rStyle w:val="VerbatimChar"/>
        </w:rPr>
        <w:t xml:space="preserve">ecologico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campero</w:t>
      </w:r>
      <w:r>
        <w:t xml:space="preserve">,</w:t>
      </w:r>
      <w:r>
        <w:t xml:space="preserve"> </w:t>
      </w:r>
      <w:r>
        <w:rPr>
          <w:rStyle w:val="VerbatimChar"/>
        </w:rPr>
        <w:t xml:space="preserve">suelo</w:t>
      </w:r>
      <w:r>
        <w:t xml:space="preserve">,</w:t>
      </w:r>
      <w:r>
        <w:t xml:space="preserve"> </w:t>
      </w:r>
      <w:r>
        <w:rPr>
          <w:rStyle w:val="VerbatimChar"/>
        </w:rPr>
        <w:t xml:space="preserve">jaula</w:t>
      </w:r>
      <w:r>
        <w:t xml:space="preserve"> </w:t>
      </w:r>
      <w:r>
        <w:t xml:space="preserve">and Catalan equivalents). SKUs with no signal are flagged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BodyText"/>
      </w:pPr>
      <w:r>
        <w:t xml:space="preserve">Two central estimates are reported because each makes a different assumption about unknown-class SKUs: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CF (0%)</w:t>
      </w:r>
      <w:r>
        <w:t xml:space="preserve"> </w:t>
      </w:r>
      <w:r>
        <w:t xml:space="preserve">– treats every unknown as not-cage-free. Conservative lower bound. Wilson 95% CI included.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CF (33%)</w:t>
      </w:r>
      <w:r>
        <w:t xml:space="preserve"> </w:t>
      </w:r>
      <w:r>
        <w:t xml:space="preserve">– each unknown SKU is counted as 0.33 cage-free, anchored to Spain’s national production cage-free share (approximately 33%, WATTPoultry 2023). Formula:</w:t>
      </w:r>
      <w:r>
        <w:t xml:space="preserve"> </w:t>
      </w:r>
      <w:r>
        <w:rPr>
          <w:rStyle w:val="VerbatimChar"/>
        </w:rPr>
        <w:t xml:space="preserve">(cf + unknown * 0.33) / n</w:t>
      </w:r>
      <w:r>
        <w:t xml:space="preserve">. Reflects the premise that unlabelled Spanish egg SKUs are more likely caged than cage-free.</w:t>
      </w:r>
    </w:p>
    <w:p>
      <w:pPr>
        <w:pStyle w:val="FirstParagraph"/>
      </w:pPr>
      <w:r>
        <w:t xml:space="preserve">Each estimate is compared against the prior (50% CI from EggTrack 2024, OBA, and retailer disclosures) to flag retailers whose observed listing mix diverges from reported cage-free shares.</w:t>
      </w:r>
    </w:p>
    <w:bookmarkEnd w:id="9"/>
    <w:bookmarkStart w:id="16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rPr>
          <w:i/>
          <w:iCs/>
        </w:rPr>
        <w:t xml:space="preserve">Table 1. Cage-free share estimates by retailer.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Retailer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(0/1/2/3/?)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 (50%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 (0%)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 (33%)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Mercadona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0/2/0/4/1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(62–68)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Carrefour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2/4/5/0/0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(98–100)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(99–100)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Eroski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2/4/8/1/5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 (32–58)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Caprabo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5/3/9/0/2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(95–100)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1/1/4/0/4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 (52–63)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</w:tbl>
    <w:p>
      <w:pPr>
        <w:pStyle w:val="BodyText"/>
      </w:pPr>
      <w:r>
        <w:rPr>
          <w:i/>
          <w:iCs/>
        </w:rPr>
        <w:t xml:space="preserve">CF (0%): unknowns counted as not cage-free (= conservative lower bound). CF (33%): each unknown counted as 0.33 cage-free (anchored to Spain’s national cage-free production share of approximately 33%). Prior from EggTrack 2024, OBA May 2025 benchmark, and retailer disclosures.</w:t>
      </w:r>
    </w:p>
    <w:p>
      <w:pPr>
        <w:pStyle w:val="BodyText"/>
      </w:pPr>
      <w:r>
        <w:t xml:space="preserve">Of the 5 retailers with listings data, 2 have their CF (0%) inside the prior 50% CI (Carrefour, DIA) and 1 has its CF (33%) inside it (Carrefour). With a well-calibrated 50% CI, 2–3 out of 5 falling inside would be expected; the low count for CF (33%) suggests the prior estimates and listing-level data are measuring somewhat different things (volume-weighted corporate reports vs SKU counts).</w:t>
      </w:r>
    </w:p>
    <w:p>
      <w:pPr>
        <w:pStyle w:val="BodyText"/>
      </w:pPr>
      <w:r>
        <w:rPr>
          <w:i/>
          <w:iCs/>
        </w:rPr>
        <w:t xml:space="preserve">Table 2. Production-code breakdown (chicken shell eggs only).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Retailer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organic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free-range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barn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caged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Mercadona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Carrefour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Eroski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Caprabo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Carrefour matches the prior cleanly.</w:t>
      </w:r>
      <w:r>
        <w:t xml:space="preserve"> </w:t>
      </w:r>
      <w:r>
        <w:t xml:space="preserve">All 11 unique SKUs across Madrid + Barcelona postcodes expose</w:t>
      </w:r>
      <w:r>
        <w:t xml:space="preserve"> </w:t>
      </w:r>
      <w:r>
        <w:rPr>
          <w:rStyle w:val="VerbatimChar"/>
        </w:rPr>
        <w:t xml:space="preserve">Tipo de produccion</w:t>
      </w:r>
      <w:r>
        <w:t xml:space="preserve"> </w:t>
      </w:r>
      <w:r>
        <w:t xml:space="preserve">on the detail page; classification is 100% explicit, all cage-free. The 100% point estimate sits inside the 98–100 prior.</w:t>
      </w:r>
    </w:p>
    <w:p>
      <w:pPr>
        <w:pStyle w:val="BodyText"/>
      </w:pPr>
      <w:r>
        <w:rPr>
          <w:b/>
          <w:bCs/>
        </w:rPr>
        <w:t xml:space="preserve">Mercadona shows the largest negative gap.</w:t>
      </w:r>
      <w:r>
        <w:t xml:space="preserve"> </w:t>
      </w:r>
      <w:r>
        <w:t xml:space="preserve">Four of seven shell-egg SKUs carry the regulator-required</w:t>
      </w:r>
      <w:r>
        <w:t xml:space="preserve"> </w:t>
      </w:r>
      <w:r>
        <w:rPr>
          <w:rStyle w:val="VerbatimChar"/>
        </w:rPr>
        <w:t xml:space="preserve">criadas en jaulas</w:t>
      </w:r>
      <w:r>
        <w:t xml:space="preserve"> </w:t>
      </w:r>
      <w:r>
        <w:t xml:space="preserve">(</w:t>
      </w:r>
      <w:r>
        <w:t xml:space="preserve">“caged hens”</w:t>
      </w:r>
      <w:r>
        <w:t xml:space="preserve">) disclosure; two are</w:t>
      </w:r>
      <w:r>
        <w:t xml:space="preserve"> </w:t>
      </w:r>
      <w:r>
        <w:rPr>
          <w:rStyle w:val="VerbatimChar"/>
        </w:rPr>
        <w:t xml:space="preserve">camperas</w:t>
      </w:r>
      <w:r>
        <w:t xml:space="preserve"> </w:t>
      </w:r>
      <w:r>
        <w:t xml:space="preserve">(free-range); one 24-pack is unclassified. CF (0%) gives 29% (Wilson 95% CI: 8–64%); CF (33%) gives 33%, 32 pp below the prior of 65%. Three non-exclusive explanations could reconcile the gap: (1) corporate figures report sales-volume share, not SKU count, and the two</w:t>
      </w:r>
      <w:r>
        <w:t xml:space="preserve"> </w:t>
      </w:r>
      <w:r>
        <w:rPr>
          <w:rStyle w:val="VerbatimChar"/>
        </w:rPr>
        <w:t xml:space="preserve">camperas</w:t>
      </w:r>
      <w:r>
        <w:t xml:space="preserve"> </w:t>
      </w:r>
      <w:r>
        <w:t xml:space="preserve">lines may carry disproportionate volume; (2) regional warehouse variation – the scraper queries a single Madrid warehouse (</w:t>
      </w:r>
      <w:r>
        <w:rPr>
          <w:rStyle w:val="VerbatimChar"/>
        </w:rPr>
        <w:t xml:space="preserve">mad1</w:t>
      </w:r>
      <w:r>
        <w:t xml:space="preserve">), while Mercadona operates 15+ regional hubs with potentially different assortments; (3) reporting lags the current shelf state. OBA’s May 2025 benchmark also reports 65% cage-free for Mercadona. Mercadona’s public commitment was 100% cage-free by end-2025 (slipped from end-2022); if the 65% figure is accurate, it implies roughly a third of volume still to transition.</w:t>
      </w:r>
    </w:p>
    <w:p>
      <w:pPr>
        <w:pStyle w:val="BodyText"/>
      </w:pPr>
      <w:r>
        <w:rPr>
          <w:b/>
          <w:bCs/>
        </w:rPr>
        <w:t xml:space="preserve">Eroski and DIA: priors appear too pessimistic.</w:t>
      </w:r>
      <w:r>
        <w:t xml:space="preserve"> </w:t>
      </w:r>
      <w:r>
        <w:t xml:space="preserve">Eroski’s 43% blended prior (35% Eroski-standalone + 100% Caprabo) rests on an eight-year-old 2018 FRS baseline, the weakest prior in this analysis. Detail-page enrichment found 14 cage-free, 1 caged, 5 unknown out of 20 shell-egg SKUs; even a 50/50 split on unknowns gives approximately 83%, well outside the 32–58 band. Eroski’s EINF 2021 already reported 57% cage-free, and OBA cites Eroski’s self-reported approximately 63% (Eroski blog, March 2026), so the 35% FRS anchor understates Eroski’s position by 25+ pp even before listings data is considered.</w:t>
      </w:r>
    </w:p>
    <w:p>
      <w:pPr>
        <w:pStyle w:val="BodyText"/>
      </w:pPr>
      <w:r>
        <w:rPr>
          <w:b/>
          <w:bCs/>
        </w:rPr>
        <w:t xml:space="preserve">DIA</w:t>
      </w:r>
      <w:r>
        <w:t xml:space="preserve"> </w:t>
      </w:r>
      <w:r>
        <w:t xml:space="preserve">CF (0%) (60%, own-brand SKUs via Soysuper) is close to its prior (58%, own + national brands), but the four unqualified own-brand packs (</w:t>
      </w:r>
      <w:r>
        <w:rPr>
          <w:rStyle w:val="VerbatimChar"/>
        </w:rPr>
        <w:t xml:space="preserve">Huevos M Dia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Huevos L Dia</w:t>
      </w:r>
      <w:r>
        <w:t xml:space="preserve">) are heavily category-correlated: if retailer behaviour is</w:t>
      </w:r>
      <w:r>
        <w:t xml:space="preserve"> </w:t>
      </w:r>
      <w:r>
        <w:t xml:space="preserve">“label cage-free SKUs, leave caged ones unqualified,”</w:t>
      </w:r>
      <w:r>
        <w:t xml:space="preserve"> </w:t>
      </w:r>
      <w:r>
        <w:t xml:space="preserve">the true share is likely closer to CF (0%) (60%) than CF (33%) (73%). Two caveats: Soysuper covers DIA-brand SKUs only, not third-party brands DIA stocks; and the unknown SKUs are all unqualified</w:t>
      </w:r>
      <w:r>
        <w:t xml:space="preserve"> </w:t>
      </w:r>
      <w:r>
        <w:t xml:space="preserve">“Huevos categoria A clase X”</w:t>
      </w:r>
      <w:r>
        <w:t xml:space="preserve"> </w:t>
      </w:r>
      <w:r>
        <w:t xml:space="preserve">packs, so their housing status will likely resolve together rather than independently.</w:t>
      </w:r>
    </w:p>
    <w:p>
      <w:pPr>
        <w:pStyle w:val="BodyText"/>
      </w:pPr>
      <w:r>
        <w:t xml:space="preserve">Combined, Eroski and its Catalan subsidiary Caprabo list 39 shell-egg SKUs (7 organic, 7 free-range, 17 barn, 1 caged, 7 unknown).</w:t>
      </w:r>
    </w:p>
    <w:p>
      <w:pPr>
        <w:pStyle w:val="BodyText"/>
      </w:pPr>
      <w:r>
        <w:rPr>
          <w:b/>
          <w:bCs/>
        </w:rPr>
        <w:t xml:space="preserve">Caprabo</w:t>
      </w:r>
      <w:r>
        <w:t xml:space="preserve"> </w:t>
      </w:r>
      <w:r>
        <w:t xml:space="preserve">(n=19, Eroski’s Catalan subsidiary) has a CF (33%) of 93%, just below the 95–100 prior band; the 2 unknown SKUs pull it slightly under, but CF (0%) (89%) still has a 95% CI (69–97%) overlapping the prior.</w:t>
      </w:r>
      <w:r>
        <w:t xml:space="preserve"> </w:t>
      </w:r>
      <w:r>
        <w:rPr>
          <w:b/>
          <w:bCs/>
        </w:rPr>
        <w:t xml:space="preserve">Lidl</w:t>
      </w:r>
      <w:r>
        <w:t xml:space="preserve"> </w:t>
      </w:r>
      <w:r>
        <w:t xml:space="preserve">is not shown here: lidl.es does not list fresh shell eggs online.</w:t>
      </w:r>
    </w:p>
    <w:p>
      <w:pPr>
        <w:pStyle w:val="BodyText"/>
      </w:pPr>
      <w:r>
        <w:drawing>
          <wp:inline>
            <wp:extent cx="5334000" cy="2277438"/>
            <wp:effectExtent b="0" l="0" r="0" t="0"/>
            <wp:docPr descr="Figure 1" title="" id="11" name="Picture"/>
            <a:graphic>
              <a:graphicData uri="http://schemas.openxmlformats.org/drawingml/2006/picture">
                <pic:pic>
                  <pic:nvPicPr>
                    <pic:cNvPr descr="fig1_listings_mix_2026-Q2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1. SKU-level production-code mix per retailer (chicken shell eggs only). Mercadona and Eroski are the only retailers with explicitly caged SKUs (4 and 1 respectively); DIA and Eroski carry the highest unknown-classification share. Lidl excluded (no online shell-egg listings).</w:t>
      </w:r>
    </w:p>
    <w:p>
      <w:pPr>
        <w:pStyle w:val="BodyText"/>
      </w:pPr>
      <w:r>
        <w:drawing>
          <wp:inline>
            <wp:extent cx="5334000" cy="2602345"/>
            <wp:effectExtent b="0" l="0" r="0" t="0"/>
            <wp:docPr descr="Figure 2" title="" id="14" name="Picture"/>
            <a:graphic>
              <a:graphicData uri="http://schemas.openxmlformats.org/drawingml/2006/picture">
                <pic:pic>
                  <pic:nvPicPr>
                    <pic:cNvPr descr="fig2_listings_vs_prior_2026-Q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2. Listings estimates versus prior. Blue boxes = prior (Beta fitted to central + 50% CI); amber boxes = CF (0%) posterior Beta(cf+1, n-cf+1); green boxes = CF (33%) posterior Beta(cf+unknown/3+1, n-cf-unknown/3+1). Each box shows IQR (25th-75th percentile); whiskers = 95% credible interval (2.5th-97.5th).</w:t>
      </w:r>
    </w:p>
    <w:bookmarkEnd w:id="16"/>
    <w:bookmarkStart w:id="17" w:name="interpreting-the-cage-free-estimates"/>
    <w:p>
      <w:pPr>
        <w:pStyle w:val="Heading2"/>
      </w:pPr>
      <w:r>
        <w:t xml:space="preserve">Interpreting the cage-free estimates</w:t>
      </w:r>
    </w:p>
    <w:p>
      <w:pPr>
        <w:pStyle w:val="FirstParagraph"/>
      </w:pPr>
      <w:r>
        <w:t xml:space="preserve">The two estimates should not be read in isolation: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CF (0%) understates cage-free share.</w:t>
      </w:r>
      <w:r>
        <w:t xml:space="preserve"> </w:t>
      </w:r>
      <w:r>
        <w:t xml:space="preserve">Treating every unknown as caged is conservative. Some cage-free SKUs may lack explicit labelling simply because the retailer’s catalogue system does not surface the information – a data-quality gap, not a housing-system signal. For retailers like Eroski, where 5 of 20 SKUs are unknown but 14 are already classified cage-free, treating all unknowns as caged is implausibly conservative. CF (0%) is best suited for external communications where a defensible lower bound is needed.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CF (33%) provides a middle-ground estimate but should be validated.</w:t>
      </w:r>
      <w:r>
        <w:t xml:space="preserve"> </w:t>
      </w:r>
      <w:r>
        <w:t xml:space="preserve">Each unknown SKU is counted as 0.33 cage-free, anchored to Spain’s national cage-free production share (approximately 33%, WATTPoultry 2023). For Mercadona (2 cage-free, 4 caged, 1 unknown), CF (33%) gives 33% – only 4 pp above CF (0%) because the unknown share is small. For DIA (6 cage-free, 0 caged, 4 unknown), CF (33%) gives 73% versus CF (0%)’s 60% – a 13 pp difference because unknowns are 40% of the sample and the allocation assumption matters more. Retailers have a marketing incentive to label cage-free products explicitly (</w:t>
      </w:r>
      <w:r>
        <w:t xml:space="preserve">“campero,”</w:t>
      </w:r>
      <w:r>
        <w:t xml:space="preserve"> </w:t>
      </w:r>
      <w:r>
        <w:t xml:space="preserve">“ecologico,”</w:t>
      </w:r>
      <w:r>
        <w:t xml:space="preserve"> </w:t>
      </w:r>
      <w:r>
        <w:t xml:space="preserve">“de suelo”</w:t>
      </w:r>
      <w:r>
        <w:t xml:space="preserve">), so unlabelled SKUs are more likely caged than cage-free; neither estimate should be taken at face value when unknown shares exceed 20%.</w:t>
      </w:r>
    </w:p>
    <w:p>
      <w:pPr>
        <w:pStyle w:val="FirstParagraph"/>
      </w:pPr>
      <w:r>
        <w:t xml:space="preserve">For retailers with few unknowns (Carrefour: 0; Caprabo: 2), the two estimates converge and this distinction is immaterial.</w:t>
      </w:r>
    </w:p>
    <w:bookmarkEnd w:id="17"/>
    <w:bookmarkStart w:id="21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Of the 5 retailers with both listings data and a prior estimate, 1 (Carrefour) has its CF (33%) estimate inside the prior’s 50% CI. Four do not: Mercadona (32 pp below prior), Caprabo (7 pp below), Eroski (35 pp above), DIA (15 pp above). However, the CF (0%) Wilson 95% CIs are wide enough to overlap with the prior 50% CI ranges for all four, and for DIA the prior point estimate (58%) falls inside the CF (0%) 95% CI (31–83%). These gaps are therefore directionally informative but not statistically conclusive at conventional confidence levels given the small sample sizes (n = 7–20).</w:t>
      </w:r>
    </w:p>
    <w:p>
      <w:pPr>
        <w:pStyle w:val="BodyText"/>
      </w:pPr>
      <w:r>
        <w:t xml:space="preserve">The asymmetry across the gaps is notable: Mercadona’s gap is downward (4 of 7 SKUs carry explicit</w:t>
      </w:r>
      <w:r>
        <w:t xml:space="preserve"> </w:t>
      </w:r>
      <w:r>
        <w:rPr>
          <w:rStyle w:val="VerbatimChar"/>
        </w:rPr>
        <w:t xml:space="preserve">criadas en jaulas</w:t>
      </w:r>
      <w:r>
        <w:t xml:space="preserve">), while Eroski’s and DIA’s gaps are upward and rest on small n with high unknown counts. For Eroski and DIA, CF (0%) estimates (70% and 60%) sit much closer to their priors.</w:t>
      </w:r>
    </w:p>
    <w:p>
      <w:pPr>
        <w:pStyle w:val="BodyText"/>
      </w:pPr>
      <w:r>
        <w:rPr>
          <w:b/>
          <w:bCs/>
        </w:rPr>
        <w:t xml:space="preserve">Mercadona shows the largest gap between stated commitment and observed listing behaviour.</w:t>
      </w:r>
      <w:r>
        <w:t xml:space="preserve"> </w:t>
      </w:r>
      <w:r>
        <w:t xml:space="preserve">With approximately 27% of Spain’s EUR 122 billion grocery market (</w:t>
      </w:r>
      <w:hyperlink r:id="rId18">
        <w:r>
          <w:rPr>
            <w:rStyle w:val="Hyperlink"/>
          </w:rPr>
          <w:t xml:space="preserve">NielsenIQ 2024</w:t>
        </w:r>
      </w:hyperlink>
      <w:r>
        <w:t xml:space="preserve">;</w:t>
      </w:r>
      <w:r>
        <w:t xml:space="preserve"> </w:t>
      </w:r>
      <w:hyperlink r:id="rId19">
        <w:r>
          <w:rPr>
            <w:rStyle w:val="Hyperlink"/>
          </w:rPr>
          <w:t xml:space="preserve">Kantar Worldpanel</w:t>
        </w:r>
      </w:hyperlink>
      <w:r>
        <w:t xml:space="preserve">), its CF (33%) estimate of 33% sits 32 pp below the self-reported 65%. Even under the most generous allocation of unknowns, Mercadona is the only retailer in this sample where explicitly caged SKUs outnumber cage-free ones. Its original end-2022 cage-free commitment has slipped to end-2025. Mercadona’s scale means that its shortfall alone likely accounts for more caged-egg listings than the combined egg catalogues of Eroski and DIA.</w:t>
      </w:r>
    </w:p>
    <w:p>
      <w:pPr>
        <w:pStyle w:val="BodyText"/>
      </w:pPr>
      <w:r>
        <w:rPr>
          <w:b/>
          <w:bCs/>
        </w:rPr>
        <w:t xml:space="preserve">Listing-level data is scarce for most retailers, and listings may not represent what is actually sold.</w:t>
      </w:r>
      <w:r>
        <w:t xml:space="preserve"> </w:t>
      </w:r>
      <w:r>
        <w:t xml:space="preserve">This analysis counts SKUs, not sales volume. A retailer with 50% cage-free SKUs could still sell 80% caged eggs by volume if caged products are cheap, high-turnover own-brand lines. Corporate figures and EggTrack tracking are typically volume-weighted, so I treat divergence between listings and reported shares as informative but not as evidence of misreporting. On-site shelf audits and purchase-receipt surveys would be more reliable for establishing actual sales volumes.</w:t>
      </w:r>
    </w:p>
    <w:p>
      <w:pPr>
        <w:pStyle w:val="BodyText"/>
      </w:pPr>
      <w:r>
        <w:rPr>
          <w:b/>
          <w:bCs/>
        </w:rPr>
        <w:t xml:space="preserve">On-site shelf audits would ground-truth these listing-level estimates.</w:t>
      </w:r>
      <w:r>
        <w:t xml:space="preserve"> </w:t>
      </w:r>
      <w:hyperlink r:id="rId20">
        <w:r>
          <w:rPr>
            <w:rStyle w:val="Hyperlink"/>
          </w:rPr>
          <w:t xml:space="preserve">Eglitis &amp; Kanepajs (2026)</w:t>
        </w:r>
      </w:hyperlink>
      <w:r>
        <w:t xml:space="preserve"> </w:t>
      </w:r>
      <w:r>
        <w:t xml:space="preserve">reported results from volunteer-conducted shelf audits across Latvian retailers. A similar volunteer-mobilized approach adapted for Spain’s top-5 retailers could close the gap between listing counts and volume shares.</w:t>
      </w:r>
    </w:p>
    <w:p>
      <w:pPr>
        <w:pStyle w:val="BodyText"/>
      </w:pPr>
      <w:r>
        <w:t xml:space="preserve">Better data can also come through corporate engagement: cage-free share reporting can be made part of formal agreements during retailer negotiations. But independent on-site investigation remains valuable even with such agreements in place, particularly while standardized reporting practices have not been established across the industry.</w:t>
      </w:r>
    </w:p>
    <w:bookmarkEnd w:id="21"/>
    <w:bookmarkStart w:id="22" w:name="quarterly-watchlist"/>
    <w:p>
      <w:pPr>
        <w:pStyle w:val="Heading2"/>
      </w:pPr>
      <w:r>
        <w:t xml:space="preserve">Quarterly watchlist</w:t>
      </w:r>
    </w:p>
    <w:p>
      <w:pPr>
        <w:pStyle w:val="FirstParagraph"/>
      </w:pPr>
      <w:r>
        <w:t xml:space="preserve">Stable SKU IDs are written into the schema, so 2026-Q3 will distinguish true SKU additions / removals from label rewording. Specific items to track: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Mercadona:</w:t>
      </w:r>
      <w:r>
        <w:t xml:space="preserve"> </w:t>
      </w:r>
      <w:r>
        <w:t xml:space="preserve">any reduction in the four explicitly caged SKUs (sizes XL/L/L/M, all currently classified</w:t>
      </w:r>
      <w:r>
        <w:t xml:space="preserve"> </w:t>
      </w:r>
      <w:r>
        <w:rPr>
          <w:rStyle w:val="VerbatimChar"/>
        </w:rPr>
        <w:t xml:space="preserve">Jaula</w:t>
      </w:r>
      <w:r>
        <w:t xml:space="preserve"> </w:t>
      </w:r>
      <w:r>
        <w:t xml:space="preserve">in the API).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Eroski main: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Huevos L EROSKI 18u</w:t>
      </w:r>
      <w:r>
        <w:t xml:space="preserve">, the single explicitly caged SKU, disappears from the catalogue.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DIA:</w:t>
      </w:r>
      <w:r>
        <w:t xml:space="preserve"> </w:t>
      </w:r>
      <w:r>
        <w:t xml:space="preserve">whether the four unqualified</w:t>
      </w:r>
      <w:r>
        <w:t xml:space="preserve"> </w:t>
      </w:r>
      <w:r>
        <w:rPr>
          <w:rStyle w:val="VerbatimChar"/>
        </w:rPr>
        <w:t xml:space="preserve">Huevos M Dia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Huevos L Dia</w:t>
      </w:r>
      <w:r>
        <w:t xml:space="preserve"> </w:t>
      </w:r>
      <w:r>
        <w:t xml:space="preserve">packs become labelled (</w:t>
      </w:r>
      <w:r>
        <w:rPr>
          <w:rStyle w:val="VerbatimChar"/>
        </w:rPr>
        <w:t xml:space="preserve">de suelo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camperos</w:t>
      </w:r>
      <w:r>
        <w:t xml:space="preserve">, etc.). Re-labelling toward cage-free would close the CF (0%) vs CF (33%) gap.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Eroski prior update for Q3:</w:t>
      </w:r>
      <w:r>
        <w:t xml:space="preserve"> </w:t>
      </w:r>
      <w:r>
        <w:t xml:space="preserve">replace the stale 2018 FRS 35% anchor with EINF 2021 (57%) or OBA current (approximately 63%) as the Eroski-main baseline in the blend formula. This reduces the 35 pp gap to a more realistic 15 to 21 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Carrefour:</w:t>
      </w:r>
      <w:r>
        <w:t xml:space="preserve"> </w:t>
      </w:r>
      <w:r>
        <w:t xml:space="preserve">extension to additional postcodes (Andalusia, Valencia, Galicia, Canarias).</w:t>
      </w:r>
    </w:p>
    <w:bookmarkEnd w:id="22"/>
    <w:bookmarkStart w:id="29" w:name="key-sources"/>
    <w:p>
      <w:pPr>
        <w:pStyle w:val="Heading2"/>
      </w:pPr>
      <w:r>
        <w:t xml:space="preserve">Key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Supporting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 national production: 67% caged, 22% barn, 10% free-range, 1% organic (2023 flock)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WATTPoultry,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“Egg sales, consumption break records in Spain”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“Spain houses 67% of its flock in enriched cages.”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Mercadona 65% cage-free, self-reported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OBA, Mercadona page</w:t>
              </w:r>
            </w:hyperlink>
            <w:r>
              <w:t xml:space="preserve"> </w:t>
            </w:r>
            <w:r>
              <w:t xml:space="preserve">(citing Mercadona July 2025 reporting)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Mercadona</w:t>
            </w:r>
            <w:r>
              <w:t xml:space="preserve"> </w:t>
            </w:r>
            <w:r>
              <w:t xml:space="preserve">“repeated that its progress was at 65%, without offering a roadmap.”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Carrefour 100% fresh, 35% ingredient eggs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OBA, Carrefour page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“Carrefour is only at 35% in its commitment regarding the use of cage-free hen eggs as an ingredient in its private-label products.”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Eroski 35% cage-free baseline (2018)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FRS (Food Retail Spain)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35% of Eroski’s egg sales from cage-free hens (12 Jun 2018).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Top-5 retailer market share ~51% of Spanish FMCG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Kantar Worldpanel,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“Spain top 5 retail chains”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“Together account for more than half of total FMCG spend.”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 grocery spending 2024 = EUR 122 bn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ESM via NielsenIQ,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“Spanish grocery spending hits record EUR 122bn”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2 / 1</w:t>
            </w:r>
          </w:p>
        </w:tc>
        <w:tc>
          <w:tcPr/>
          <w:p>
            <w:pPr>
              <w:pStyle w:val="Compact"/>
            </w:pPr>
            <w:r>
              <w:t xml:space="preserve">NielsenIQ Consumer Trends 2024.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egg production codes (0 organic, 1 free-range, 2 barn, 3 caged)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European Commission, Marketing standards for eggs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EU regulatory framework.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Soysuper (DIA workaround source)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soysuper.com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Aggregator; used because dia.es is Akamai-blocked at the edge.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On-site investigation methodology for laying-hen cage-free verification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Eglitis &amp; Kanepajs, 2026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Field survey of Latvian retailers using volunteer-mobilized shelf audits.</w:t>
            </w:r>
          </w:p>
        </w:tc>
      </w:tr>
    </w:tbl>
    <w:p>
      <w:pPr>
        <w:pStyle w:val="BodyText"/>
      </w:pPr>
      <w:r>
        <w:t xml:space="preserve">Tier 1 = primary / regulatory / first-party corporate; Tier 2 = trade press citing primary or independent research; Tier 3 = aggregator or secondary.</w:t>
      </w:r>
    </w:p>
    <w:bookmarkEnd w:id="29"/>
    <w:bookmarkStart w:id="30" w:name="tools-used-and-ai-disclosure"/>
    <w:p>
      <w:pPr>
        <w:pStyle w:val="Heading2"/>
      </w:pPr>
      <w:r>
        <w:t xml:space="preserve">Tools used and AI disclosure</w:t>
      </w:r>
    </w:p>
    <w:p>
      <w:pPr>
        <w:pStyle w:val="FirstParagraph"/>
      </w:pPr>
      <w:r>
        <w:t xml:space="preserve">Claude Code (Anthropic) was used for scraper development and drafting and editing of this report.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hyperlink" Id="rId27" Target="https://agriculture.ec.europa.eu/farming/animal-products/eggs_en" TargetMode="External" /><Relationship Type="http://schemas.openxmlformats.org/officeDocument/2006/relationships/hyperlink" Id="rId24" Target="https://observatoriodebienestaranimal.org/actualidad/blog-oba/supermercado-mercadona.html" TargetMode="External" /><Relationship Type="http://schemas.openxmlformats.org/officeDocument/2006/relationships/hyperlink" Id="rId25" Target="https://observatoriodebienestaranimal.org/actualidad/noticias/carrefour.html" TargetMode="External" /><Relationship Type="http://schemas.openxmlformats.org/officeDocument/2006/relationships/hyperlink" Id="rId20" Target="https://www.dzivniekubriviba.lv/assets/downloadable-assets/ekonomiska-analize-par-dejejvistu-sprostu-aizlieguma-ietekmi-latvija.pdf" TargetMode="External" /><Relationship Type="http://schemas.openxmlformats.org/officeDocument/2006/relationships/hyperlink" Id="rId18" Target="https://www.esmmagazine.com/retail/spanish-grocery-spending-hits-record-e122bn-in-2024-281344" TargetMode="External" /><Relationship Type="http://schemas.openxmlformats.org/officeDocument/2006/relationships/hyperlink" Id="rId26" Target="https://www.foodretail.es/retailers/eroski-ventas-huevos-gallinas-libres_0_1226877312.html" TargetMode="External" /><Relationship Type="http://schemas.openxmlformats.org/officeDocument/2006/relationships/hyperlink" Id="rId19" Target="https://www.kantar.com/inspiration/fmcg/spain-top-5-retail-chains-account-for-more-than-half-of-grocery-market-value" TargetMode="External" /><Relationship Type="http://schemas.openxmlformats.org/officeDocument/2006/relationships/hyperlink" Id="rId28" Target="https://www.soysuper.com/" TargetMode="External" /><Relationship Type="http://schemas.openxmlformats.org/officeDocument/2006/relationships/hyperlink" Id="rId23" Target="https://www.wattagnet.com/regions/europe/news/15706648/egg-sales-consumption-break-records-in-sp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griculture.ec.europa.eu/farming/animal-products/eggs_en" TargetMode="External" /><Relationship Type="http://schemas.openxmlformats.org/officeDocument/2006/relationships/hyperlink" Id="rId24" Target="https://observatoriodebienestaranimal.org/actualidad/blog-oba/supermercado-mercadona.html" TargetMode="External" /><Relationship Type="http://schemas.openxmlformats.org/officeDocument/2006/relationships/hyperlink" Id="rId25" Target="https://observatoriodebienestaranimal.org/actualidad/noticias/carrefour.html" TargetMode="External" /><Relationship Type="http://schemas.openxmlformats.org/officeDocument/2006/relationships/hyperlink" Id="rId20" Target="https://www.dzivniekubriviba.lv/assets/downloadable-assets/ekonomiska-analize-par-dejejvistu-sprostu-aizlieguma-ietekmi-latvija.pdf" TargetMode="External" /><Relationship Type="http://schemas.openxmlformats.org/officeDocument/2006/relationships/hyperlink" Id="rId18" Target="https://www.esmmagazine.com/retail/spanish-grocery-spending-hits-record-e122bn-in-2024-281344" TargetMode="External" /><Relationship Type="http://schemas.openxmlformats.org/officeDocument/2006/relationships/hyperlink" Id="rId26" Target="https://www.foodretail.es/retailers/eroski-ventas-huevos-gallinas-libres_0_1226877312.html" TargetMode="External" /><Relationship Type="http://schemas.openxmlformats.org/officeDocument/2006/relationships/hyperlink" Id="rId19" Target="https://www.kantar.com/inspiration/fmcg/spain-top-5-retail-chains-account-for-more-than-half-of-grocery-market-value" TargetMode="External" /><Relationship Type="http://schemas.openxmlformats.org/officeDocument/2006/relationships/hyperlink" Id="rId28" Target="https://www.soysuper.com/" TargetMode="External" /><Relationship Type="http://schemas.openxmlformats.org/officeDocument/2006/relationships/hyperlink" Id="rId23" Target="https://www.wattagnet.com/regions/europe/news/15706648/egg-sales-consumption-break-records-in-sp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2026-05-10T09:24:12Z</dcterms:created>
  <dcterms:modified xsi:type="dcterms:W3CDTF">2026-05-10T09:24:12Z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