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 1 (Varying no. of clients vs Fixed interval)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No.of Clients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Avg. time/trn (ms)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22.02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21.27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20.7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2" name="image03.png" title="No.of Clients vs Avg. time/trn (ms)"/>
            <a:graphic>
              <a:graphicData uri="http://schemas.openxmlformats.org/drawingml/2006/picture">
                <pic:pic>
                  <pic:nvPicPr>
                    <pic:cNvPr id="0" name="image03.png" title="No.of Clients vs Avg. time/trn (ms)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 2 (Fixed no. of clients vs Varying intervals)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 time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Avg. time/trn (ms)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27.8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0.3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24.4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0.5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0.7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25.2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3719513" cy="2299899"/>
            <wp:effectExtent b="0" l="0" r="0" t="0"/>
            <wp:docPr id="1" name="image02.png" title="wait time and Avg. time/trn(ms)"/>
            <a:graphic>
              <a:graphicData uri="http://schemas.openxmlformats.org/drawingml/2006/picture">
                <pic:pic>
                  <pic:nvPicPr>
                    <pic:cNvPr id="0" name="image02.png" title="wait time and Avg. time/trn(ms)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29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