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3864"/>
          <w:sz w:val="44"/>
          <w:szCs w:val="44"/>
        </w:rPr>
        <w:t xml:space="preserve">Advanced Data Analysis and Visualization in Logistics</w:t>
      </w:r>
    </w:p>
    <w:p>
      <w:pPr>
        <w:spacing w:after="0" w:before="240"/>
        <w:jc w:val="center"/>
      </w:pPr>
      <w:r>
        <w:rPr>
          <w:color w:val="2E5090"/>
          <w:sz w:val="26"/>
          <w:szCs w:val="26"/>
        </w:rPr>
        <w:t xml:space="preserve">Week 3 Task — Logistics Analyzer Project</w:t>
      </w:r>
    </w:p>
    <w:p>
      <w:pPr>
        <w:spacing w:before="800"/>
        <w:jc w:val="center"/>
      </w:pPr>
      <w:r>
        <w:rPr>
          <w:i/>
          <w:iCs/>
          <w:color w:val="666666"/>
          <w:sz w:val="22"/>
          <w:szCs w:val="22"/>
        </w:rPr>
        <w:t xml:space="preserve">Internship Data Analytics Track</w:t>
      </w:r>
    </w:p>
    <w:p>
      <w:pPr>
        <w:spacing w:before="120"/>
        <w:jc w:val="center"/>
      </w:pPr>
      <w:r>
        <w:rPr>
          <w:color w:val="666666"/>
          <w:sz w:val="20"/>
          <w:szCs w:val="20"/>
        </w:rPr>
        <w:t xml:space="preserve">Prepared using Python (pandas, numpy, matplotlib, seaborn)</w:t>
      </w:r>
    </w:p>
    <w:p>
      <w:r>
        <w:br w:type="page"/>
      </w:r>
    </w:p>
    <w:p>
      <w:pPr>
        <w:pStyle w:val="Heading1"/>
        <w:spacing w:after="160" w:before="320"/>
      </w:pPr>
      <w:r>
        <w:t xml:space="preserve">1. Objective</w:t>
      </w:r>
    </w:p>
    <w:p>
      <w:pPr>
        <w:spacing w:after="160" w:line="276"/>
      </w:pPr>
      <w:r>
        <w:rPr>
          <w:color w:val="444444"/>
          <w:sz w:val="22"/>
          <w:szCs w:val="22"/>
        </w:rPr>
        <w:t xml:space="preserve">This report explores, analyzes, and visualizes a hypothetical logistics dataset in order to build data-driven insight into operational efficiency, cost drivers, and delivery performance. The task follows a structured analytical workflow — data simulation, exploratory data analysis (EDA), visualization, and interpretation — to demonstrate how logistics organizations can use Python-based analytics to support decision-making.</w:t>
      </w:r>
    </w:p>
    <w:p>
      <w:pPr>
        <w:spacing w:after="160" w:line="276"/>
      </w:pPr>
      <w:r>
        <w:rPr>
          <w:color w:val="444444"/>
          <w:sz w:val="22"/>
          <w:szCs w:val="22"/>
        </w:rPr>
        <w:t xml:space="preserve">All analysis was performed in Python using pandas and numpy for data handling and statistics, and matplotlib / seaborn for visualization. The full dataset, scripts, and chart outputs referenced in this report are reproducible from the code excerpts included in each section.</w:t>
      </w:r>
    </w:p>
    <w:p>
      <w:pPr>
        <w:pStyle w:val="Heading1"/>
        <w:spacing w:after="160" w:before="320"/>
      </w:pPr>
      <w:r>
        <w:t xml:space="preserve">2. Data Simulation</w:t>
      </w:r>
    </w:p>
    <w:p>
      <w:pPr>
        <w:spacing w:after="160" w:line="276"/>
      </w:pPr>
      <w:r>
        <w:rPr>
          <w:color w:val="444444"/>
          <w:sz w:val="22"/>
          <w:szCs w:val="22"/>
        </w:rPr>
        <w:t xml:space="preserve">A hypothetical dataset of 1,200 shipment records was generated to represent six months of logistics operations (January–June 2026) across 5 regions, 4 transport modes, 4 carriers, and 5 product categories. Relationships between variables were deliberately built into the simulation (e.g., distance driving delivery time and cost; weekend dispatch increasing delay risk) so the dataset would produce realistic, interpretable patterns during analysis.</w:t>
      </w:r>
    </w:p>
    <w:p>
      <w:pPr>
        <w:pStyle w:val="Heading2"/>
        <w:spacing w:after="120" w:before="240"/>
      </w:pPr>
      <w:r>
        <w:t xml:space="preserve">2.1 Dataset Structure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300"/>
      </w:tblGrid>
      <w:tr>
        <w:tc>
          <w:tcPr>
            <w:tcW w:type="dxa" w:w="2600"/>
            <w:shd w:fill="1F3864" w:val="clear"/>
            <w:tcMar>
              <w:top w:type="dxa" w:w="60"/>
              <w:left w:type="dxa" w:w="100"/>
              <w:bottom w:type="dxa" w:w="60"/>
              <w:right w:type="dxa" w:w="100"/>
            </w:tcMar>
          </w:tcPr>
          <w:p>
            <w:r>
              <w:rPr>
                <w:b/>
                <w:bCs/>
                <w:color w:val="FFFFFF"/>
                <w:sz w:val="19"/>
                <w:szCs w:val="19"/>
              </w:rPr>
              <w:t xml:space="preserve">Variable</w:t>
            </w:r>
          </w:p>
        </w:tc>
        <w:tc>
          <w:tcPr>
            <w:tcW w:type="dxa" w:w="1600"/>
            <w:shd w:fill="1F3864" w:val="clear"/>
            <w:tcMar>
              <w:top w:type="dxa" w:w="60"/>
              <w:left w:type="dxa" w:w="100"/>
              <w:bottom w:type="dxa" w:w="60"/>
              <w:right w:type="dxa" w:w="100"/>
            </w:tcMar>
          </w:tcPr>
          <w:p>
            <w:r>
              <w:rPr>
                <w:b/>
                <w:bCs/>
                <w:color w:val="FFFFFF"/>
                <w:sz w:val="19"/>
                <w:szCs w:val="19"/>
              </w:rPr>
              <w:t xml:space="preserve">Type</w:t>
            </w:r>
          </w:p>
        </w:tc>
        <w:tc>
          <w:tcPr>
            <w:tcW w:type="dxa" w:w="5300"/>
            <w:shd w:fill="1F3864" w:val="clear"/>
            <w:tcMar>
              <w:top w:type="dxa" w:w="60"/>
              <w:left w:type="dxa" w:w="100"/>
              <w:bottom w:type="dxa" w:w="60"/>
              <w:right w:type="dxa" w:w="100"/>
            </w:tcMar>
          </w:tcPr>
          <w:p>
            <w:r>
              <w:rPr>
                <w:b/>
                <w:bCs/>
                <w:color w:val="FFFFFF"/>
                <w:sz w:val="19"/>
                <w:szCs w:val="19"/>
              </w:rPr>
              <w:t xml:space="preserve">Description</w:t>
            </w:r>
          </w:p>
        </w:tc>
      </w:tr>
      <w:tr>
        <w:tc>
          <w:tcPr>
            <w:tcW w:type="dxa" w:w="2600"/>
            <w:tcMar>
              <w:top w:type="dxa" w:w="60"/>
              <w:left w:type="dxa" w:w="100"/>
              <w:bottom w:type="dxa" w:w="60"/>
              <w:right w:type="dxa" w:w="100"/>
            </w:tcMar>
          </w:tcPr>
          <w:p>
            <w:r>
              <w:rPr>
                <w:b w:val="false"/>
                <w:bCs w:val="false"/>
                <w:color w:val="222222"/>
                <w:sz w:val="19"/>
                <w:szCs w:val="19"/>
              </w:rPr>
              <w:t xml:space="preserve">shipment_id</w:t>
            </w:r>
          </w:p>
        </w:tc>
        <w:tc>
          <w:tcPr>
            <w:tcW w:type="dxa" w:w="1600"/>
            <w:tcMar>
              <w:top w:type="dxa" w:w="60"/>
              <w:left w:type="dxa" w:w="100"/>
              <w:bottom w:type="dxa" w:w="60"/>
              <w:right w:type="dxa" w:w="100"/>
            </w:tcMar>
          </w:tcPr>
          <w:p>
            <w:r>
              <w:rPr>
                <w:b w:val="false"/>
                <w:bCs w:val="false"/>
                <w:color w:val="222222"/>
                <w:sz w:val="19"/>
                <w:szCs w:val="19"/>
              </w:rPr>
              <w:t xml:space="preserve">String</w:t>
            </w:r>
          </w:p>
        </w:tc>
        <w:tc>
          <w:tcPr>
            <w:tcW w:type="dxa" w:w="5300"/>
            <w:tcMar>
              <w:top w:type="dxa" w:w="60"/>
              <w:left w:type="dxa" w:w="100"/>
              <w:bottom w:type="dxa" w:w="60"/>
              <w:right w:type="dxa" w:w="100"/>
            </w:tcMar>
          </w:tcPr>
          <w:p>
            <w:r>
              <w:rPr>
                <w:b w:val="false"/>
                <w:bCs w:val="false"/>
                <w:color w:val="222222"/>
                <w:sz w:val="19"/>
                <w:szCs w:val="19"/>
              </w:rPr>
              <w:t xml:space="preserve">Unique identifier for each shipment</w:t>
            </w:r>
          </w:p>
        </w:tc>
      </w:tr>
      <w:tr>
        <w:tc>
          <w:tcPr>
            <w:tcW w:type="dxa" w:w="2600"/>
            <w:tcMar>
              <w:top w:type="dxa" w:w="60"/>
              <w:left w:type="dxa" w:w="100"/>
              <w:bottom w:type="dxa" w:w="60"/>
              <w:right w:type="dxa" w:w="100"/>
            </w:tcMar>
          </w:tcPr>
          <w:p>
            <w:r>
              <w:rPr>
                <w:b w:val="false"/>
                <w:bCs w:val="false"/>
                <w:color w:val="222222"/>
                <w:sz w:val="19"/>
                <w:szCs w:val="19"/>
              </w:rPr>
              <w:t xml:space="preserve">dispatch_date</w:t>
            </w:r>
          </w:p>
        </w:tc>
        <w:tc>
          <w:tcPr>
            <w:tcW w:type="dxa" w:w="1600"/>
            <w:tcMar>
              <w:top w:type="dxa" w:w="60"/>
              <w:left w:type="dxa" w:w="100"/>
              <w:bottom w:type="dxa" w:w="60"/>
              <w:right w:type="dxa" w:w="100"/>
            </w:tcMar>
          </w:tcPr>
          <w:p>
            <w:r>
              <w:rPr>
                <w:b w:val="false"/>
                <w:bCs w:val="false"/>
                <w:color w:val="222222"/>
                <w:sz w:val="19"/>
                <w:szCs w:val="19"/>
              </w:rPr>
              <w:t xml:space="preserve">Date</w:t>
            </w:r>
          </w:p>
        </w:tc>
        <w:tc>
          <w:tcPr>
            <w:tcW w:type="dxa" w:w="5300"/>
            <w:tcMar>
              <w:top w:type="dxa" w:w="60"/>
              <w:left w:type="dxa" w:w="100"/>
              <w:bottom w:type="dxa" w:w="60"/>
              <w:right w:type="dxa" w:w="100"/>
            </w:tcMar>
          </w:tcPr>
          <w:p>
            <w:r>
              <w:rPr>
                <w:b w:val="false"/>
                <w:bCs w:val="false"/>
                <w:color w:val="222222"/>
                <w:sz w:val="19"/>
                <w:szCs w:val="19"/>
              </w:rPr>
              <w:t xml:space="preserve">Date the shipment left origin</w:t>
            </w:r>
          </w:p>
        </w:tc>
      </w:tr>
      <w:tr>
        <w:tc>
          <w:tcPr>
            <w:tcW w:type="dxa" w:w="2600"/>
            <w:tcMar>
              <w:top w:type="dxa" w:w="60"/>
              <w:left w:type="dxa" w:w="100"/>
              <w:bottom w:type="dxa" w:w="60"/>
              <w:right w:type="dxa" w:w="100"/>
            </w:tcMar>
          </w:tcPr>
          <w:p>
            <w:r>
              <w:rPr>
                <w:b w:val="false"/>
                <w:bCs w:val="false"/>
                <w:color w:val="222222"/>
                <w:sz w:val="19"/>
                <w:szCs w:val="19"/>
              </w:rPr>
              <w:t xml:space="preserve">region</w:t>
            </w:r>
          </w:p>
        </w:tc>
        <w:tc>
          <w:tcPr>
            <w:tcW w:type="dxa" w:w="1600"/>
            <w:tcMar>
              <w:top w:type="dxa" w:w="60"/>
              <w:left w:type="dxa" w:w="100"/>
              <w:bottom w:type="dxa" w:w="60"/>
              <w:right w:type="dxa" w:w="100"/>
            </w:tcMar>
          </w:tcPr>
          <w:p>
            <w:r>
              <w:rPr>
                <w:b w:val="false"/>
                <w:bCs w:val="false"/>
                <w:color w:val="222222"/>
                <w:sz w:val="19"/>
                <w:szCs w:val="19"/>
              </w:rPr>
              <w:t xml:space="preserve">Categorical</w:t>
            </w:r>
          </w:p>
        </w:tc>
        <w:tc>
          <w:tcPr>
            <w:tcW w:type="dxa" w:w="5300"/>
            <w:tcMar>
              <w:top w:type="dxa" w:w="60"/>
              <w:left w:type="dxa" w:w="100"/>
              <w:bottom w:type="dxa" w:w="60"/>
              <w:right w:type="dxa" w:w="100"/>
            </w:tcMar>
          </w:tcPr>
          <w:p>
            <w:r>
              <w:rPr>
                <w:b w:val="false"/>
                <w:bCs w:val="false"/>
                <w:color w:val="222222"/>
                <w:sz w:val="19"/>
                <w:szCs w:val="19"/>
              </w:rPr>
              <w:t xml:space="preserve">Origin region (North, South, East, West, Central)</w:t>
            </w:r>
          </w:p>
        </w:tc>
      </w:tr>
      <w:tr>
        <w:tc>
          <w:tcPr>
            <w:tcW w:type="dxa" w:w="2600"/>
            <w:tcMar>
              <w:top w:type="dxa" w:w="60"/>
              <w:left w:type="dxa" w:w="100"/>
              <w:bottom w:type="dxa" w:w="60"/>
              <w:right w:type="dxa" w:w="100"/>
            </w:tcMar>
          </w:tcPr>
          <w:p>
            <w:r>
              <w:rPr>
                <w:b w:val="false"/>
                <w:bCs w:val="false"/>
                <w:color w:val="222222"/>
                <w:sz w:val="19"/>
                <w:szCs w:val="19"/>
              </w:rPr>
              <w:t xml:space="preserve">transport_mode</w:t>
            </w:r>
          </w:p>
        </w:tc>
        <w:tc>
          <w:tcPr>
            <w:tcW w:type="dxa" w:w="1600"/>
            <w:tcMar>
              <w:top w:type="dxa" w:w="60"/>
              <w:left w:type="dxa" w:w="100"/>
              <w:bottom w:type="dxa" w:w="60"/>
              <w:right w:type="dxa" w:w="100"/>
            </w:tcMar>
          </w:tcPr>
          <w:p>
            <w:r>
              <w:rPr>
                <w:b w:val="false"/>
                <w:bCs w:val="false"/>
                <w:color w:val="222222"/>
                <w:sz w:val="19"/>
                <w:szCs w:val="19"/>
              </w:rPr>
              <w:t xml:space="preserve">Categorical</w:t>
            </w:r>
          </w:p>
        </w:tc>
        <w:tc>
          <w:tcPr>
            <w:tcW w:type="dxa" w:w="5300"/>
            <w:tcMar>
              <w:top w:type="dxa" w:w="60"/>
              <w:left w:type="dxa" w:w="100"/>
              <w:bottom w:type="dxa" w:w="60"/>
              <w:right w:type="dxa" w:w="100"/>
            </w:tcMar>
          </w:tcPr>
          <w:p>
            <w:r>
              <w:rPr>
                <w:b w:val="false"/>
                <w:bCs w:val="false"/>
                <w:color w:val="222222"/>
                <w:sz w:val="19"/>
                <w:szCs w:val="19"/>
              </w:rPr>
              <w:t xml:space="preserve">Road, Rail, Air, or Sea</w:t>
            </w:r>
          </w:p>
        </w:tc>
      </w:tr>
      <w:tr>
        <w:tc>
          <w:tcPr>
            <w:tcW w:type="dxa" w:w="2600"/>
            <w:tcMar>
              <w:top w:type="dxa" w:w="60"/>
              <w:left w:type="dxa" w:w="100"/>
              <w:bottom w:type="dxa" w:w="60"/>
              <w:right w:type="dxa" w:w="100"/>
            </w:tcMar>
          </w:tcPr>
          <w:p>
            <w:r>
              <w:rPr>
                <w:b w:val="false"/>
                <w:bCs w:val="false"/>
                <w:color w:val="222222"/>
                <w:sz w:val="19"/>
                <w:szCs w:val="19"/>
              </w:rPr>
              <w:t xml:space="preserve">carrier</w:t>
            </w:r>
          </w:p>
        </w:tc>
        <w:tc>
          <w:tcPr>
            <w:tcW w:type="dxa" w:w="1600"/>
            <w:tcMar>
              <w:top w:type="dxa" w:w="60"/>
              <w:left w:type="dxa" w:w="100"/>
              <w:bottom w:type="dxa" w:w="60"/>
              <w:right w:type="dxa" w:w="100"/>
            </w:tcMar>
          </w:tcPr>
          <w:p>
            <w:r>
              <w:rPr>
                <w:b w:val="false"/>
                <w:bCs w:val="false"/>
                <w:color w:val="222222"/>
                <w:sz w:val="19"/>
                <w:szCs w:val="19"/>
              </w:rPr>
              <w:t xml:space="preserve">Categorical</w:t>
            </w:r>
          </w:p>
        </w:tc>
        <w:tc>
          <w:tcPr>
            <w:tcW w:type="dxa" w:w="5300"/>
            <w:tcMar>
              <w:top w:type="dxa" w:w="60"/>
              <w:left w:type="dxa" w:w="100"/>
              <w:bottom w:type="dxa" w:w="60"/>
              <w:right w:type="dxa" w:w="100"/>
            </w:tcMar>
          </w:tcPr>
          <w:p>
            <w:r>
              <w:rPr>
                <w:b w:val="false"/>
                <w:bCs w:val="false"/>
                <w:color w:val="222222"/>
                <w:sz w:val="19"/>
                <w:szCs w:val="19"/>
              </w:rPr>
              <w:t xml:space="preserve">Logistics carrier handling the shipment</w:t>
            </w:r>
          </w:p>
        </w:tc>
      </w:tr>
      <w:tr>
        <w:tc>
          <w:tcPr>
            <w:tcW w:type="dxa" w:w="2600"/>
            <w:tcMar>
              <w:top w:type="dxa" w:w="60"/>
              <w:left w:type="dxa" w:w="100"/>
              <w:bottom w:type="dxa" w:w="60"/>
              <w:right w:type="dxa" w:w="100"/>
            </w:tcMar>
          </w:tcPr>
          <w:p>
            <w:r>
              <w:rPr>
                <w:b w:val="false"/>
                <w:bCs w:val="false"/>
                <w:color w:val="222222"/>
                <w:sz w:val="19"/>
                <w:szCs w:val="19"/>
              </w:rPr>
              <w:t xml:space="preserve">product_category</w:t>
            </w:r>
          </w:p>
        </w:tc>
        <w:tc>
          <w:tcPr>
            <w:tcW w:type="dxa" w:w="1600"/>
            <w:tcMar>
              <w:top w:type="dxa" w:w="60"/>
              <w:left w:type="dxa" w:w="100"/>
              <w:bottom w:type="dxa" w:w="60"/>
              <w:right w:type="dxa" w:w="100"/>
            </w:tcMar>
          </w:tcPr>
          <w:p>
            <w:r>
              <w:rPr>
                <w:b w:val="false"/>
                <w:bCs w:val="false"/>
                <w:color w:val="222222"/>
                <w:sz w:val="19"/>
                <w:szCs w:val="19"/>
              </w:rPr>
              <w:t xml:space="preserve">Categorical</w:t>
            </w:r>
          </w:p>
        </w:tc>
        <w:tc>
          <w:tcPr>
            <w:tcW w:type="dxa" w:w="5300"/>
            <w:tcMar>
              <w:top w:type="dxa" w:w="60"/>
              <w:left w:type="dxa" w:w="100"/>
              <w:bottom w:type="dxa" w:w="60"/>
              <w:right w:type="dxa" w:w="100"/>
            </w:tcMar>
          </w:tcPr>
          <w:p>
            <w:r>
              <w:rPr>
                <w:b w:val="false"/>
                <w:bCs w:val="false"/>
                <w:color w:val="222222"/>
                <w:sz w:val="19"/>
                <w:szCs w:val="19"/>
              </w:rPr>
              <w:t xml:space="preserve">Electronics, Perishables, Textiles, Machinery, Consumer Goods</w:t>
            </w:r>
          </w:p>
        </w:tc>
      </w:tr>
      <w:tr>
        <w:tc>
          <w:tcPr>
            <w:tcW w:type="dxa" w:w="2600"/>
            <w:tcMar>
              <w:top w:type="dxa" w:w="60"/>
              <w:left w:type="dxa" w:w="100"/>
              <w:bottom w:type="dxa" w:w="60"/>
              <w:right w:type="dxa" w:w="100"/>
            </w:tcMar>
          </w:tcPr>
          <w:p>
            <w:r>
              <w:rPr>
                <w:b w:val="false"/>
                <w:bCs w:val="false"/>
                <w:color w:val="222222"/>
                <w:sz w:val="19"/>
                <w:szCs w:val="19"/>
              </w:rPr>
              <w:t xml:space="preserve">distance_km</w:t>
            </w:r>
          </w:p>
        </w:tc>
        <w:tc>
          <w:tcPr>
            <w:tcW w:type="dxa" w:w="1600"/>
            <w:tcMar>
              <w:top w:type="dxa" w:w="60"/>
              <w:left w:type="dxa" w:w="100"/>
              <w:bottom w:type="dxa" w:w="60"/>
              <w:right w:type="dxa" w:w="100"/>
            </w:tcMar>
          </w:tcPr>
          <w:p>
            <w:r>
              <w:rPr>
                <w:b w:val="false"/>
                <w:bCs w:val="false"/>
                <w:color w:val="222222"/>
                <w:sz w:val="19"/>
                <w:szCs w:val="19"/>
              </w:rPr>
              <w:t xml:space="preserve">Numeric</w:t>
            </w:r>
          </w:p>
        </w:tc>
        <w:tc>
          <w:tcPr>
            <w:tcW w:type="dxa" w:w="5300"/>
            <w:tcMar>
              <w:top w:type="dxa" w:w="60"/>
              <w:left w:type="dxa" w:w="100"/>
              <w:bottom w:type="dxa" w:w="60"/>
              <w:right w:type="dxa" w:w="100"/>
            </w:tcMar>
          </w:tcPr>
          <w:p>
            <w:r>
              <w:rPr>
                <w:b w:val="false"/>
                <w:bCs w:val="false"/>
                <w:color w:val="222222"/>
                <w:sz w:val="19"/>
                <w:szCs w:val="19"/>
              </w:rPr>
              <w:t xml:space="preserve">Shipment distance in kilometers</w:t>
            </w:r>
          </w:p>
        </w:tc>
      </w:tr>
      <w:tr>
        <w:tc>
          <w:tcPr>
            <w:tcW w:type="dxa" w:w="2600"/>
            <w:tcMar>
              <w:top w:type="dxa" w:w="60"/>
              <w:left w:type="dxa" w:w="100"/>
              <w:bottom w:type="dxa" w:w="60"/>
              <w:right w:type="dxa" w:w="100"/>
            </w:tcMar>
          </w:tcPr>
          <w:p>
            <w:r>
              <w:rPr>
                <w:b w:val="false"/>
                <w:bCs w:val="false"/>
                <w:color w:val="222222"/>
                <w:sz w:val="19"/>
                <w:szCs w:val="19"/>
              </w:rPr>
              <w:t xml:space="preserve">shipment_weight_kg</w:t>
            </w:r>
          </w:p>
        </w:tc>
        <w:tc>
          <w:tcPr>
            <w:tcW w:type="dxa" w:w="1600"/>
            <w:tcMar>
              <w:top w:type="dxa" w:w="60"/>
              <w:left w:type="dxa" w:w="100"/>
              <w:bottom w:type="dxa" w:w="60"/>
              <w:right w:type="dxa" w:w="100"/>
            </w:tcMar>
          </w:tcPr>
          <w:p>
            <w:r>
              <w:rPr>
                <w:b w:val="false"/>
                <w:bCs w:val="false"/>
                <w:color w:val="222222"/>
                <w:sz w:val="19"/>
                <w:szCs w:val="19"/>
              </w:rPr>
              <w:t xml:space="preserve">Numeric</w:t>
            </w:r>
          </w:p>
        </w:tc>
        <w:tc>
          <w:tcPr>
            <w:tcW w:type="dxa" w:w="5300"/>
            <w:tcMar>
              <w:top w:type="dxa" w:w="60"/>
              <w:left w:type="dxa" w:w="100"/>
              <w:bottom w:type="dxa" w:w="60"/>
              <w:right w:type="dxa" w:w="100"/>
            </w:tcMar>
          </w:tcPr>
          <w:p>
            <w:r>
              <w:rPr>
                <w:b w:val="false"/>
                <w:bCs w:val="false"/>
                <w:color w:val="222222"/>
                <w:sz w:val="19"/>
                <w:szCs w:val="19"/>
              </w:rPr>
              <w:t xml:space="preserve">Shipment weight in kilograms</w:t>
            </w:r>
          </w:p>
        </w:tc>
      </w:tr>
      <w:tr>
        <w:tc>
          <w:tcPr>
            <w:tcW w:type="dxa" w:w="2600"/>
            <w:tcMar>
              <w:top w:type="dxa" w:w="60"/>
              <w:left w:type="dxa" w:w="100"/>
              <w:bottom w:type="dxa" w:w="60"/>
              <w:right w:type="dxa" w:w="100"/>
            </w:tcMar>
          </w:tcPr>
          <w:p>
            <w:r>
              <w:rPr>
                <w:b w:val="false"/>
                <w:bCs w:val="false"/>
                <w:color w:val="222222"/>
                <w:sz w:val="19"/>
                <w:szCs w:val="19"/>
              </w:rPr>
              <w:t xml:space="preserve">transportation_cost_usd</w:t>
            </w:r>
          </w:p>
        </w:tc>
        <w:tc>
          <w:tcPr>
            <w:tcW w:type="dxa" w:w="1600"/>
            <w:tcMar>
              <w:top w:type="dxa" w:w="60"/>
              <w:left w:type="dxa" w:w="100"/>
              <w:bottom w:type="dxa" w:w="60"/>
              <w:right w:type="dxa" w:w="100"/>
            </w:tcMar>
          </w:tcPr>
          <w:p>
            <w:r>
              <w:rPr>
                <w:b w:val="false"/>
                <w:bCs w:val="false"/>
                <w:color w:val="222222"/>
                <w:sz w:val="19"/>
                <w:szCs w:val="19"/>
              </w:rPr>
              <w:t xml:space="preserve">Numeric</w:t>
            </w:r>
          </w:p>
        </w:tc>
        <w:tc>
          <w:tcPr>
            <w:tcW w:type="dxa" w:w="5300"/>
            <w:tcMar>
              <w:top w:type="dxa" w:w="60"/>
              <w:left w:type="dxa" w:w="100"/>
              <w:bottom w:type="dxa" w:w="60"/>
              <w:right w:type="dxa" w:w="100"/>
            </w:tcMar>
          </w:tcPr>
          <w:p>
            <w:r>
              <w:rPr>
                <w:b w:val="false"/>
                <w:bCs w:val="false"/>
                <w:color w:val="222222"/>
                <w:sz w:val="19"/>
                <w:szCs w:val="19"/>
              </w:rPr>
              <w:t xml:space="preserve">Total cost to transport the shipment</w:t>
            </w:r>
          </w:p>
        </w:tc>
      </w:tr>
      <w:tr>
        <w:tc>
          <w:tcPr>
            <w:tcW w:type="dxa" w:w="2600"/>
            <w:tcMar>
              <w:top w:type="dxa" w:w="60"/>
              <w:left w:type="dxa" w:w="100"/>
              <w:bottom w:type="dxa" w:w="60"/>
              <w:right w:type="dxa" w:w="100"/>
            </w:tcMar>
          </w:tcPr>
          <w:p>
            <w:r>
              <w:rPr>
                <w:b w:val="false"/>
                <w:bCs w:val="false"/>
                <w:color w:val="222222"/>
                <w:sz w:val="19"/>
                <w:szCs w:val="19"/>
              </w:rPr>
              <w:t xml:space="preserve">delivery_time_days</w:t>
            </w:r>
          </w:p>
        </w:tc>
        <w:tc>
          <w:tcPr>
            <w:tcW w:type="dxa" w:w="1600"/>
            <w:tcMar>
              <w:top w:type="dxa" w:w="60"/>
              <w:left w:type="dxa" w:w="100"/>
              <w:bottom w:type="dxa" w:w="60"/>
              <w:right w:type="dxa" w:w="100"/>
            </w:tcMar>
          </w:tcPr>
          <w:p>
            <w:r>
              <w:rPr>
                <w:b w:val="false"/>
                <w:bCs w:val="false"/>
                <w:color w:val="222222"/>
                <w:sz w:val="19"/>
                <w:szCs w:val="19"/>
              </w:rPr>
              <w:t xml:space="preserve">Numeric</w:t>
            </w:r>
          </w:p>
        </w:tc>
        <w:tc>
          <w:tcPr>
            <w:tcW w:type="dxa" w:w="5300"/>
            <w:tcMar>
              <w:top w:type="dxa" w:w="60"/>
              <w:left w:type="dxa" w:w="100"/>
              <w:bottom w:type="dxa" w:w="60"/>
              <w:right w:type="dxa" w:w="100"/>
            </w:tcMar>
          </w:tcPr>
          <w:p>
            <w:r>
              <w:rPr>
                <w:b w:val="false"/>
                <w:bCs w:val="false"/>
                <w:color w:val="222222"/>
                <w:sz w:val="19"/>
                <w:szCs w:val="19"/>
              </w:rPr>
              <w:t xml:space="preserve">Actual time taken to deliver</w:t>
            </w:r>
          </w:p>
        </w:tc>
      </w:tr>
      <w:tr>
        <w:tc>
          <w:tcPr>
            <w:tcW w:type="dxa" w:w="2600"/>
            <w:tcMar>
              <w:top w:type="dxa" w:w="60"/>
              <w:left w:type="dxa" w:w="100"/>
              <w:bottom w:type="dxa" w:w="60"/>
              <w:right w:type="dxa" w:w="100"/>
            </w:tcMar>
          </w:tcPr>
          <w:p>
            <w:r>
              <w:rPr>
                <w:b w:val="false"/>
                <w:bCs w:val="false"/>
                <w:color w:val="222222"/>
                <w:sz w:val="19"/>
                <w:szCs w:val="19"/>
              </w:rPr>
              <w:t xml:space="preserve">delay_days</w:t>
            </w:r>
          </w:p>
        </w:tc>
        <w:tc>
          <w:tcPr>
            <w:tcW w:type="dxa" w:w="1600"/>
            <w:tcMar>
              <w:top w:type="dxa" w:w="60"/>
              <w:left w:type="dxa" w:w="100"/>
              <w:bottom w:type="dxa" w:w="60"/>
              <w:right w:type="dxa" w:w="100"/>
            </w:tcMar>
          </w:tcPr>
          <w:p>
            <w:r>
              <w:rPr>
                <w:b w:val="false"/>
                <w:bCs w:val="false"/>
                <w:color w:val="222222"/>
                <w:sz w:val="19"/>
                <w:szCs w:val="19"/>
              </w:rPr>
              <w:t xml:space="preserve">Numeric</w:t>
            </w:r>
          </w:p>
        </w:tc>
        <w:tc>
          <w:tcPr>
            <w:tcW w:type="dxa" w:w="5300"/>
            <w:tcMar>
              <w:top w:type="dxa" w:w="60"/>
              <w:left w:type="dxa" w:w="100"/>
              <w:bottom w:type="dxa" w:w="60"/>
              <w:right w:type="dxa" w:w="100"/>
            </w:tcMar>
          </w:tcPr>
          <w:p>
            <w:r>
              <w:rPr>
                <w:b w:val="false"/>
                <w:bCs w:val="false"/>
                <w:color w:val="222222"/>
                <w:sz w:val="19"/>
                <w:szCs w:val="19"/>
              </w:rPr>
              <w:t xml:space="preserve">Actual minus promised delivery time</w:t>
            </w:r>
          </w:p>
        </w:tc>
      </w:tr>
      <w:tr>
        <w:tc>
          <w:tcPr>
            <w:tcW w:type="dxa" w:w="2600"/>
            <w:tcMar>
              <w:top w:type="dxa" w:w="60"/>
              <w:left w:type="dxa" w:w="100"/>
              <w:bottom w:type="dxa" w:w="60"/>
              <w:right w:type="dxa" w:w="100"/>
            </w:tcMar>
          </w:tcPr>
          <w:p>
            <w:r>
              <w:rPr>
                <w:b w:val="false"/>
                <w:bCs w:val="false"/>
                <w:color w:val="222222"/>
                <w:sz w:val="19"/>
                <w:szCs w:val="19"/>
              </w:rPr>
              <w:t xml:space="preserve">is_delayed</w:t>
            </w:r>
          </w:p>
        </w:tc>
        <w:tc>
          <w:tcPr>
            <w:tcW w:type="dxa" w:w="1600"/>
            <w:tcMar>
              <w:top w:type="dxa" w:w="60"/>
              <w:left w:type="dxa" w:w="100"/>
              <w:bottom w:type="dxa" w:w="60"/>
              <w:right w:type="dxa" w:w="100"/>
            </w:tcMar>
          </w:tcPr>
          <w:p>
            <w:r>
              <w:rPr>
                <w:b w:val="false"/>
                <w:bCs w:val="false"/>
                <w:color w:val="222222"/>
                <w:sz w:val="19"/>
                <w:szCs w:val="19"/>
              </w:rPr>
              <w:t xml:space="preserve">Boolean</w:t>
            </w:r>
          </w:p>
        </w:tc>
        <w:tc>
          <w:tcPr>
            <w:tcW w:type="dxa" w:w="5300"/>
            <w:tcMar>
              <w:top w:type="dxa" w:w="60"/>
              <w:left w:type="dxa" w:w="100"/>
              <w:bottom w:type="dxa" w:w="60"/>
              <w:right w:type="dxa" w:w="100"/>
            </w:tcMar>
          </w:tcPr>
          <w:p>
            <w:r>
              <w:rPr>
                <w:b w:val="false"/>
                <w:bCs w:val="false"/>
                <w:color w:val="222222"/>
                <w:sz w:val="19"/>
                <w:szCs w:val="19"/>
              </w:rPr>
              <w:t xml:space="preserve">Whether the shipment missed its SLA</w:t>
            </w:r>
          </w:p>
        </w:tc>
      </w:tr>
      <w:tr>
        <w:tc>
          <w:tcPr>
            <w:tcW w:type="dxa" w:w="2600"/>
            <w:tcMar>
              <w:top w:type="dxa" w:w="60"/>
              <w:left w:type="dxa" w:w="100"/>
              <w:bottom w:type="dxa" w:w="60"/>
              <w:right w:type="dxa" w:w="100"/>
            </w:tcMar>
          </w:tcPr>
          <w:p>
            <w:r>
              <w:rPr>
                <w:b w:val="false"/>
                <w:bCs w:val="false"/>
                <w:color w:val="222222"/>
                <w:sz w:val="19"/>
                <w:szCs w:val="19"/>
              </w:rPr>
              <w:t xml:space="preserve">customer_satisfaction</w:t>
            </w:r>
          </w:p>
        </w:tc>
        <w:tc>
          <w:tcPr>
            <w:tcW w:type="dxa" w:w="1600"/>
            <w:tcMar>
              <w:top w:type="dxa" w:w="60"/>
              <w:left w:type="dxa" w:w="100"/>
              <w:bottom w:type="dxa" w:w="60"/>
              <w:right w:type="dxa" w:w="100"/>
            </w:tcMar>
          </w:tcPr>
          <w:p>
            <w:r>
              <w:rPr>
                <w:b w:val="false"/>
                <w:bCs w:val="false"/>
                <w:color w:val="222222"/>
                <w:sz w:val="19"/>
                <w:szCs w:val="19"/>
              </w:rPr>
              <w:t xml:space="preserve">Numeric (1-5)</w:t>
            </w:r>
          </w:p>
        </w:tc>
        <w:tc>
          <w:tcPr>
            <w:tcW w:type="dxa" w:w="5300"/>
            <w:tcMar>
              <w:top w:type="dxa" w:w="60"/>
              <w:left w:type="dxa" w:w="100"/>
              <w:bottom w:type="dxa" w:w="60"/>
              <w:right w:type="dxa" w:w="100"/>
            </w:tcMar>
          </w:tcPr>
          <w:p>
            <w:r>
              <w:rPr>
                <w:b w:val="false"/>
                <w:bCs w:val="false"/>
                <w:color w:val="222222"/>
                <w:sz w:val="19"/>
                <w:szCs w:val="19"/>
              </w:rPr>
              <w:t xml:space="preserve">Simulated satisfaction score</w:t>
            </w:r>
          </w:p>
        </w:tc>
      </w:tr>
    </w:tbl>
    <w:p>
      <w:pPr>
        <w:spacing w:after="200"/>
      </w:pPr>
    </w:p>
    <w:p>
      <w:pPr>
        <w:pStyle w:val="Heading2"/>
        <w:spacing w:after="120" w:before="240"/>
      </w:pPr>
      <w:r>
        <w:t xml:space="preserve">2.2 Simulation Logic (Python excerpt)</w:t>
      </w:r>
    </w:p>
    <w:p>
      <w:pPr>
        <w:pBdr>
          <w:top w:val="single" w:color="CCCCCC" w:sz="4"/>
          <w:bottom w:val="single" w:color="CCCCCC" w:sz="4"/>
          <w:left w:val="single" w:color="CCCCCC" w:sz="4"/>
          <w:right w:val="single" w:color="CCCCCC" w:sz="4"/>
        </w:pBdr>
        <w:shd w:fill="F4F4F4" w:val="clear"/>
        <w:spacing w:after="200" w:before="120"/>
      </w:pPr>
      <w:r>
        <w:rPr>
          <w:rFonts w:ascii="Consolas" w:cs="Consolas" w:eastAsia="Consolas" w:hAnsi="Consolas"/>
          <w:color w:val="333333"/>
          <w:sz w:val="18"/>
          <w:szCs w:val="18"/>
        </w:rPr>
        <w:t xml:space="preserve"># Simulate distance (km) based on transport mode</w:t>
      </w:r>
      <w:r>
        <w:rPr>
          <w:rFonts w:ascii="Consolas" w:cs="Consolas" w:eastAsia="Consolas" w:hAnsi="Consolas"/>
          <w:color w:val="333333"/>
          <w:sz w:val="18"/>
          <w:szCs w:val="18"/>
        </w:rPr>
        <w:br/>
        <w:t xml:space="preserve">mode_distance_base = {'Road': 450, 'Rail': 900, 'Air': 1800, 'Sea': 3500}</w:t>
      </w:r>
      <w:r>
        <w:rPr>
          <w:rFonts w:ascii="Consolas" w:cs="Consolas" w:eastAsia="Consolas" w:hAnsi="Consolas"/>
          <w:color w:val="333333"/>
          <w:sz w:val="18"/>
          <w:szCs w:val="18"/>
        </w:rPr>
        <w:br/>
        <w:t xml:space="preserve">df['distance_km'] = df['transport_mode'].apply(</w:t>
      </w:r>
      <w:r>
        <w:rPr>
          <w:rFonts w:ascii="Consolas" w:cs="Consolas" w:eastAsia="Consolas" w:hAnsi="Consolas"/>
          <w:color w:val="333333"/>
          <w:sz w:val="18"/>
          <w:szCs w:val="18"/>
        </w:rPr>
        <w:br/>
        <w:t xml:space="preserve">    lambda m: max(20, np.random.normal(mode_distance_base[m], mode_distance_sd[m]))</w:t>
      </w:r>
      <w:r>
        <w:rPr>
          <w:rFonts w:ascii="Consolas" w:cs="Consolas" w:eastAsia="Consolas" w:hAnsi="Consolas"/>
          <w:color w:val="333333"/>
          <w:sz w:val="18"/>
          <w:szCs w:val="18"/>
        </w:rPr>
        <w:br/>
        <w:t xml:space="preserve">)</w:t>
      </w:r>
      <w:r>
        <w:rPr>
          <w:rFonts w:ascii="Consolas" w:cs="Consolas" w:eastAsia="Consolas" w:hAnsi="Consolas"/>
          <w:color w:val="333333"/>
          <w:sz w:val="18"/>
          <w:szCs w:val="18"/>
        </w:rPr>
        <w:br/>
        <w:t xml:space="preserve"/>
      </w:r>
      <w:r>
        <w:rPr>
          <w:rFonts w:ascii="Consolas" w:cs="Consolas" w:eastAsia="Consolas" w:hAnsi="Consolas"/>
          <w:color w:val="333333"/>
          <w:sz w:val="18"/>
          <w:szCs w:val="18"/>
        </w:rPr>
        <w:br/>
        <w:t xml:space="preserve"># Cost driven by distance, weight, mode-specific rate, and weekend surcharge</w:t>
      </w:r>
      <w:r>
        <w:rPr>
          <w:rFonts w:ascii="Consolas" w:cs="Consolas" w:eastAsia="Consolas" w:hAnsi="Consolas"/>
          <w:color w:val="333333"/>
          <w:sz w:val="18"/>
          <w:szCs w:val="18"/>
        </w:rPr>
        <w:br/>
        <w:t xml:space="preserve">def compute_cost(row):</w:t>
      </w:r>
      <w:r>
        <w:rPr>
          <w:rFonts w:ascii="Consolas" w:cs="Consolas" w:eastAsia="Consolas" w:hAnsi="Consolas"/>
          <w:color w:val="333333"/>
          <w:sz w:val="18"/>
          <w:szCs w:val="18"/>
        </w:rPr>
        <w:br/>
        <w:t xml:space="preserve">    tons = row['shipment_weight_kg'] / 1000.0</w:t>
      </w:r>
      <w:r>
        <w:rPr>
          <w:rFonts w:ascii="Consolas" w:cs="Consolas" w:eastAsia="Consolas" w:hAnsi="Consolas"/>
          <w:color w:val="333333"/>
          <w:sz w:val="18"/>
          <w:szCs w:val="18"/>
        </w:rPr>
        <w:br/>
        <w:t xml:space="preserve">    rate = mode_cost_per_km_per_ton[row['transport_mode']]</w:t>
      </w:r>
      <w:r>
        <w:rPr>
          <w:rFonts w:ascii="Consolas" w:cs="Consolas" w:eastAsia="Consolas" w:hAnsi="Consolas"/>
          <w:color w:val="333333"/>
          <w:sz w:val="18"/>
          <w:szCs w:val="18"/>
        </w:rPr>
        <w:br/>
        <w:t xml:space="preserve">    cost = base_handling_fee[row['transport_mode']] + rate * row['distance_km'] * tons</w:t>
      </w:r>
      <w:r>
        <w:rPr>
          <w:rFonts w:ascii="Consolas" w:cs="Consolas" w:eastAsia="Consolas" w:hAnsi="Consolas"/>
          <w:color w:val="333333"/>
          <w:sz w:val="18"/>
          <w:szCs w:val="18"/>
        </w:rPr>
        <w:br/>
        <w:t xml:space="preserve">    weekend_surcharge = 1.08 if row['is_weekend'] else 1.0</w:t>
      </w:r>
      <w:r>
        <w:rPr>
          <w:rFonts w:ascii="Consolas" w:cs="Consolas" w:eastAsia="Consolas" w:hAnsi="Consolas"/>
          <w:color w:val="333333"/>
          <w:sz w:val="18"/>
          <w:szCs w:val="18"/>
        </w:rPr>
        <w:br/>
        <w:t xml:space="preserve">    return max(15, cost * weekend_surcharge * np.random.normal(1.0, 0.08))</w:t>
      </w:r>
    </w:p>
    <w:p>
      <w:pPr>
        <w:pStyle w:val="Heading1"/>
        <w:spacing w:after="160" w:before="320"/>
      </w:pPr>
      <w:r>
        <w:t xml:space="preserve">3. Exploratory Data Analysis (EDA)</w:t>
      </w:r>
    </w:p>
    <w:p>
      <w:pPr>
        <w:spacing w:after="160" w:line="276"/>
      </w:pPr>
      <w:r>
        <w:rPr>
          <w:color w:val="444444"/>
          <w:sz w:val="22"/>
          <w:szCs w:val="22"/>
        </w:rPr>
        <w:t xml:space="preserve">EDA was conducted to understand central tendencies, spread, and relationships among the key numeric variables, and to profile the categorical composition of the shipment data.</w:t>
      </w:r>
    </w:p>
    <w:p>
      <w:pPr>
        <w:pStyle w:val="Heading2"/>
        <w:spacing w:after="120" w:before="240"/>
      </w:pPr>
      <w:r>
        <w:t xml:space="preserve">3.1 Central Tendency &amp; Dispersion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1300"/>
        <w:gridCol w:w="1300"/>
        <w:gridCol w:w="1300"/>
      </w:tblGrid>
      <w:tr>
        <w:tc>
          <w:tcPr>
            <w:tcW w:type="dxa" w:w="2600"/>
            <w:shd w:fill="1F3864" w:val="clear"/>
            <w:tcMar>
              <w:top w:type="dxa" w:w="60"/>
              <w:left w:type="dxa" w:w="100"/>
              <w:bottom w:type="dxa" w:w="60"/>
              <w:right w:type="dxa" w:w="100"/>
            </w:tcMar>
          </w:tcPr>
          <w:p>
            <w:r>
              <w:rPr>
                <w:b/>
                <w:bCs/>
                <w:color w:val="FFFFFF"/>
                <w:sz w:val="19"/>
                <w:szCs w:val="19"/>
              </w:rPr>
              <w:t xml:space="preserve">Metric</w:t>
            </w:r>
          </w:p>
        </w:tc>
        <w:tc>
          <w:tcPr>
            <w:tcW w:type="dxa" w:w="1300"/>
            <w:shd w:fill="1F3864" w:val="clear"/>
            <w:tcMar>
              <w:top w:type="dxa" w:w="60"/>
              <w:left w:type="dxa" w:w="100"/>
              <w:bottom w:type="dxa" w:w="60"/>
              <w:right w:type="dxa" w:w="100"/>
            </w:tcMar>
          </w:tcPr>
          <w:p>
            <w:r>
              <w:rPr>
                <w:b/>
                <w:bCs/>
                <w:color w:val="FFFFFF"/>
                <w:sz w:val="19"/>
                <w:szCs w:val="19"/>
              </w:rPr>
              <w:t xml:space="preserve">Mean</w:t>
            </w:r>
          </w:p>
        </w:tc>
        <w:tc>
          <w:tcPr>
            <w:tcW w:type="dxa" w:w="1300"/>
            <w:shd w:fill="1F3864" w:val="clear"/>
            <w:tcMar>
              <w:top w:type="dxa" w:w="60"/>
              <w:left w:type="dxa" w:w="100"/>
              <w:bottom w:type="dxa" w:w="60"/>
              <w:right w:type="dxa" w:w="100"/>
            </w:tcMar>
          </w:tcPr>
          <w:p>
            <w:r>
              <w:rPr>
                <w:b/>
                <w:bCs/>
                <w:color w:val="FFFFFF"/>
                <w:sz w:val="19"/>
                <w:szCs w:val="19"/>
              </w:rPr>
              <w:t xml:space="preserve">Median</w:t>
            </w:r>
          </w:p>
        </w:tc>
        <w:tc>
          <w:tcPr>
            <w:tcW w:type="dxa" w:w="1300"/>
            <w:shd w:fill="1F3864" w:val="clear"/>
            <w:tcMar>
              <w:top w:type="dxa" w:w="60"/>
              <w:left w:type="dxa" w:w="100"/>
              <w:bottom w:type="dxa" w:w="60"/>
              <w:right w:type="dxa" w:w="100"/>
            </w:tcMar>
          </w:tcPr>
          <w:p>
            <w:r>
              <w:rPr>
                <w:b/>
                <w:bCs/>
                <w:color w:val="FFFFFF"/>
                <w:sz w:val="19"/>
                <w:szCs w:val="19"/>
              </w:rPr>
              <w:t xml:space="preserve">Std Dev</w:t>
            </w:r>
          </w:p>
        </w:tc>
        <w:tc>
          <w:tcPr>
            <w:tcW w:type="dxa" w:w="1300"/>
            <w:shd w:fill="1F3864" w:val="clear"/>
            <w:tcMar>
              <w:top w:type="dxa" w:w="60"/>
              <w:left w:type="dxa" w:w="100"/>
              <w:bottom w:type="dxa" w:w="60"/>
              <w:right w:type="dxa" w:w="100"/>
            </w:tcMar>
          </w:tcPr>
          <w:p>
            <w:r>
              <w:rPr>
                <w:b/>
                <w:bCs/>
                <w:color w:val="FFFFFF"/>
                <w:sz w:val="19"/>
                <w:szCs w:val="19"/>
              </w:rPr>
              <w:t xml:space="preserve">Min</w:t>
            </w:r>
          </w:p>
        </w:tc>
        <w:tc>
          <w:tcPr>
            <w:tcW w:type="dxa" w:w="1300"/>
            <w:shd w:fill="1F3864" w:val="clear"/>
            <w:tcMar>
              <w:top w:type="dxa" w:w="60"/>
              <w:left w:type="dxa" w:w="100"/>
              <w:bottom w:type="dxa" w:w="60"/>
              <w:right w:type="dxa" w:w="100"/>
            </w:tcMar>
          </w:tcPr>
          <w:p>
            <w:r>
              <w:rPr>
                <w:b/>
                <w:bCs/>
                <w:color w:val="FFFFFF"/>
                <w:sz w:val="19"/>
                <w:szCs w:val="19"/>
              </w:rPr>
              <w:t xml:space="preserve">Max</w:t>
            </w:r>
          </w:p>
        </w:tc>
      </w:tr>
      <w:tr>
        <w:tc>
          <w:tcPr>
            <w:tcW w:type="dxa" w:w="2600"/>
            <w:tcMar>
              <w:top w:type="dxa" w:w="60"/>
              <w:left w:type="dxa" w:w="100"/>
              <w:bottom w:type="dxa" w:w="60"/>
              <w:right w:type="dxa" w:w="100"/>
            </w:tcMar>
          </w:tcPr>
          <w:p>
            <w:r>
              <w:rPr>
                <w:b w:val="false"/>
                <w:bCs w:val="false"/>
                <w:color w:val="222222"/>
                <w:sz w:val="19"/>
                <w:szCs w:val="19"/>
              </w:rPr>
              <w:t xml:space="preserve">Distance (km)</w:t>
            </w:r>
          </w:p>
        </w:tc>
        <w:tc>
          <w:tcPr>
            <w:tcW w:type="dxa" w:w="1300"/>
            <w:tcMar>
              <w:top w:type="dxa" w:w="60"/>
              <w:left w:type="dxa" w:w="100"/>
              <w:bottom w:type="dxa" w:w="60"/>
              <w:right w:type="dxa" w:w="100"/>
            </w:tcMar>
          </w:tcPr>
          <w:p>
            <w:r>
              <w:rPr>
                <w:b w:val="false"/>
                <w:bCs w:val="false"/>
                <w:color w:val="222222"/>
                <w:sz w:val="19"/>
                <w:szCs w:val="19"/>
              </w:rPr>
              <w:t xml:space="preserve">1,253.2</w:t>
            </w:r>
          </w:p>
        </w:tc>
        <w:tc>
          <w:tcPr>
            <w:tcW w:type="dxa" w:w="1300"/>
            <w:tcMar>
              <w:top w:type="dxa" w:w="60"/>
              <w:left w:type="dxa" w:w="100"/>
              <w:bottom w:type="dxa" w:w="60"/>
              <w:right w:type="dxa" w:w="100"/>
            </w:tcMar>
          </w:tcPr>
          <w:p>
            <w:r>
              <w:rPr>
                <w:b w:val="false"/>
                <w:bCs w:val="false"/>
                <w:color w:val="222222"/>
                <w:sz w:val="19"/>
                <w:szCs w:val="19"/>
              </w:rPr>
              <w:t xml:space="preserve">648.4</w:t>
            </w:r>
          </w:p>
        </w:tc>
        <w:tc>
          <w:tcPr>
            <w:tcW w:type="dxa" w:w="1300"/>
            <w:tcMar>
              <w:top w:type="dxa" w:w="60"/>
              <w:left w:type="dxa" w:w="100"/>
              <w:bottom w:type="dxa" w:w="60"/>
              <w:right w:type="dxa" w:w="100"/>
            </w:tcMar>
          </w:tcPr>
          <w:p>
            <w:r>
              <w:rPr>
                <w:b w:val="false"/>
                <w:bCs w:val="false"/>
                <w:color w:val="222222"/>
                <w:sz w:val="19"/>
                <w:szCs w:val="19"/>
              </w:rPr>
              <w:t xml:space="preserve">1,305.7</w:t>
            </w:r>
          </w:p>
        </w:tc>
        <w:tc>
          <w:tcPr>
            <w:tcW w:type="dxa" w:w="1300"/>
            <w:tcMar>
              <w:top w:type="dxa" w:w="60"/>
              <w:left w:type="dxa" w:w="100"/>
              <w:bottom w:type="dxa" w:w="60"/>
              <w:right w:type="dxa" w:w="100"/>
            </w:tcMar>
          </w:tcPr>
          <w:p>
            <w:r>
              <w:rPr>
                <w:b w:val="false"/>
                <w:bCs w:val="false"/>
                <w:color w:val="222222"/>
                <w:sz w:val="19"/>
                <w:szCs w:val="19"/>
              </w:rPr>
              <w:t xml:space="preserve">20.0</w:t>
            </w:r>
          </w:p>
        </w:tc>
        <w:tc>
          <w:tcPr>
            <w:tcW w:type="dxa" w:w="1300"/>
            <w:tcMar>
              <w:top w:type="dxa" w:w="60"/>
              <w:left w:type="dxa" w:w="100"/>
              <w:bottom w:type="dxa" w:w="60"/>
              <w:right w:type="dxa" w:w="100"/>
            </w:tcMar>
          </w:tcPr>
          <w:p>
            <w:r>
              <w:rPr>
                <w:b w:val="false"/>
                <w:bCs w:val="false"/>
                <w:color w:val="222222"/>
                <w:sz w:val="19"/>
                <w:szCs w:val="19"/>
              </w:rPr>
              <w:t xml:space="preserve">6,822.4</w:t>
            </w:r>
          </w:p>
        </w:tc>
      </w:tr>
      <w:tr>
        <w:tc>
          <w:tcPr>
            <w:tcW w:type="dxa" w:w="2600"/>
            <w:tcMar>
              <w:top w:type="dxa" w:w="60"/>
              <w:left w:type="dxa" w:w="100"/>
              <w:bottom w:type="dxa" w:w="60"/>
              <w:right w:type="dxa" w:w="100"/>
            </w:tcMar>
          </w:tcPr>
          <w:p>
            <w:r>
              <w:rPr>
                <w:b w:val="false"/>
                <w:bCs w:val="false"/>
                <w:color w:val="222222"/>
                <w:sz w:val="19"/>
                <w:szCs w:val="19"/>
              </w:rPr>
              <w:t xml:space="preserve">Weight (kg)</w:t>
            </w:r>
          </w:p>
        </w:tc>
        <w:tc>
          <w:tcPr>
            <w:tcW w:type="dxa" w:w="1300"/>
            <w:tcMar>
              <w:top w:type="dxa" w:w="60"/>
              <w:left w:type="dxa" w:w="100"/>
              <w:bottom w:type="dxa" w:w="60"/>
              <w:right w:type="dxa" w:w="100"/>
            </w:tcMar>
          </w:tcPr>
          <w:p>
            <w:r>
              <w:rPr>
                <w:b w:val="false"/>
                <w:bCs w:val="false"/>
                <w:color w:val="222222"/>
                <w:sz w:val="19"/>
                <w:szCs w:val="19"/>
              </w:rPr>
              <w:t xml:space="preserve">553.0</w:t>
            </w:r>
          </w:p>
        </w:tc>
        <w:tc>
          <w:tcPr>
            <w:tcW w:type="dxa" w:w="1300"/>
            <w:tcMar>
              <w:top w:type="dxa" w:w="60"/>
              <w:left w:type="dxa" w:w="100"/>
              <w:bottom w:type="dxa" w:w="60"/>
              <w:right w:type="dxa" w:w="100"/>
            </w:tcMar>
          </w:tcPr>
          <w:p>
            <w:r>
              <w:rPr>
                <w:b w:val="false"/>
                <w:bCs w:val="false"/>
                <w:color w:val="222222"/>
                <w:sz w:val="19"/>
                <w:szCs w:val="19"/>
              </w:rPr>
              <w:t xml:space="preserve">373.8</w:t>
            </w:r>
          </w:p>
        </w:tc>
        <w:tc>
          <w:tcPr>
            <w:tcW w:type="dxa" w:w="1300"/>
            <w:tcMar>
              <w:top w:type="dxa" w:w="60"/>
              <w:left w:type="dxa" w:w="100"/>
              <w:bottom w:type="dxa" w:w="60"/>
              <w:right w:type="dxa" w:w="100"/>
            </w:tcMar>
          </w:tcPr>
          <w:p>
            <w:r>
              <w:rPr>
                <w:b w:val="false"/>
                <w:bCs w:val="false"/>
                <w:color w:val="222222"/>
                <w:sz w:val="19"/>
                <w:szCs w:val="19"/>
              </w:rPr>
              <w:t xml:space="preserve">527.2</w:t>
            </w:r>
          </w:p>
        </w:tc>
        <w:tc>
          <w:tcPr>
            <w:tcW w:type="dxa" w:w="1300"/>
            <w:tcMar>
              <w:top w:type="dxa" w:w="60"/>
              <w:left w:type="dxa" w:w="100"/>
              <w:bottom w:type="dxa" w:w="60"/>
              <w:right w:type="dxa" w:w="100"/>
            </w:tcMar>
          </w:tcPr>
          <w:p>
            <w:r>
              <w:rPr>
                <w:b w:val="false"/>
                <w:bCs w:val="false"/>
                <w:color w:val="222222"/>
                <w:sz w:val="19"/>
                <w:szCs w:val="19"/>
              </w:rPr>
              <w:t xml:space="preserve">10.0</w:t>
            </w:r>
          </w:p>
        </w:tc>
        <w:tc>
          <w:tcPr>
            <w:tcW w:type="dxa" w:w="1300"/>
            <w:tcMar>
              <w:top w:type="dxa" w:w="60"/>
              <w:left w:type="dxa" w:w="100"/>
              <w:bottom w:type="dxa" w:w="60"/>
              <w:right w:type="dxa" w:w="100"/>
            </w:tcMar>
          </w:tcPr>
          <w:p>
            <w:r>
              <w:rPr>
                <w:b w:val="false"/>
                <w:bCs w:val="false"/>
                <w:color w:val="222222"/>
                <w:sz w:val="19"/>
                <w:szCs w:val="19"/>
              </w:rPr>
              <w:t xml:space="preserve">4,330.3</w:t>
            </w:r>
          </w:p>
        </w:tc>
      </w:tr>
      <w:tr>
        <w:tc>
          <w:tcPr>
            <w:tcW w:type="dxa" w:w="2600"/>
            <w:tcMar>
              <w:top w:type="dxa" w:w="60"/>
              <w:left w:type="dxa" w:w="100"/>
              <w:bottom w:type="dxa" w:w="60"/>
              <w:right w:type="dxa" w:w="100"/>
            </w:tcMar>
          </w:tcPr>
          <w:p>
            <w:r>
              <w:rPr>
                <w:b w:val="false"/>
                <w:bCs w:val="false"/>
                <w:color w:val="222222"/>
                <w:sz w:val="19"/>
                <w:szCs w:val="19"/>
              </w:rPr>
              <w:t xml:space="preserve">Cost (USD)</w:t>
            </w:r>
          </w:p>
        </w:tc>
        <w:tc>
          <w:tcPr>
            <w:tcW w:type="dxa" w:w="1300"/>
            <w:tcMar>
              <w:top w:type="dxa" w:w="60"/>
              <w:left w:type="dxa" w:w="100"/>
              <w:bottom w:type="dxa" w:w="60"/>
              <w:right w:type="dxa" w:w="100"/>
            </w:tcMar>
          </w:tcPr>
          <w:p>
            <w:r>
              <w:rPr>
                <w:b w:val="false"/>
                <w:bCs w:val="false"/>
                <w:color w:val="222222"/>
                <w:sz w:val="19"/>
                <w:szCs w:val="19"/>
              </w:rPr>
              <w:t xml:space="preserve">134.4</w:t>
            </w:r>
          </w:p>
        </w:tc>
        <w:tc>
          <w:tcPr>
            <w:tcW w:type="dxa" w:w="1300"/>
            <w:tcMar>
              <w:top w:type="dxa" w:w="60"/>
              <w:left w:type="dxa" w:w="100"/>
              <w:bottom w:type="dxa" w:w="60"/>
              <w:right w:type="dxa" w:w="100"/>
            </w:tcMar>
          </w:tcPr>
          <w:p>
            <w:r>
              <w:rPr>
                <w:b w:val="false"/>
                <w:bCs w:val="false"/>
                <w:color w:val="222222"/>
                <w:sz w:val="19"/>
                <w:szCs w:val="19"/>
              </w:rPr>
              <w:t xml:space="preserve">68.1</w:t>
            </w:r>
          </w:p>
        </w:tc>
        <w:tc>
          <w:tcPr>
            <w:tcW w:type="dxa" w:w="1300"/>
            <w:tcMar>
              <w:top w:type="dxa" w:w="60"/>
              <w:left w:type="dxa" w:w="100"/>
              <w:bottom w:type="dxa" w:w="60"/>
              <w:right w:type="dxa" w:w="100"/>
            </w:tcMar>
          </w:tcPr>
          <w:p>
            <w:r>
              <w:rPr>
                <w:b w:val="false"/>
                <w:bCs w:val="false"/>
                <w:color w:val="222222"/>
                <w:sz w:val="19"/>
                <w:szCs w:val="19"/>
              </w:rPr>
              <w:t xml:space="preserve">198.9</w:t>
            </w:r>
          </w:p>
        </w:tc>
        <w:tc>
          <w:tcPr>
            <w:tcW w:type="dxa" w:w="1300"/>
            <w:tcMar>
              <w:top w:type="dxa" w:w="60"/>
              <w:left w:type="dxa" w:w="100"/>
              <w:bottom w:type="dxa" w:w="60"/>
              <w:right w:type="dxa" w:w="100"/>
            </w:tcMar>
          </w:tcPr>
          <w:p>
            <w:r>
              <w:rPr>
                <w:b w:val="false"/>
                <w:bCs w:val="false"/>
                <w:color w:val="222222"/>
                <w:sz w:val="19"/>
                <w:szCs w:val="19"/>
              </w:rPr>
              <w:t xml:space="preserve">19.6</w:t>
            </w:r>
          </w:p>
        </w:tc>
        <w:tc>
          <w:tcPr>
            <w:tcW w:type="dxa" w:w="1300"/>
            <w:tcMar>
              <w:top w:type="dxa" w:w="60"/>
              <w:left w:type="dxa" w:w="100"/>
              <w:bottom w:type="dxa" w:w="60"/>
              <w:right w:type="dxa" w:w="100"/>
            </w:tcMar>
          </w:tcPr>
          <w:p>
            <w:r>
              <w:rPr>
                <w:b w:val="false"/>
                <w:bCs w:val="false"/>
                <w:color w:val="222222"/>
                <w:sz w:val="19"/>
                <w:szCs w:val="19"/>
              </w:rPr>
              <w:t xml:space="preserve">3,142.4</w:t>
            </w:r>
          </w:p>
        </w:tc>
      </w:tr>
      <w:tr>
        <w:tc>
          <w:tcPr>
            <w:tcW w:type="dxa" w:w="2600"/>
            <w:tcMar>
              <w:top w:type="dxa" w:w="60"/>
              <w:left w:type="dxa" w:w="100"/>
              <w:bottom w:type="dxa" w:w="60"/>
              <w:right w:type="dxa" w:w="100"/>
            </w:tcMar>
          </w:tcPr>
          <w:p>
            <w:r>
              <w:rPr>
                <w:b w:val="false"/>
                <w:bCs w:val="false"/>
                <w:color w:val="222222"/>
                <w:sz w:val="19"/>
                <w:szCs w:val="19"/>
              </w:rPr>
              <w:t xml:space="preserve">Delivery Time (days)</w:t>
            </w:r>
          </w:p>
        </w:tc>
        <w:tc>
          <w:tcPr>
            <w:tcW w:type="dxa" w:w="1300"/>
            <w:tcMar>
              <w:top w:type="dxa" w:w="60"/>
              <w:left w:type="dxa" w:w="100"/>
              <w:bottom w:type="dxa" w:w="60"/>
              <w:right w:type="dxa" w:w="100"/>
            </w:tcMar>
          </w:tcPr>
          <w:p>
            <w:r>
              <w:rPr>
                <w:b w:val="false"/>
                <w:bCs w:val="false"/>
                <w:color w:val="222222"/>
                <w:sz w:val="19"/>
                <w:szCs w:val="19"/>
              </w:rPr>
              <w:t xml:space="preserve">3.55</w:t>
            </w:r>
          </w:p>
        </w:tc>
        <w:tc>
          <w:tcPr>
            <w:tcW w:type="dxa" w:w="1300"/>
            <w:tcMar>
              <w:top w:type="dxa" w:w="60"/>
              <w:left w:type="dxa" w:w="100"/>
              <w:bottom w:type="dxa" w:w="60"/>
              <w:right w:type="dxa" w:w="100"/>
            </w:tcMar>
          </w:tcPr>
          <w:p>
            <w:r>
              <w:rPr>
                <w:b w:val="false"/>
                <w:bCs w:val="false"/>
                <w:color w:val="222222"/>
                <w:sz w:val="19"/>
                <w:szCs w:val="19"/>
              </w:rPr>
              <w:t xml:space="preserve">2.30</w:t>
            </w:r>
          </w:p>
        </w:tc>
        <w:tc>
          <w:tcPr>
            <w:tcW w:type="dxa" w:w="1300"/>
            <w:tcMar>
              <w:top w:type="dxa" w:w="60"/>
              <w:left w:type="dxa" w:w="100"/>
              <w:bottom w:type="dxa" w:w="60"/>
              <w:right w:type="dxa" w:w="100"/>
            </w:tcMar>
          </w:tcPr>
          <w:p>
            <w:r>
              <w:rPr>
                <w:b w:val="false"/>
                <w:bCs w:val="false"/>
                <w:color w:val="222222"/>
                <w:sz w:val="19"/>
                <w:szCs w:val="19"/>
              </w:rPr>
              <w:t xml:space="preserve">3.17</w:t>
            </w:r>
          </w:p>
        </w:tc>
        <w:tc>
          <w:tcPr>
            <w:tcW w:type="dxa" w:w="1300"/>
            <w:tcMar>
              <w:top w:type="dxa" w:w="60"/>
              <w:left w:type="dxa" w:w="100"/>
              <w:bottom w:type="dxa" w:w="60"/>
              <w:right w:type="dxa" w:w="100"/>
            </w:tcMar>
          </w:tcPr>
          <w:p>
            <w:r>
              <w:rPr>
                <w:b w:val="false"/>
                <w:bCs w:val="false"/>
                <w:color w:val="222222"/>
                <w:sz w:val="19"/>
                <w:szCs w:val="19"/>
              </w:rPr>
              <w:t xml:space="preserve">0.50</w:t>
            </w:r>
          </w:p>
        </w:tc>
        <w:tc>
          <w:tcPr>
            <w:tcW w:type="dxa" w:w="1300"/>
            <w:tcMar>
              <w:top w:type="dxa" w:w="60"/>
              <w:left w:type="dxa" w:w="100"/>
              <w:bottom w:type="dxa" w:w="60"/>
              <w:right w:type="dxa" w:w="100"/>
            </w:tcMar>
          </w:tcPr>
          <w:p>
            <w:r>
              <w:rPr>
                <w:b w:val="false"/>
                <w:bCs w:val="false"/>
                <w:color w:val="222222"/>
                <w:sz w:val="19"/>
                <w:szCs w:val="19"/>
              </w:rPr>
              <w:t xml:space="preserve">16.33</w:t>
            </w:r>
          </w:p>
        </w:tc>
      </w:tr>
      <w:tr>
        <w:tc>
          <w:tcPr>
            <w:tcW w:type="dxa" w:w="2600"/>
            <w:tcMar>
              <w:top w:type="dxa" w:w="60"/>
              <w:left w:type="dxa" w:w="100"/>
              <w:bottom w:type="dxa" w:w="60"/>
              <w:right w:type="dxa" w:w="100"/>
            </w:tcMar>
          </w:tcPr>
          <w:p>
            <w:r>
              <w:rPr>
                <w:b w:val="false"/>
                <w:bCs w:val="false"/>
                <w:color w:val="222222"/>
                <w:sz w:val="19"/>
                <w:szCs w:val="19"/>
              </w:rPr>
              <w:t xml:space="preserve">Delay (days)</w:t>
            </w:r>
          </w:p>
        </w:tc>
        <w:tc>
          <w:tcPr>
            <w:tcW w:type="dxa" w:w="1300"/>
            <w:tcMar>
              <w:top w:type="dxa" w:w="60"/>
              <w:left w:type="dxa" w:w="100"/>
              <w:bottom w:type="dxa" w:w="60"/>
              <w:right w:type="dxa" w:w="100"/>
            </w:tcMar>
          </w:tcPr>
          <w:p>
            <w:r>
              <w:rPr>
                <w:b w:val="false"/>
                <w:bCs w:val="false"/>
                <w:color w:val="222222"/>
                <w:sz w:val="19"/>
                <w:szCs w:val="19"/>
              </w:rPr>
              <w:t xml:space="preserve">-0.88</w:t>
            </w:r>
          </w:p>
        </w:tc>
        <w:tc>
          <w:tcPr>
            <w:tcW w:type="dxa" w:w="1300"/>
            <w:tcMar>
              <w:top w:type="dxa" w:w="60"/>
              <w:left w:type="dxa" w:w="100"/>
              <w:bottom w:type="dxa" w:w="60"/>
              <w:right w:type="dxa" w:w="100"/>
            </w:tcMar>
          </w:tcPr>
          <w:p>
            <w:r>
              <w:rPr>
                <w:b w:val="false"/>
                <w:bCs w:val="false"/>
                <w:color w:val="222222"/>
                <w:sz w:val="19"/>
                <w:szCs w:val="19"/>
              </w:rPr>
              <w:t xml:space="preserve">-0.96</w:t>
            </w:r>
          </w:p>
        </w:tc>
        <w:tc>
          <w:tcPr>
            <w:tcW w:type="dxa" w:w="1300"/>
            <w:tcMar>
              <w:top w:type="dxa" w:w="60"/>
              <w:left w:type="dxa" w:w="100"/>
              <w:bottom w:type="dxa" w:w="60"/>
              <w:right w:type="dxa" w:w="100"/>
            </w:tcMar>
          </w:tcPr>
          <w:p>
            <w:r>
              <w:rPr>
                <w:b w:val="false"/>
                <w:bCs w:val="false"/>
                <w:color w:val="222222"/>
                <w:sz w:val="19"/>
                <w:szCs w:val="19"/>
              </w:rPr>
              <w:t xml:space="preserve">1.14</w:t>
            </w:r>
          </w:p>
        </w:tc>
        <w:tc>
          <w:tcPr>
            <w:tcW w:type="dxa" w:w="1300"/>
            <w:tcMar>
              <w:top w:type="dxa" w:w="60"/>
              <w:left w:type="dxa" w:w="100"/>
              <w:bottom w:type="dxa" w:w="60"/>
              <w:right w:type="dxa" w:w="100"/>
            </w:tcMar>
          </w:tcPr>
          <w:p>
            <w:r>
              <w:rPr>
                <w:b w:val="false"/>
                <w:bCs w:val="false"/>
                <w:color w:val="222222"/>
                <w:sz w:val="19"/>
                <w:szCs w:val="19"/>
              </w:rPr>
              <w:t xml:space="preserve">-5.24</w:t>
            </w:r>
          </w:p>
        </w:tc>
        <w:tc>
          <w:tcPr>
            <w:tcW w:type="dxa" w:w="1300"/>
            <w:tcMar>
              <w:top w:type="dxa" w:w="60"/>
              <w:left w:type="dxa" w:w="100"/>
              <w:bottom w:type="dxa" w:w="60"/>
              <w:right w:type="dxa" w:w="100"/>
            </w:tcMar>
          </w:tcPr>
          <w:p>
            <w:r>
              <w:rPr>
                <w:b w:val="false"/>
                <w:bCs w:val="false"/>
                <w:color w:val="222222"/>
                <w:sz w:val="19"/>
                <w:szCs w:val="19"/>
              </w:rPr>
              <w:t xml:space="preserve">6.33</w:t>
            </w:r>
          </w:p>
        </w:tc>
      </w:tr>
      <w:tr>
        <w:tc>
          <w:tcPr>
            <w:tcW w:type="dxa" w:w="2600"/>
            <w:tcMar>
              <w:top w:type="dxa" w:w="60"/>
              <w:left w:type="dxa" w:w="100"/>
              <w:bottom w:type="dxa" w:w="60"/>
              <w:right w:type="dxa" w:w="100"/>
            </w:tcMar>
          </w:tcPr>
          <w:p>
            <w:r>
              <w:rPr>
                <w:b w:val="false"/>
                <w:bCs w:val="false"/>
                <w:color w:val="222222"/>
                <w:sz w:val="19"/>
                <w:szCs w:val="19"/>
              </w:rPr>
              <w:t xml:space="preserve">Satisfaction (1-5)</w:t>
            </w:r>
          </w:p>
        </w:tc>
        <w:tc>
          <w:tcPr>
            <w:tcW w:type="dxa" w:w="1300"/>
            <w:tcMar>
              <w:top w:type="dxa" w:w="60"/>
              <w:left w:type="dxa" w:w="100"/>
              <w:bottom w:type="dxa" w:w="60"/>
              <w:right w:type="dxa" w:w="100"/>
            </w:tcMar>
          </w:tcPr>
          <w:p>
            <w:r>
              <w:rPr>
                <w:b w:val="false"/>
                <w:bCs w:val="false"/>
                <w:color w:val="222222"/>
                <w:sz w:val="19"/>
                <w:szCs w:val="19"/>
              </w:rPr>
              <w:t xml:space="preserve">4.30</w:t>
            </w:r>
          </w:p>
        </w:tc>
        <w:tc>
          <w:tcPr>
            <w:tcW w:type="dxa" w:w="1300"/>
            <w:tcMar>
              <w:top w:type="dxa" w:w="60"/>
              <w:left w:type="dxa" w:w="100"/>
              <w:bottom w:type="dxa" w:w="60"/>
              <w:right w:type="dxa" w:w="100"/>
            </w:tcMar>
          </w:tcPr>
          <w:p>
            <w:r>
              <w:rPr>
                <w:b w:val="false"/>
                <w:bCs w:val="false"/>
                <w:color w:val="222222"/>
                <w:sz w:val="19"/>
                <w:szCs w:val="19"/>
              </w:rPr>
              <w:t xml:space="preserve">4.50</w:t>
            </w:r>
          </w:p>
        </w:tc>
        <w:tc>
          <w:tcPr>
            <w:tcW w:type="dxa" w:w="1300"/>
            <w:tcMar>
              <w:top w:type="dxa" w:w="60"/>
              <w:left w:type="dxa" w:w="100"/>
              <w:bottom w:type="dxa" w:w="60"/>
              <w:right w:type="dxa" w:w="100"/>
            </w:tcMar>
          </w:tcPr>
          <w:p>
            <w:r>
              <w:rPr>
                <w:b w:val="false"/>
                <w:bCs w:val="false"/>
                <w:color w:val="222222"/>
                <w:sz w:val="19"/>
                <w:szCs w:val="19"/>
              </w:rPr>
              <w:t xml:space="preserve">0.53</w:t>
            </w:r>
          </w:p>
        </w:tc>
        <w:tc>
          <w:tcPr>
            <w:tcW w:type="dxa" w:w="1300"/>
            <w:tcMar>
              <w:top w:type="dxa" w:w="60"/>
              <w:left w:type="dxa" w:w="100"/>
              <w:bottom w:type="dxa" w:w="60"/>
              <w:right w:type="dxa" w:w="100"/>
            </w:tcMar>
          </w:tcPr>
          <w:p>
            <w:r>
              <w:rPr>
                <w:b w:val="false"/>
                <w:bCs w:val="false"/>
                <w:color w:val="222222"/>
                <w:sz w:val="19"/>
                <w:szCs w:val="19"/>
              </w:rPr>
              <w:t xml:space="preserve">1.0</w:t>
            </w:r>
          </w:p>
        </w:tc>
        <w:tc>
          <w:tcPr>
            <w:tcW w:type="dxa" w:w="1300"/>
            <w:tcMar>
              <w:top w:type="dxa" w:w="60"/>
              <w:left w:type="dxa" w:w="100"/>
              <w:bottom w:type="dxa" w:w="60"/>
              <w:right w:type="dxa" w:w="100"/>
            </w:tcMar>
          </w:tcPr>
          <w:p>
            <w:r>
              <w:rPr>
                <w:b w:val="false"/>
                <w:bCs w:val="false"/>
                <w:color w:val="222222"/>
                <w:sz w:val="19"/>
                <w:szCs w:val="19"/>
              </w:rPr>
              <w:t xml:space="preserve">5.0</w:t>
            </w:r>
          </w:p>
        </w:tc>
      </w:tr>
    </w:tbl>
    <w:p>
      <w:pPr>
        <w:spacing w:after="200"/>
      </w:pPr>
    </w:p>
    <w:p>
      <w:pPr>
        <w:spacing w:after="160" w:line="276"/>
      </w:pPr>
      <w:r>
        <w:rPr>
          <w:color w:val="444444"/>
          <w:sz w:val="22"/>
          <w:szCs w:val="22"/>
        </w:rPr>
        <w:t xml:space="preserve">Distance, weight, and cost are all right-skewed (skewness &gt; 1.5), reflecting that most shipments are short/light/inexpensive while a smaller number of long-haul, heavy, high-value shipments pull the mean above the median — a typical pattern in logistics data. The negative mean delay (-0.88 days) shows that most shipments arrive ahead of their SLA promise, with delays concentrated in a minority of shipments.</w:t>
      </w:r>
    </w:p>
    <w:p>
      <w:pPr>
        <w:pStyle w:val="Heading2"/>
        <w:spacing w:after="120" w:before="240"/>
      </w:pPr>
      <w:r>
        <w:t xml:space="preserve">3.2 Categorical Composition</w:t>
      </w:r>
    </w:p>
    <w:p>
      <w:pPr>
        <w:pStyle w:val="ListParagraph"/>
        <w:numPr>
          <w:ilvl w:val="0"/>
          <w:numId w:val="1"/>
        </w:numPr>
        <w:spacing w:after="90"/>
      </w:pPr>
      <w:r>
        <w:t xml:space="preserve">Transport mode: Road dominates at 54.8% of shipments, followed by Sea (19.2%), Rail (16.2%), and Air (9.9%).</w:t>
      </w:r>
    </w:p>
    <w:p>
      <w:pPr>
        <w:pStyle w:val="ListParagraph"/>
        <w:numPr>
          <w:ilvl w:val="0"/>
          <w:numId w:val="1"/>
        </w:numPr>
        <w:spacing w:after="90"/>
      </w:pPr>
      <w:r>
        <w:t xml:space="preserve">Region: fairly balanced, ranging from North (22.9%) to East (16.7%).</w:t>
      </w:r>
    </w:p>
    <w:p>
      <w:pPr>
        <w:pStyle w:val="ListParagraph"/>
        <w:numPr>
          <w:ilvl w:val="0"/>
          <w:numId w:val="1"/>
        </w:numPr>
        <w:spacing w:after="90"/>
      </w:pPr>
      <w:r>
        <w:t xml:space="preserve">Carrier: Carrier A handles the largest share (30.4%), Carrier D the smallest (19.8%).</w:t>
      </w:r>
    </w:p>
    <w:p>
      <w:pPr>
        <w:pStyle w:val="ListParagraph"/>
        <w:numPr>
          <w:ilvl w:val="0"/>
          <w:numId w:val="1"/>
        </w:numPr>
        <w:spacing w:after="90"/>
      </w:pPr>
      <w:r>
        <w:t xml:space="preserve">Product category: Consumer Goods (26.5%) and Electronics (22.6%) are the largest categories.</w:t>
      </w:r>
    </w:p>
    <w:p>
      <w:pPr>
        <w:pStyle w:val="Heading2"/>
        <w:spacing w:after="120" w:before="240"/>
      </w:pPr>
      <w:r>
        <w:t xml:space="preserve">3.3 Correlation Highlights</w:t>
      </w:r>
    </w:p>
    <w:p>
      <w:pPr>
        <w:pStyle w:val="ListParagraph"/>
        <w:numPr>
          <w:ilvl w:val="0"/>
          <w:numId w:val="1"/>
        </w:numPr>
        <w:spacing w:after="90"/>
      </w:pPr>
      <w:r>
        <w:t xml:space="preserve">Distance and delivery time are strongly correlated (r = 0.89) — the expected physical relationship.</w:t>
      </w:r>
    </w:p>
    <w:p>
      <w:pPr>
        <w:pStyle w:val="ListParagraph"/>
        <w:numPr>
          <w:ilvl w:val="0"/>
          <w:numId w:val="1"/>
        </w:numPr>
        <w:spacing w:after="90"/>
      </w:pPr>
      <w:r>
        <w:t xml:space="preserve">Distance and delay days show a moderate positive correlation (r = 0.55), meaning longer routes carry higher delay risk.</w:t>
      </w:r>
    </w:p>
    <w:p>
      <w:pPr>
        <w:pStyle w:val="ListParagraph"/>
        <w:numPr>
          <w:ilvl w:val="0"/>
          <w:numId w:val="1"/>
        </w:numPr>
        <w:spacing w:after="90"/>
      </w:pPr>
      <w:r>
        <w:t xml:space="preserve">Customer satisfaction correlates negatively with both delay days (r = -0.44) and distance (r = -0.40), confirming that delay is a primary driver of customer experience.</w:t>
      </w:r>
    </w:p>
    <w:p>
      <w:pPr>
        <w:pStyle w:val="ListParagraph"/>
        <w:numPr>
          <w:ilvl w:val="0"/>
          <w:numId w:val="1"/>
        </w:numPr>
        <w:spacing w:after="90"/>
      </w:pPr>
      <w:r>
        <w:t xml:space="preserve">Transportation cost correlates with both distance (r = 0.46) and shipment weight (r = 0.38), consistent with distance- and weight-based pricing.</w:t>
      </w:r>
    </w:p>
    <w:p>
      <w:r>
        <w:br w:type="page"/>
      </w:r>
    </w:p>
    <w:p>
      <w:pPr>
        <w:pStyle w:val="Heading1"/>
        <w:spacing w:after="160" w:before="320"/>
      </w:pPr>
      <w:r>
        <w:t xml:space="preserve">4. Visualizations</w:t>
      </w:r>
    </w:p>
    <w:p>
      <w:pPr>
        <w:spacing w:after="160" w:line="276"/>
      </w:pPr>
      <w:r>
        <w:rPr>
          <w:color w:val="444444"/>
          <w:sz w:val="22"/>
          <w:szCs w:val="22"/>
        </w:rPr>
        <w:t xml:space="preserve">Eight visualizations were produced to examine distributions, relationships, and trends relevant to logistics performance. Each chart type was chosen deliberately to match the analytical question being asked.</w:t>
      </w:r>
    </w:p>
    <w:p>
      <w:pPr>
        <w:pStyle w:val="Heading2"/>
        <w:spacing w:after="120" w:before="240"/>
      </w:pPr>
      <w:r>
        <w:t xml:space="preserve">4.1 Distribution of Delivery Time</w:t>
      </w:r>
    </w:p>
    <w:p>
      <w:pPr>
        <w:spacing w:after="160" w:line="276"/>
      </w:pPr>
      <w:r>
        <w:rPr>
          <w:color w:val="444444"/>
          <w:sz w:val="22"/>
          <w:szCs w:val="22"/>
        </w:rPr>
        <w:t xml:space="preserve">Chosen method: histogram with KDE overlay — the most direct way to see both the shape and density of a single continuous variable.</w:t>
      </w:r>
    </w:p>
    <w:p>
      <w:pPr>
        <w:spacing w:after="80" w:before="120"/>
        <w:jc w:val="center"/>
      </w:pPr>
      <w:r>
        <w:drawing>
          <wp:inline distT="0" distB="0" distL="0" distR="0">
            <wp:extent cx="53340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71850"/>
                    </a:xfrm>
                    <a:prstGeom prst="rect">
                      <a:avLst/>
                    </a:prstGeom>
                  </pic:spPr>
                </pic:pic>
              </a:graphicData>
            </a:graphic>
          </wp:inline>
        </w:drawing>
      </w:r>
    </w:p>
    <w:p>
      <w:pPr>
        <w:spacing w:after="240"/>
        <w:jc w:val="center"/>
      </w:pPr>
      <w:r>
        <w:rPr>
          <w:i/>
          <w:iCs/>
          <w:color w:val="666666"/>
          <w:sz w:val="19"/>
          <w:szCs w:val="19"/>
        </w:rPr>
        <w:t xml:space="preserve">Figure 1. Distribution of delivery time across all shipments.</w:t>
      </w:r>
    </w:p>
    <w:p>
      <w:pPr>
        <w:spacing w:after="160" w:line="276"/>
      </w:pPr>
      <w:r>
        <w:rPr>
          <w:color w:val="444444"/>
          <w:sz w:val="22"/>
          <w:szCs w:val="22"/>
        </w:rPr>
        <w:t xml:space="preserve">The distribution is right-skewed: most shipments deliver within 1–4 days, with a long tail extending toward slower, likely Sea/Air long-haul shipments. This shape confirms the skewness observed in the summary statistics and suggests operational focus should target the tail rather than the median.</w:t>
      </w:r>
    </w:p>
    <w:p>
      <w:pPr>
        <w:pStyle w:val="Heading2"/>
        <w:spacing w:after="120" w:before="240"/>
      </w:pPr>
      <w:r>
        <w:t xml:space="preserve">4.2 Transportation Cost Spread by Mode</w:t>
      </w:r>
    </w:p>
    <w:p>
      <w:pPr>
        <w:spacing w:after="160" w:line="276"/>
      </w:pPr>
      <w:r>
        <w:rPr>
          <w:color w:val="444444"/>
          <w:sz w:val="22"/>
          <w:szCs w:val="22"/>
        </w:rPr>
        <w:t xml:space="preserve">Chosen method: boxplot — ideal for comparing spread, median, and outliers of a numeric variable across multiple categories simultaneously.</w:t>
      </w:r>
    </w:p>
    <w:p>
      <w:pPr>
        <w:spacing w:after="80" w:before="120"/>
        <w:jc w:val="center"/>
      </w:pPr>
      <w:r>
        <w:drawing>
          <wp:inline distT="0" distB="0" distL="0" distR="0">
            <wp:extent cx="53340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71850"/>
                    </a:xfrm>
                    <a:prstGeom prst="rect">
                      <a:avLst/>
                    </a:prstGeom>
                  </pic:spPr>
                </pic:pic>
              </a:graphicData>
            </a:graphic>
          </wp:inline>
        </w:drawing>
      </w:r>
    </w:p>
    <w:p>
      <w:pPr>
        <w:spacing w:after="240"/>
        <w:jc w:val="center"/>
      </w:pPr>
      <w:r>
        <w:rPr>
          <w:i/>
          <w:iCs/>
          <w:color w:val="666666"/>
          <w:sz w:val="19"/>
          <w:szCs w:val="19"/>
        </w:rPr>
        <w:t xml:space="preserve">Figure 2. Transportation cost distribution by transport mode.</w:t>
      </w:r>
    </w:p>
    <w:p>
      <w:pPr>
        <w:spacing w:after="160" w:line="276"/>
      </w:pPr>
      <w:r>
        <w:rPr>
          <w:color w:val="444444"/>
          <w:sz w:val="22"/>
          <w:szCs w:val="22"/>
        </w:rPr>
        <w:t xml:space="preserve">Air freight shows both the highest median cost and the widest spread, reflecting its premium pricing and sensitivity to shipment weight and distance. Road and Rail show tighter, lower-cost distributions, making them the preferred default for cost-sensitive shipments.</w:t>
      </w:r>
    </w:p>
    <w:p>
      <w:pPr>
        <w:pStyle w:val="Heading2"/>
        <w:spacing w:after="120" w:before="240"/>
      </w:pPr>
      <w:r>
        <w:t xml:space="preserve">4.3 Distance vs. Delivery Time by Mode</w:t>
      </w:r>
    </w:p>
    <w:p>
      <w:pPr>
        <w:spacing w:after="160" w:line="276"/>
      </w:pPr>
      <w:r>
        <w:rPr>
          <w:color w:val="444444"/>
          <w:sz w:val="22"/>
          <w:szCs w:val="22"/>
        </w:rPr>
        <w:t xml:space="preserve">Chosen method: scatter plot colored by category — best for revealing a relationship between two continuous variables while showing how a third categorical variable (mode) moderates that relationship.</w:t>
      </w:r>
    </w:p>
    <w:p>
      <w:pPr>
        <w:spacing w:after="80" w:before="120"/>
        <w:jc w:val="center"/>
      </w:pPr>
      <w:r>
        <w:drawing>
          <wp:inline distT="0" distB="0" distL="0" distR="0">
            <wp:extent cx="53340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62325"/>
                    </a:xfrm>
                    <a:prstGeom prst="rect">
                      <a:avLst/>
                    </a:prstGeom>
                  </pic:spPr>
                </pic:pic>
              </a:graphicData>
            </a:graphic>
          </wp:inline>
        </w:drawing>
      </w:r>
    </w:p>
    <w:p>
      <w:pPr>
        <w:spacing w:after="240"/>
        <w:jc w:val="center"/>
      </w:pPr>
      <w:r>
        <w:rPr>
          <w:i/>
          <w:iCs/>
          <w:color w:val="666666"/>
          <w:sz w:val="19"/>
          <w:szCs w:val="19"/>
        </w:rPr>
        <w:t xml:space="preserve">Figure 3. Relationship between distance and delivery time, split by transport mode.</w:t>
      </w:r>
    </w:p>
    <w:p>
      <w:pPr>
        <w:spacing w:after="160" w:line="276"/>
      </w:pPr>
      <w:r>
        <w:rPr>
          <w:color w:val="444444"/>
          <w:sz w:val="22"/>
          <w:szCs w:val="22"/>
        </w:rPr>
        <w:t xml:space="preserve">Each mode forms a distinct band, with Air shipments clustering at low delivery times regardless of distance, while Sea shipments show the steepest time-per-kilometer increase. This clarifies that mode choice — not distance alone — is the dominant lever for delivery speed.</w:t>
      </w:r>
    </w:p>
    <w:p>
      <w:pPr>
        <w:pStyle w:val="Heading2"/>
        <w:spacing w:after="120" w:before="240"/>
      </w:pPr>
      <w:r>
        <w:t xml:space="preserve">4.4 Correlation Matrix</w:t>
      </w:r>
    </w:p>
    <w:p>
      <w:pPr>
        <w:spacing w:after="160" w:line="276"/>
      </w:pPr>
      <w:r>
        <w:rPr>
          <w:color w:val="444444"/>
          <w:sz w:val="22"/>
          <w:szCs w:val="22"/>
        </w:rPr>
        <w:t xml:space="preserve">Chosen method: heatmap — the standard way to compactly visualize many pairwise correlations at once and quickly spot the strongest relationships.</w:t>
      </w:r>
    </w:p>
    <w:p>
      <w:pPr>
        <w:spacing w:after="80" w:before="120"/>
        <w:jc w:val="center"/>
      </w:pPr>
      <w:r>
        <w:drawing>
          <wp:inline distT="0" distB="0" distL="0" distR="0">
            <wp:extent cx="533400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4333875"/>
                    </a:xfrm>
                    <a:prstGeom prst="rect">
                      <a:avLst/>
                    </a:prstGeom>
                  </pic:spPr>
                </pic:pic>
              </a:graphicData>
            </a:graphic>
          </wp:inline>
        </w:drawing>
      </w:r>
    </w:p>
    <w:p>
      <w:pPr>
        <w:spacing w:after="240"/>
        <w:jc w:val="center"/>
      </w:pPr>
      <w:r>
        <w:rPr>
          <w:i/>
          <w:iCs/>
          <w:color w:val="666666"/>
          <w:sz w:val="19"/>
          <w:szCs w:val="19"/>
        </w:rPr>
        <w:t xml:space="preserve">Figure 4. Correlation matrix of key numeric logistics metrics.</w:t>
      </w:r>
    </w:p>
    <w:p>
      <w:pPr>
        <w:spacing w:after="160" w:line="276"/>
      </w:pPr>
      <w:r>
        <w:rPr>
          <w:color w:val="444444"/>
          <w:sz w:val="22"/>
          <w:szCs w:val="22"/>
        </w:rPr>
        <w:t xml:space="preserve">The heatmap makes the distance → delivery time → delay → satisfaction chain visually obvious: darker cells trace a path showing how operational metrics ultimately connect to the customer experience.</w:t>
      </w:r>
    </w:p>
    <w:p>
      <w:pPr>
        <w:pStyle w:val="Heading2"/>
        <w:spacing w:after="120" w:before="240"/>
      </w:pPr>
      <w:r>
        <w:t xml:space="preserve">4.5 Delay Rate by Transport Mode</w:t>
      </w:r>
    </w:p>
    <w:p>
      <w:pPr>
        <w:spacing w:after="160" w:line="276"/>
      </w:pPr>
      <w:r>
        <w:rPr>
          <w:color w:val="444444"/>
          <w:sz w:val="22"/>
          <w:szCs w:val="22"/>
        </w:rPr>
        <w:t xml:space="preserve">Chosen method: annotated bar chart — clearest way to rank and compare a single performance metric (delay %) across a small number of categories.</w:t>
      </w:r>
    </w:p>
    <w:p>
      <w:pPr>
        <w:spacing w:after="80" w:before="120"/>
        <w:jc w:val="center"/>
      </w:pPr>
      <w:r>
        <w:drawing>
          <wp:inline distT="0" distB="0" distL="0" distR="0">
            <wp:extent cx="53340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71850"/>
                    </a:xfrm>
                    <a:prstGeom prst="rect">
                      <a:avLst/>
                    </a:prstGeom>
                  </pic:spPr>
                </pic:pic>
              </a:graphicData>
            </a:graphic>
          </wp:inline>
        </w:drawing>
      </w:r>
    </w:p>
    <w:p>
      <w:pPr>
        <w:spacing w:after="240"/>
        <w:jc w:val="center"/>
      </w:pPr>
      <w:r>
        <w:rPr>
          <w:i/>
          <w:iCs/>
          <w:color w:val="666666"/>
          <w:sz w:val="19"/>
          <w:szCs w:val="19"/>
        </w:rPr>
        <w:t xml:space="preserve">Figure 5. Percentage of shipments delayed, by transport mode.</w:t>
      </w:r>
    </w:p>
    <w:p>
      <w:pPr>
        <w:spacing w:after="160" w:line="276"/>
      </w:pPr>
      <w:r>
        <w:rPr>
          <w:color w:val="444444"/>
          <w:sz w:val="22"/>
          <w:szCs w:val="22"/>
        </w:rPr>
        <w:t xml:space="preserve">Sea freight has by far the highest delay rate (40.9%), more than 4× that of Road (7.3%) and nearly 20× that of Rail (2.1%). This identifies Sea shipments as the primary operational bottleneck in the network.</w:t>
      </w:r>
    </w:p>
    <w:p>
      <w:pPr>
        <w:pStyle w:val="Heading2"/>
        <w:spacing w:after="120" w:before="240"/>
      </w:pPr>
      <w:r>
        <w:t xml:space="preserve">4.6 Monthly Shipment Volume and Cost Trend</w:t>
      </w:r>
    </w:p>
    <w:p>
      <w:pPr>
        <w:spacing w:after="160" w:line="276"/>
      </w:pPr>
      <w:r>
        <w:rPr>
          <w:color w:val="444444"/>
          <w:sz w:val="22"/>
          <w:szCs w:val="22"/>
        </w:rPr>
        <w:t xml:space="preserve">Chosen method: dual-axis line chart — appropriate for tracking two related metrics with different scales (count vs. currency) over time.</w:t>
      </w:r>
    </w:p>
    <w:p>
      <w:pPr>
        <w:spacing w:after="80" w:before="120"/>
        <w:jc w:val="center"/>
      </w:pPr>
      <w:r>
        <w:drawing>
          <wp:inline distT="0" distB="0" distL="0" distR="0">
            <wp:extent cx="53340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152775"/>
                    </a:xfrm>
                    <a:prstGeom prst="rect">
                      <a:avLst/>
                    </a:prstGeom>
                  </pic:spPr>
                </pic:pic>
              </a:graphicData>
            </a:graphic>
          </wp:inline>
        </w:drawing>
      </w:r>
    </w:p>
    <w:p>
      <w:pPr>
        <w:spacing w:after="240"/>
        <w:jc w:val="center"/>
      </w:pPr>
      <w:r>
        <w:rPr>
          <w:i/>
          <w:iCs/>
          <w:color w:val="666666"/>
          <w:sz w:val="19"/>
          <w:szCs w:val="19"/>
        </w:rPr>
        <w:t xml:space="preserve">Figure 6. Monthly shipment volume and average transportation cost, Jan–Jun 2026.</w:t>
      </w:r>
    </w:p>
    <w:p>
      <w:pPr>
        <w:spacing w:after="160" w:line="276"/>
      </w:pPr>
      <w:r>
        <w:rPr>
          <w:color w:val="444444"/>
          <w:sz w:val="22"/>
          <w:szCs w:val="22"/>
        </w:rPr>
        <w:t xml:space="preserve">Shipment volume and average cost move roughly in tandem through Q1 before both trend downward into Q2, suggesting either a seasonal easing of demand or a shift toward smaller, cheaper shipments later in the period.</w:t>
      </w:r>
    </w:p>
    <w:p>
      <w:pPr>
        <w:pStyle w:val="Heading2"/>
        <w:spacing w:after="120" w:before="240"/>
      </w:pPr>
      <w:r>
        <w:t xml:space="preserve">4.7 Product Category Volume by Region</w:t>
      </w:r>
    </w:p>
    <w:p>
      <w:pPr>
        <w:spacing w:after="160" w:line="276"/>
      </w:pPr>
      <w:r>
        <w:rPr>
          <w:color w:val="444444"/>
          <w:sz w:val="22"/>
          <w:szCs w:val="22"/>
        </w:rPr>
        <w:t xml:space="preserve">Chosen method: stacked bar chart — well suited to showing how a total (shipments per region) is composed of categorical sub-groups (product category).</w:t>
      </w:r>
    </w:p>
    <w:p>
      <w:pPr>
        <w:spacing w:after="80" w:before="120"/>
        <w:jc w:val="center"/>
      </w:pPr>
      <w:r>
        <w:drawing>
          <wp:inline distT="0" distB="0" distL="0" distR="0">
            <wp:extent cx="53340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286125"/>
                    </a:xfrm>
                    <a:prstGeom prst="rect">
                      <a:avLst/>
                    </a:prstGeom>
                  </pic:spPr>
                </pic:pic>
              </a:graphicData>
            </a:graphic>
          </wp:inline>
        </w:drawing>
      </w:r>
    </w:p>
    <w:p>
      <w:pPr>
        <w:spacing w:after="240"/>
        <w:jc w:val="center"/>
      </w:pPr>
      <w:r>
        <w:rPr>
          <w:i/>
          <w:iCs/>
          <w:color w:val="666666"/>
          <w:sz w:val="19"/>
          <w:szCs w:val="19"/>
        </w:rPr>
        <w:t xml:space="preserve">Figure 7. Shipment volume by product category, broken down by region.</w:t>
      </w:r>
    </w:p>
    <w:p>
      <w:pPr>
        <w:spacing w:after="160" w:line="276"/>
      </w:pPr>
      <w:r>
        <w:rPr>
          <w:color w:val="444444"/>
          <w:sz w:val="22"/>
          <w:szCs w:val="22"/>
        </w:rPr>
        <w:t xml:space="preserve">Consumer Goods and Electronics are consistently the largest contributors across all regions, indicating these categories should be prioritized when planning regional warehousing and carrier capacity.</w:t>
      </w:r>
    </w:p>
    <w:p>
      <w:pPr>
        <w:pStyle w:val="Heading2"/>
        <w:spacing w:after="120" w:before="240"/>
      </w:pPr>
      <w:r>
        <w:t xml:space="preserve">4.8 Customer Satisfaction: On-Time vs. Delayed</w:t>
      </w:r>
    </w:p>
    <w:p>
      <w:pPr>
        <w:spacing w:after="160" w:line="276"/>
      </w:pPr>
      <w:r>
        <w:rPr>
          <w:color w:val="444444"/>
          <w:sz w:val="22"/>
          <w:szCs w:val="22"/>
        </w:rPr>
        <w:t xml:space="preserve">Chosen method: violin plot — combines a boxplot's summary statistics with a density view, useful here because satisfaction scores cluster at discrete half-point values.</w:t>
      </w:r>
    </w:p>
    <w:p>
      <w:pPr>
        <w:spacing w:after="80" w:before="120"/>
        <w:jc w:val="center"/>
      </w:pPr>
      <w:r>
        <w:drawing>
          <wp:inline distT="0" distB="0" distL="0" distR="0">
            <wp:extent cx="53340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905250"/>
                    </a:xfrm>
                    <a:prstGeom prst="rect">
                      <a:avLst/>
                    </a:prstGeom>
                  </pic:spPr>
                </pic:pic>
              </a:graphicData>
            </a:graphic>
          </wp:inline>
        </w:drawing>
      </w:r>
    </w:p>
    <w:p>
      <w:pPr>
        <w:spacing w:after="240"/>
        <w:jc w:val="center"/>
      </w:pPr>
      <w:r>
        <w:rPr>
          <w:i/>
          <w:iCs/>
          <w:color w:val="666666"/>
          <w:sz w:val="19"/>
          <w:szCs w:val="19"/>
        </w:rPr>
        <w:t xml:space="preserve">Figure 8. Customer satisfaction distribution for on-time vs. delayed shipments.</w:t>
      </w:r>
    </w:p>
    <w:p>
      <w:pPr>
        <w:spacing w:after="160" w:line="276"/>
      </w:pPr>
      <w:r>
        <w:rPr>
          <w:color w:val="444444"/>
          <w:sz w:val="22"/>
          <w:szCs w:val="22"/>
        </w:rPr>
        <w:t xml:space="preserve">On-time shipments cluster tightly near 4.4–4.5, while delayed shipments show a wider, lower distribution centered near 3.8. This visually reinforces that on-time delivery is one of the strongest levers available for improving customer experience.</w:t>
      </w:r>
    </w:p>
    <w:p>
      <w:r>
        <w:br w:type="page"/>
      </w:r>
    </w:p>
    <w:p>
      <w:pPr>
        <w:pStyle w:val="Heading1"/>
        <w:spacing w:after="160" w:before="320"/>
      </w:pPr>
      <w:r>
        <w:t xml:space="preserve">5. Analytical Insights &amp; Recommendations</w:t>
      </w:r>
    </w:p>
    <w:p>
      <w:pPr>
        <w:pStyle w:val="Heading2"/>
        <w:spacing w:after="120" w:before="240"/>
      </w:pPr>
      <w:r>
        <w:t xml:space="preserve">5.1 Key Insights</w:t>
      </w:r>
    </w:p>
    <w:p>
      <w:pPr>
        <w:pStyle w:val="ListParagraph"/>
        <w:numPr>
          <w:ilvl w:val="0"/>
          <w:numId w:val="1"/>
        </w:numPr>
        <w:spacing w:after="90"/>
      </w:pPr>
      <w:r>
        <w:t xml:space="preserve">Sea freight is the network's primary delay bottleneck, with a 40.9% delay rate and the longest average delay (1.57 days) among delayed shipments.</w:t>
      </w:r>
    </w:p>
    <w:p>
      <w:pPr>
        <w:pStyle w:val="ListParagraph"/>
        <w:numPr>
          <w:ilvl w:val="0"/>
          <w:numId w:val="1"/>
        </w:numPr>
        <w:spacing w:after="90"/>
      </w:pPr>
      <w:r>
        <w:t xml:space="preserve">Delivery time is driven overwhelmingly by distance and mode choice (r = 0.89 with distance), not by shipment weight, which has almost no correlation with delivery time.</w:t>
      </w:r>
    </w:p>
    <w:p>
      <w:pPr>
        <w:pStyle w:val="ListParagraph"/>
        <w:numPr>
          <w:ilvl w:val="0"/>
          <w:numId w:val="1"/>
        </w:numPr>
        <w:spacing w:after="90"/>
      </w:pPr>
      <w:r>
        <w:t xml:space="preserve">Weekend dispatch nearly triples the delay rate (28.0% vs. 9.6% for weekday dispatch), pointing to reduced weekend handling capacity as an operational gap.</w:t>
      </w:r>
    </w:p>
    <w:p>
      <w:pPr>
        <w:pStyle w:val="ListParagraph"/>
        <w:numPr>
          <w:ilvl w:val="0"/>
          <w:numId w:val="1"/>
        </w:numPr>
        <w:spacing w:after="90"/>
      </w:pPr>
      <w:r>
        <w:t xml:space="preserve">Customer satisfaction is most strongly driven by delay (r = -0.44), more so than by cost or product category — reliability matters more to customers than price.</w:t>
      </w:r>
    </w:p>
    <w:p>
      <w:pPr>
        <w:pStyle w:val="ListParagraph"/>
        <w:numPr>
          <w:ilvl w:val="0"/>
          <w:numId w:val="1"/>
        </w:numPr>
        <w:spacing w:after="90"/>
      </w:pPr>
      <w:r>
        <w:t xml:space="preserve">Air freight, while fastest and most reliable relative to Sea, carries by far the highest cost per kilogram ($1.07/kg vs. $0.15/kg for Road), making it suitable only for high-value, time-sensitive shipments.</w:t>
      </w:r>
    </w:p>
    <w:p>
      <w:pPr>
        <w:pStyle w:val="ListParagraph"/>
        <w:numPr>
          <w:ilvl w:val="0"/>
          <w:numId w:val="1"/>
        </w:numPr>
        <w:spacing w:after="90"/>
      </w:pPr>
      <w:r>
        <w:t xml:space="preserve">Consumer Goods and Electronics dominate shipment volume across every region, representing the largest opportunity for targeted process improvement.</w:t>
      </w:r>
    </w:p>
    <w:p>
      <w:pPr>
        <w:pStyle w:val="Heading2"/>
        <w:spacing w:after="120" w:before="240"/>
      </w:pPr>
      <w:r>
        <w:t xml:space="preserve">5.2 Recommendations</w:t>
      </w:r>
    </w:p>
    <w:p>
      <w:pPr>
        <w:pStyle w:val="ListParagraph"/>
        <w:numPr>
          <w:ilvl w:val="0"/>
          <w:numId w:val="1"/>
        </w:numPr>
        <w:spacing w:after="90"/>
      </w:pPr>
      <w:r>
        <w:t xml:space="preserve">Prioritize Sea freight process improvements (e.g., port scheduling, buffer time in SLAs) given its outsized contribution to delays and their downstream effect on satisfaction.</w:t>
      </w:r>
    </w:p>
    <w:p>
      <w:pPr>
        <w:pStyle w:val="ListParagraph"/>
        <w:numPr>
          <w:ilvl w:val="0"/>
          <w:numId w:val="1"/>
        </w:numPr>
        <w:spacing w:after="90"/>
      </w:pPr>
      <w:r>
        <w:t xml:space="preserve">Re-evaluate weekend staffing and handling capacity to close the weekday/weekend delay gap.</w:t>
      </w:r>
    </w:p>
    <w:p>
      <w:pPr>
        <w:pStyle w:val="ListParagraph"/>
        <w:numPr>
          <w:ilvl w:val="0"/>
          <w:numId w:val="1"/>
        </w:numPr>
        <w:spacing w:after="90"/>
      </w:pPr>
      <w:r>
        <w:t xml:space="preserve">Reserve Air freight for high-priority, time-sensitive, or high-value shipments only, given its cost premium.</w:t>
      </w:r>
    </w:p>
    <w:p>
      <w:pPr>
        <w:pStyle w:val="ListParagraph"/>
        <w:numPr>
          <w:ilvl w:val="0"/>
          <w:numId w:val="1"/>
        </w:numPr>
        <w:spacing w:after="90"/>
      </w:pPr>
      <w:r>
        <w:t xml:space="preserve">Set mode-specific SLA promises rather than a single blanket delivery promise, since delivery time profiles differ substantially by mode.</w:t>
      </w:r>
    </w:p>
    <w:p>
      <w:pPr>
        <w:pStyle w:val="ListParagraph"/>
        <w:numPr>
          <w:ilvl w:val="0"/>
          <w:numId w:val="1"/>
        </w:numPr>
        <w:spacing w:after="90"/>
      </w:pPr>
      <w:r>
        <w:t xml:space="preserve">Track customer satisfaction alongside on-time performance as a joint KPI, since the data shows delay reduction as one of the most direct levers to improve customer experience.</w:t>
      </w:r>
    </w:p>
    <w:p>
      <w:pPr>
        <w:pStyle w:val="Heading1"/>
        <w:spacing w:after="160" w:before="320"/>
      </w:pPr>
      <w:r>
        <w:t xml:space="preserve">6. Conclusion</w:t>
      </w:r>
    </w:p>
    <w:p>
      <w:pPr>
        <w:spacing w:after="160" w:line="276"/>
      </w:pPr>
      <w:r>
        <w:rPr>
          <w:color w:val="444444"/>
          <w:sz w:val="22"/>
          <w:szCs w:val="22"/>
        </w:rPr>
        <w:t xml:space="preserve">This analysis demonstrates how a structured Python-based workflow — simulation, EDA, and visualization — can convert raw logistics data into concrete operational insight. The clearest finding is that transport mode, not shipment size or region, is the dominant driver of both cost and delivery reliability, and that delay (rather than cost) is the strongest predictor of customer satisfaction. These findings point to Sea freight reliability and weekend handling capacity as the two highest-leverage areas for operational improvement.</w:t>
      </w:r>
    </w:p>
    <w:p>
      <w:r>
        <w:br w:type="page"/>
      </w:r>
    </w:p>
    <w:p>
      <w:pPr>
        <w:pStyle w:val="Heading1"/>
        <w:spacing w:after="160" w:before="320"/>
      </w:pPr>
      <w:r>
        <w:t xml:space="preserve">Appendix: Selected Python Code</w:t>
      </w:r>
    </w:p>
    <w:p>
      <w:pPr>
        <w:pStyle w:val="Heading2"/>
        <w:spacing w:after="120" w:before="240"/>
      </w:pPr>
      <w:r>
        <w:t xml:space="preserve">A.1 Exploratory Data Analysis</w:t>
      </w:r>
    </w:p>
    <w:p>
      <w:pPr>
        <w:pBdr>
          <w:top w:val="single" w:color="CCCCCC" w:sz="4"/>
          <w:bottom w:val="single" w:color="CCCCCC" w:sz="4"/>
          <w:left w:val="single" w:color="CCCCCC" w:sz="4"/>
          <w:right w:val="single" w:color="CCCCCC" w:sz="4"/>
        </w:pBdr>
        <w:shd w:fill="F4F4F4" w:val="clear"/>
        <w:spacing w:after="200" w:before="120"/>
      </w:pPr>
      <w:r>
        <w:rPr>
          <w:rFonts w:ascii="Consolas" w:cs="Consolas" w:eastAsia="Consolas" w:hAnsi="Consolas"/>
          <w:color w:val="333333"/>
          <w:sz w:val="18"/>
          <w:szCs w:val="18"/>
        </w:rPr>
        <w:t xml:space="preserve"># Central tendency &amp; dispersion</w:t>
      </w:r>
      <w:r>
        <w:rPr>
          <w:rFonts w:ascii="Consolas" w:cs="Consolas" w:eastAsia="Consolas" w:hAnsi="Consolas"/>
          <w:color w:val="333333"/>
          <w:sz w:val="18"/>
          <w:szCs w:val="18"/>
        </w:rPr>
        <w:br/>
        <w:t xml:space="preserve">desc = df[numeric_cols].describe().T</w:t>
      </w:r>
      <w:r>
        <w:rPr>
          <w:rFonts w:ascii="Consolas" w:cs="Consolas" w:eastAsia="Consolas" w:hAnsi="Consolas"/>
          <w:color w:val="333333"/>
          <w:sz w:val="18"/>
          <w:szCs w:val="18"/>
        </w:rPr>
        <w:br/>
        <w:t xml:space="preserve">desc['median'] = df[numeric_cols].median()</w:t>
      </w:r>
      <w:r>
        <w:rPr>
          <w:rFonts w:ascii="Consolas" w:cs="Consolas" w:eastAsia="Consolas" w:hAnsi="Consolas"/>
          <w:color w:val="333333"/>
          <w:sz w:val="18"/>
          <w:szCs w:val="18"/>
        </w:rPr>
        <w:br/>
        <w:t xml:space="preserve">desc['skew']   = df[numeric_cols].skew()</w:t>
      </w:r>
      <w:r>
        <w:rPr>
          <w:rFonts w:ascii="Consolas" w:cs="Consolas" w:eastAsia="Consolas" w:hAnsi="Consolas"/>
          <w:color w:val="333333"/>
          <w:sz w:val="18"/>
          <w:szCs w:val="18"/>
        </w:rPr>
        <w:br/>
        <w:t xml:space="preserve"/>
      </w:r>
      <w:r>
        <w:rPr>
          <w:rFonts w:ascii="Consolas" w:cs="Consolas" w:eastAsia="Consolas" w:hAnsi="Consolas"/>
          <w:color w:val="333333"/>
          <w:sz w:val="18"/>
          <w:szCs w:val="18"/>
        </w:rPr>
        <w:br/>
        <w:t xml:space="preserve"># Delay performance by transport mode</w:t>
      </w:r>
      <w:r>
        <w:rPr>
          <w:rFonts w:ascii="Consolas" w:cs="Consolas" w:eastAsia="Consolas" w:hAnsi="Consolas"/>
          <w:color w:val="333333"/>
          <w:sz w:val="18"/>
          <w:szCs w:val="18"/>
        </w:rPr>
        <w:br/>
        <w:t xml:space="preserve">delay_rate = df.groupby('transport_mode')['is_delayed'].mean() * 100</w:t>
      </w:r>
      <w:r>
        <w:rPr>
          <w:rFonts w:ascii="Consolas" w:cs="Consolas" w:eastAsia="Consolas" w:hAnsi="Consolas"/>
          <w:color w:val="333333"/>
          <w:sz w:val="18"/>
          <w:szCs w:val="18"/>
        </w:rPr>
        <w:br/>
        <w:t xml:space="preserve"/>
      </w:r>
      <w:r>
        <w:rPr>
          <w:rFonts w:ascii="Consolas" w:cs="Consolas" w:eastAsia="Consolas" w:hAnsi="Consolas"/>
          <w:color w:val="333333"/>
          <w:sz w:val="18"/>
          <w:szCs w:val="18"/>
        </w:rPr>
        <w:br/>
        <w:t xml:space="preserve"># Correlation matrix</w:t>
      </w:r>
      <w:r>
        <w:rPr>
          <w:rFonts w:ascii="Consolas" w:cs="Consolas" w:eastAsia="Consolas" w:hAnsi="Consolas"/>
          <w:color w:val="333333"/>
          <w:sz w:val="18"/>
          <w:szCs w:val="18"/>
        </w:rPr>
        <w:br/>
        <w:t xml:space="preserve">corr = df[numeric_cols].corr(numeric_only=True)</w:t>
      </w:r>
    </w:p>
    <w:p>
      <w:pPr>
        <w:pStyle w:val="Heading2"/>
        <w:spacing w:after="120" w:before="240"/>
      </w:pPr>
      <w:r>
        <w:t xml:space="preserve">A.2 Visualization Examples</w:t>
      </w:r>
    </w:p>
    <w:p>
      <w:pPr>
        <w:pBdr>
          <w:top w:val="single" w:color="CCCCCC" w:sz="4"/>
          <w:bottom w:val="single" w:color="CCCCCC" w:sz="4"/>
          <w:left w:val="single" w:color="CCCCCC" w:sz="4"/>
          <w:right w:val="single" w:color="CCCCCC" w:sz="4"/>
        </w:pBdr>
        <w:shd w:fill="F4F4F4" w:val="clear"/>
        <w:spacing w:after="200" w:before="120"/>
      </w:pPr>
      <w:r>
        <w:rPr>
          <w:rFonts w:ascii="Consolas" w:cs="Consolas" w:eastAsia="Consolas" w:hAnsi="Consolas"/>
          <w:color w:val="333333"/>
          <w:sz w:val="18"/>
          <w:szCs w:val="18"/>
        </w:rPr>
        <w:t xml:space="preserve"># Correlation heatmap</w:t>
      </w:r>
      <w:r>
        <w:rPr>
          <w:rFonts w:ascii="Consolas" w:cs="Consolas" w:eastAsia="Consolas" w:hAnsi="Consolas"/>
          <w:color w:val="333333"/>
          <w:sz w:val="18"/>
          <w:szCs w:val="18"/>
        </w:rPr>
        <w:br/>
        <w:t xml:space="preserve">sns.heatmap(corr, annot=True, fmt='.2f', cmap='RdBu_r', center=0,</w:t>
      </w:r>
      <w:r>
        <w:rPr>
          <w:rFonts w:ascii="Consolas" w:cs="Consolas" w:eastAsia="Consolas" w:hAnsi="Consolas"/>
          <w:color w:val="333333"/>
          <w:sz w:val="18"/>
          <w:szCs w:val="18"/>
        </w:rPr>
        <w:br/>
        <w:t xml:space="preserve">            vmin=-1, vmax=1, square=True, linewidths=0.5)</w:t>
      </w:r>
      <w:r>
        <w:rPr>
          <w:rFonts w:ascii="Consolas" w:cs="Consolas" w:eastAsia="Consolas" w:hAnsi="Consolas"/>
          <w:color w:val="333333"/>
          <w:sz w:val="18"/>
          <w:szCs w:val="18"/>
        </w:rPr>
        <w:br/>
        <w:t xml:space="preserve"/>
      </w:r>
      <w:r>
        <w:rPr>
          <w:rFonts w:ascii="Consolas" w:cs="Consolas" w:eastAsia="Consolas" w:hAnsi="Consolas"/>
          <w:color w:val="333333"/>
          <w:sz w:val="18"/>
          <w:szCs w:val="18"/>
        </w:rPr>
        <w:br/>
        <w:t xml:space="preserve"># Delay rate bar chart with % labels</w:t>
      </w:r>
      <w:r>
        <w:rPr>
          <w:rFonts w:ascii="Consolas" w:cs="Consolas" w:eastAsia="Consolas" w:hAnsi="Consolas"/>
          <w:color w:val="333333"/>
          <w:sz w:val="18"/>
          <w:szCs w:val="18"/>
        </w:rPr>
        <w:br/>
        <w:t xml:space="preserve">delay_rate = (df.groupby('transport_mode')['is_delayed'].mean()*100).sort_values(ascending=False)</w:t>
      </w:r>
      <w:r>
        <w:rPr>
          <w:rFonts w:ascii="Consolas" w:cs="Consolas" w:eastAsia="Consolas" w:hAnsi="Consolas"/>
          <w:color w:val="333333"/>
          <w:sz w:val="18"/>
          <w:szCs w:val="18"/>
        </w:rPr>
        <w:br/>
        <w:t xml:space="preserve">bars = ax.bar(delay_rate.index, delay_rate.values, color=PALETTE)</w:t>
      </w:r>
      <w:r>
        <w:rPr>
          <w:rFonts w:ascii="Consolas" w:cs="Consolas" w:eastAsia="Consolas" w:hAnsi="Consolas"/>
          <w:color w:val="333333"/>
          <w:sz w:val="18"/>
          <w:szCs w:val="18"/>
        </w:rPr>
        <w:br/>
        <w:t xml:space="preserve">for b in bars:</w:t>
      </w:r>
      <w:r>
        <w:rPr>
          <w:rFonts w:ascii="Consolas" w:cs="Consolas" w:eastAsia="Consolas" w:hAnsi="Consolas"/>
          <w:color w:val="333333"/>
          <w:sz w:val="18"/>
          <w:szCs w:val="18"/>
        </w:rPr>
        <w:br/>
        <w:t xml:space="preserve">    ax.annotate(f'{b.get_height():.1f}%', (b.get_x()+b.get_width()/2, b.get_height()),</w:t>
      </w:r>
      <w:r>
        <w:rPr>
          <w:rFonts w:ascii="Consolas" w:cs="Consolas" w:eastAsia="Consolas" w:hAnsi="Consolas"/>
          <w:color w:val="333333"/>
          <w:sz w:val="18"/>
          <w:szCs w:val="18"/>
        </w:rPr>
        <w:br/>
        <w:t xml:space="preserve">                ha='center', va='bottom')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Logistics Analyzer — Week 3 Task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Calibri" w:cs="Calibri" w:eastAsia="Calibri" w:hAnsi="Calibri"/>
      <w:b/>
      <w:bCs/>
      <w:color w:val="1F3864"/>
      <w:sz w:val="32"/>
      <w:szCs w:val="32"/>
    </w:rPr>
  </w:style>
  <w:style w:type="paragraph" w:styleId="Heading2">
    <w:name w:val="Heading 2"/>
    <w:basedOn w:val="Normal"/>
    <w:next w:val="Normal"/>
    <w:qFormat/>
    <w:pPr>
      <w:spacing w:after="120" w:before="240"/>
    </w:pPr>
    <w:rPr>
      <w:rFonts w:ascii="Calibri" w:cs="Calibri" w:eastAsia="Calibri" w:hAnsi="Calibri"/>
      <w:b/>
      <w:bCs/>
      <w:color w:val="2E509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13b56b2b831a2f5fa60a607f8b57131cc556fc1.png"/><Relationship Id="rId10" Type="http://schemas.openxmlformats.org/officeDocument/2006/relationships/image" Target="media/7f45ddd611118c3159da681a614b580a9a2ac96c.png"/><Relationship Id="rId11" Type="http://schemas.openxmlformats.org/officeDocument/2006/relationships/image" Target="media/b6829570204a9b77127dcb23590fae17aeb6a81f.png"/><Relationship Id="rId12" Type="http://schemas.openxmlformats.org/officeDocument/2006/relationships/image" Target="media/b7021a750729bc71a3966e5efd2007c98d8c6c83.png"/><Relationship Id="rId13" Type="http://schemas.openxmlformats.org/officeDocument/2006/relationships/image" Target="media/1c64211e44c0658fd7ba1f01187ba55f278c1846.png"/><Relationship Id="rId14" Type="http://schemas.openxmlformats.org/officeDocument/2006/relationships/image" Target="media/dc15429aa8be5a911f27316c33b1f15a7f4f3973.png"/><Relationship Id="rId15" Type="http://schemas.openxmlformats.org/officeDocument/2006/relationships/image" Target="media/2f500085605a55b2ac5903a433fd02ed799ba6ef.png"/><Relationship Id="rId16" Type="http://schemas.openxmlformats.org/officeDocument/2006/relationships/image" Target="media/bfb9af9ddbc943cd4a859cfe7226550c141476e7.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2026-08-22T05:09:42.621Z</dcterms:created>
  <dcterms:modified xsi:type="dcterms:W3CDTF">2026-08-22T05:09:42.622Z</dcterms:modified>
</cp:coreProperties>
</file>

<file path=docProps/custom.xml><?xml version="1.0" encoding="utf-8"?>
<Properties xmlns="http://schemas.openxmlformats.org/officeDocument/2006/custom-properties" xmlns:vt="http://schemas.openxmlformats.org/officeDocument/2006/docPropsVTypes"/>
</file>