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30066B3">
      <w:pPr>
        <w:spacing w:before="1600"/>
        <w:jc w:val="both"/>
      </w:pPr>
    </w:p>
    <w:p w14:paraId="0E20612F">
      <w:pPr>
        <w:spacing w:after="200"/>
        <w:jc w:val="center"/>
      </w:pPr>
      <w:r>
        <w:rPr>
          <w:rFonts w:ascii="Times New Roman" w:hAnsi="Times New Roman" w:cs="Times New Roman"/>
          <w:b/>
          <w:bCs/>
          <w:sz w:val="40"/>
          <w:szCs w:val="40"/>
        </w:rPr>
        <w:t>Mukaila Akeem Oladimeji</w:t>
      </w:r>
    </w:p>
    <w:p w14:paraId="71F058B6">
      <w:pPr>
        <w:spacing w:after="200" w:line="259" w:lineRule="auto"/>
        <w:jc w:val="center"/>
      </w:pPr>
      <w:r>
        <w:t>220404094</w:t>
      </w:r>
    </w:p>
    <w:p w14:paraId="7E2C95E9">
      <w:pPr>
        <w:spacing w:after="200" w:line="259" w:lineRule="auto"/>
      </w:pPr>
    </w:p>
    <w:p w14:paraId="3FB22644">
      <w:pPr>
        <w:spacing w:after="600"/>
        <w:jc w:val="center"/>
      </w:pPr>
      <w:r>
        <w:rPr>
          <w:rFonts w:ascii="Times New Roman" w:hAnsi="Times New Roman" w:cs="Times New Roman"/>
          <w:b/>
          <w:bCs/>
          <w:sz w:val="32"/>
          <w:szCs w:val="32"/>
        </w:rPr>
        <w:t>IRO Issues Reporting Outlet</w:t>
      </w:r>
    </w:p>
    <w:p w14:paraId="6803DBB2">
      <w:pPr>
        <w:spacing w:after="800"/>
        <w:jc w:val="center"/>
      </w:pPr>
      <w:r>
        <w:rPr>
          <w:rFonts w:ascii="Times New Roman" w:hAnsi="Times New Roman" w:cs="Times New Roman"/>
          <w:sz w:val="22"/>
          <w:szCs w:val="22"/>
        </w:rPr>
        <w:t>Reporting issues concerning AAUA students and indigenes (Akungba, Iwaro, Etioro, Ayegunle indigenes)</w:t>
      </w:r>
    </w:p>
    <w:p w14:paraId="1AA39C1C">
      <w:pPr>
        <w:spacing w:after="800" w:line="259" w:lineRule="auto"/>
      </w:pPr>
    </w:p>
    <w:p w14:paraId="35517A94">
      <w:pPr>
        <w:spacing w:after="800" w:line="259" w:lineRule="auto"/>
      </w:pPr>
    </w:p>
    <w:p w14:paraId="596E2569">
      <w:pPr>
        <w:spacing w:after="800" w:line="259" w:lineRule="auto"/>
      </w:pPr>
    </w:p>
    <w:p w14:paraId="520A23CB">
      <w:pPr>
        <w:spacing w:after="800" w:line="259" w:lineRule="auto"/>
      </w:pPr>
    </w:p>
    <w:p w14:paraId="60E48791">
      <w:pPr>
        <w:spacing w:after="80"/>
        <w:jc w:val="center"/>
      </w:pPr>
      <w:r>
        <w:rPr>
          <w:rFonts w:ascii="Times New Roman" w:hAnsi="Times New Roman" w:cs="Times New Roman"/>
          <w:sz w:val="22"/>
          <w:szCs w:val="22"/>
        </w:rPr>
        <w:t>Prepared for: Dr. O. O. Ajayi</w:t>
      </w:r>
    </w:p>
    <w:p w14:paraId="3D0300E1">
      <w:pPr>
        <w:pageBreakBefore/>
        <w:spacing w:after="160" w:line="259" w:lineRule="auto"/>
        <w:jc w:val="both"/>
      </w:pPr>
      <w:r>
        <w:lastRenderedPageBreak/>
      </w:r>
    </w:p>
    <w:p w14:paraId="21F21F63">
      <w:pPr>
        <w:pStyle w:val="Heading1"/>
        <w:spacing w:before="300" w:after="150"/>
        <w:jc w:val="both"/>
      </w:pPr>
      <w:r>
        <w:rPr>
          <w:rFonts w:ascii="Times New Roman" w:hAnsi="Times New Roman" w:cs="Times New Roman"/>
          <w:b/>
          <w:bCs/>
          <w:sz w:val="32"/>
          <w:szCs w:val="32"/>
        </w:rPr>
        <w:t>1. Introduction</w:t>
      </w:r>
    </w:p>
    <w:p w14:paraId="4BFAF8AD">
      <w:pPr>
        <w:pStyle w:val="Heading2"/>
        <w:spacing w:before="220" w:after="100"/>
        <w:jc w:val="both"/>
      </w:pPr>
      <w:r>
        <w:rPr>
          <w:rFonts w:ascii="Times New Roman" w:hAnsi="Times New Roman" w:cs="Times New Roman"/>
          <w:b/>
          <w:bCs/>
          <w:sz w:val="26"/>
          <w:szCs w:val="26"/>
        </w:rPr>
        <w:t>1.1 Purpose</w:t>
      </w:r>
    </w:p>
    <w:p w14:paraId="054A16DE">
      <w:pPr>
        <w:spacing w:after="140"/>
        <w:jc w:val="both"/>
      </w:pPr>
      <w:r>
        <w:rPr>
          <w:rFonts w:ascii="Times New Roman" w:hAnsi="Times New Roman" w:cs="Times New Roman"/>
          <w:sz w:val="20"/>
          <w:szCs w:val="20"/>
        </w:rPr>
        <w:t>This Software Requirements Specification (SRS) describes the functional and non-functional requirements of the Issues Reporting Outlet (IRO), a web-based system that allows AAUA students and indigenes of the surrounding communities to report and track issues affecting them. It is intended to guide the design, development, and evaluation of the IRO prototype.</w:t>
      </w:r>
    </w:p>
    <w:p w14:paraId="2FB04CC1">
      <w:pPr>
        <w:pStyle w:val="Heading2"/>
        <w:spacing w:before="220" w:after="100"/>
        <w:jc w:val="both"/>
      </w:pPr>
      <w:r>
        <w:rPr>
          <w:rFonts w:ascii="Times New Roman" w:hAnsi="Times New Roman" w:cs="Times New Roman"/>
          <w:b/>
          <w:bCs/>
          <w:sz w:val="26"/>
          <w:szCs w:val="26"/>
        </w:rPr>
        <w:t>1.2 Scope</w:t>
      </w:r>
    </w:p>
    <w:p w14:paraId="6D1F3D8E">
      <w:pPr>
        <w:spacing w:after="140"/>
        <w:jc w:val="both"/>
      </w:pPr>
      <w:r>
        <w:rPr>
          <w:rFonts w:ascii="Times New Roman" w:hAnsi="Times New Roman" w:cs="Times New Roman"/>
          <w:sz w:val="20"/>
          <w:szCs w:val="20"/>
        </w:rPr>
        <w:t>IRO allows registered and anonymous users to submit issue reports describing problems in their community (security, infrastructure, harassment, health, land/housing, etc.), and allows an IRO Officer to review, categorise, update the status of, and export these reports. The prototype is a client-side web application (HTML, CSS, and JavaScript) that stores data as JSON in the browser's local storage, simulating a lightweight reporting database without requiring a backend server.</w:t>
      </w:r>
    </w:p>
    <w:p w14:paraId="395580F7">
      <w:pPr>
        <w:pStyle w:val="Heading2"/>
        <w:spacing w:before="220" w:after="100"/>
        <w:jc w:val="both"/>
      </w:pPr>
      <w:r>
        <w:rPr>
          <w:rFonts w:ascii="Times New Roman" w:hAnsi="Times New Roman" w:cs="Times New Roman"/>
          <w:b/>
          <w:bCs/>
          <w:sz w:val="26"/>
          <w:szCs w:val="26"/>
        </w:rPr>
        <w:t>1.3 Definitions and Abbreviations</w:t>
      </w:r>
    </w:p>
    <w:p w14:paraId="1F3E9196">
      <w:pPr>
        <w:pStyle w:val="ListParagraph"/>
        <w:numPr>
          <w:ilvl w:val="0"/>
          <w:numId w:val="1"/>
        </w:numPr>
        <w:spacing w:after="60"/>
        <w:ind w:left="720" w:hanging="360"/>
        <w:jc w:val="both"/>
      </w:pPr>
      <w:r>
        <w:rPr>
          <w:rFonts w:ascii="Times New Roman" w:hAnsi="Times New Roman" w:cs="Times New Roman"/>
          <w:sz w:val="20"/>
          <w:szCs w:val="20"/>
        </w:rPr>
        <w:t>IRO — Issues Reporting Outlet</w:t>
      </w:r>
    </w:p>
    <w:p w14:paraId="65443285">
      <w:pPr>
        <w:pStyle w:val="ListParagraph"/>
        <w:numPr>
          <w:ilvl w:val="0"/>
          <w:numId w:val="1"/>
        </w:numPr>
        <w:spacing w:after="60"/>
        <w:ind w:left="720" w:hanging="360"/>
        <w:jc w:val="both"/>
      </w:pPr>
      <w:r>
        <w:rPr>
          <w:rFonts w:ascii="Times New Roman" w:hAnsi="Times New Roman" w:cs="Times New Roman"/>
          <w:sz w:val="20"/>
          <w:szCs w:val="20"/>
        </w:rPr>
        <w:t>SRS — Software Requirements Specification</w:t>
      </w:r>
    </w:p>
    <w:p w14:paraId="5526635E">
      <w:pPr>
        <w:pStyle w:val="ListParagraph"/>
        <w:numPr>
          <w:ilvl w:val="0"/>
          <w:numId w:val="1"/>
        </w:numPr>
        <w:spacing w:after="60"/>
        <w:ind w:left="720" w:hanging="360"/>
        <w:jc w:val="both"/>
      </w:pPr>
      <w:r>
        <w:rPr>
          <w:rFonts w:ascii="Times New Roman" w:hAnsi="Times New Roman" w:cs="Times New Roman"/>
          <w:sz w:val="20"/>
          <w:szCs w:val="20"/>
        </w:rPr>
        <w:t>Reporter — a student or indigene who submits an issue report</w:t>
      </w:r>
    </w:p>
    <w:p w14:paraId="351D770A">
      <w:pPr>
        <w:pStyle w:val="ListParagraph"/>
        <w:numPr>
          <w:ilvl w:val="0"/>
          <w:numId w:val="1"/>
        </w:numPr>
        <w:spacing w:after="60"/>
        <w:ind w:left="720" w:hanging="360"/>
        <w:jc w:val="both"/>
      </w:pPr>
      <w:r>
        <w:rPr>
          <w:rFonts w:ascii="Times New Roman" w:hAnsi="Times New Roman" w:cs="Times New Roman"/>
          <w:sz w:val="20"/>
          <w:szCs w:val="20"/>
        </w:rPr>
        <w:t>IRO Officer — an administrator who reviews and manages submitted reports</w:t>
      </w:r>
    </w:p>
    <w:p w14:paraId="6EB0381C">
      <w:pPr>
        <w:pStyle w:val="ListParagraph"/>
        <w:numPr>
          <w:ilvl w:val="0"/>
          <w:numId w:val="1"/>
        </w:numPr>
        <w:spacing w:after="60"/>
        <w:ind w:left="720" w:hanging="360"/>
        <w:jc w:val="both"/>
      </w:pPr>
      <w:r>
        <w:rPr>
          <w:rFonts w:ascii="Times New Roman" w:hAnsi="Times New Roman" w:cs="Times New Roman"/>
          <w:sz w:val="20"/>
          <w:szCs w:val="20"/>
        </w:rPr>
        <w:t>JSON — JavaScript Object Notation, the format used to store report data</w:t>
      </w:r>
    </w:p>
    <w:p w14:paraId="3E5A71CB">
      <w:pPr>
        <w:pStyle w:val="Heading1"/>
        <w:spacing w:before="300" w:after="150"/>
        <w:jc w:val="both"/>
      </w:pPr>
      <w:r>
        <w:rPr>
          <w:rFonts w:ascii="Times New Roman" w:hAnsi="Times New Roman" w:cs="Times New Roman"/>
          <w:b/>
          <w:bCs/>
          <w:sz w:val="32"/>
          <w:szCs w:val="32"/>
        </w:rPr>
        <w:t>2. Overall Description</w:t>
      </w:r>
    </w:p>
    <w:p w14:paraId="35FECBC9">
      <w:pPr>
        <w:pStyle w:val="Heading2"/>
        <w:spacing w:before="220" w:after="100"/>
        <w:jc w:val="both"/>
      </w:pPr>
      <w:r>
        <w:rPr>
          <w:rFonts w:ascii="Times New Roman" w:hAnsi="Times New Roman" w:cs="Times New Roman"/>
          <w:b/>
          <w:bCs/>
          <w:sz w:val="26"/>
          <w:szCs w:val="26"/>
        </w:rPr>
        <w:t>2.1 Product Perspective</w:t>
      </w:r>
    </w:p>
    <w:p w14:paraId="3F264868">
      <w:pPr>
        <w:spacing w:after="140"/>
        <w:jc w:val="both"/>
      </w:pPr>
      <w:r>
        <w:rPr>
          <w:rFonts w:ascii="Times New Roman" w:hAnsi="Times New Roman" w:cs="Times New Roman"/>
          <w:sz w:val="20"/>
          <w:szCs w:val="20"/>
        </w:rPr>
        <w:t>IRO is a standalone, self-contained web application. It does not depend on external servers or third-party APIs; all data persists locally in the user's browser via the localStorage API in JSON form. This design keeps the prototype simple while still demonstrating a realistic reporting workflow.</w:t>
      </w:r>
    </w:p>
    <w:p w14:paraId="10182235">
      <w:pPr>
        <w:pStyle w:val="Heading2"/>
        <w:spacing w:before="220" w:after="100"/>
        <w:jc w:val="both"/>
      </w:pPr>
      <w:r>
        <w:rPr>
          <w:rFonts w:ascii="Times New Roman" w:hAnsi="Times New Roman" w:cs="Times New Roman"/>
          <w:b/>
          <w:bCs/>
          <w:sz w:val="26"/>
          <w:szCs w:val="26"/>
        </w:rPr>
        <w:t>2.2 User Classes and Characteristics</w:t>
      </w:r>
    </w:p>
    <w:tbl>
      <w:tblPr>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200"/>
        <w:gridCol w:w="3600"/>
        <w:gridCol w:w="3200"/>
      </w:tblGrid>
      <w:tr>
        <w:tc>
          <w:tcPr>
            <w:tcW w:w="2200" w:type="dxa"/>
            <w:tcBorders>
              <w:top w:val="single" w:sz="4" w:color="auto"/>
              <w:left w:val="single" w:sz="4" w:color="auto"/>
              <w:bottom w:val="single" w:sz="4" w:color="auto"/>
              <w:right w:val="single" w:sz="4" w:color="auto"/>
            </w:tcBorders>
            <w:shd w:val="clear" w:fill="E9EEF0"/>
          </w:tcPr>
          <w:p w14:paraId="39531B2C">
            <w:pPr>
              <w:spacing w:after="160" w:line="259" w:lineRule="auto"/>
              <w:jc w:val="both"/>
            </w:pPr>
            <w:r>
              <w:rPr>
                <w:rFonts w:ascii="Times New Roman" w:hAnsi="Times New Roman" w:cs="Times New Roman"/>
                <w:b/>
                <w:bCs/>
                <w:sz w:val="20"/>
                <w:szCs w:val="20"/>
              </w:rPr>
              <w:t>User Class</w:t>
            </w:r>
          </w:p>
        </w:tc>
        <w:tc>
          <w:tcPr>
            <w:tcW w:w="3600" w:type="dxa"/>
            <w:tcBorders>
              <w:top w:val="single" w:sz="4" w:color="auto"/>
              <w:left w:val="single" w:sz="4" w:color="auto"/>
              <w:bottom w:val="single" w:sz="4" w:color="auto"/>
              <w:right w:val="single" w:sz="4" w:color="auto"/>
            </w:tcBorders>
            <w:shd w:val="clear" w:fill="E9EEF0"/>
          </w:tcPr>
          <w:p w14:paraId="1ED9E06E">
            <w:pPr>
              <w:spacing w:after="160" w:line="259" w:lineRule="auto"/>
              <w:jc w:val="both"/>
            </w:pPr>
            <w:r>
              <w:rPr>
                <w:rFonts w:ascii="Times New Roman" w:hAnsi="Times New Roman" w:cs="Times New Roman"/>
                <w:b/>
                <w:bCs/>
                <w:sz w:val="20"/>
                <w:szCs w:val="20"/>
              </w:rPr>
              <w:t>Description</w:t>
            </w:r>
          </w:p>
        </w:tc>
        <w:tc>
          <w:tcPr>
            <w:tcW w:w="3200" w:type="dxa"/>
            <w:tcBorders>
              <w:top w:val="single" w:sz="4" w:color="auto"/>
              <w:left w:val="single" w:sz="4" w:color="auto"/>
              <w:bottom w:val="single" w:sz="4" w:color="auto"/>
              <w:right w:val="single" w:sz="4" w:color="auto"/>
            </w:tcBorders>
            <w:shd w:val="clear" w:fill="E9EEF0"/>
          </w:tcPr>
          <w:p w14:paraId="5D269FF4">
            <w:pPr>
              <w:spacing w:after="160" w:line="259" w:lineRule="auto"/>
              <w:jc w:val="both"/>
            </w:pPr>
            <w:r>
              <w:rPr>
                <w:rFonts w:ascii="Times New Roman" w:hAnsi="Times New Roman" w:cs="Times New Roman"/>
                <w:b/>
                <w:bCs/>
                <w:sz w:val="20"/>
                <w:szCs w:val="20"/>
              </w:rPr>
              <w:t>Primary Interaction</w:t>
            </w:r>
          </w:p>
        </w:tc>
      </w:tr>
      <w:tr>
        <w:tc>
          <w:tcPr>
            <w:tcW w:w="2200" w:type="dxa"/>
            <w:tcBorders>
              <w:top w:val="single" w:sz="4" w:color="auto"/>
              <w:left w:val="single" w:sz="4" w:color="auto"/>
              <w:bottom w:val="single" w:sz="4" w:color="auto"/>
              <w:right w:val="single" w:sz="4" w:color="auto"/>
            </w:tcBorders>
          </w:tcPr>
          <w:p w14:paraId="02768B83">
            <w:pPr>
              <w:spacing w:after="160" w:line="259" w:lineRule="auto"/>
              <w:jc w:val="both"/>
            </w:pPr>
            <w:r>
              <w:rPr>
                <w:rFonts w:ascii="Times New Roman" w:hAnsi="Times New Roman" w:cs="Times New Roman"/>
                <w:sz w:val="20"/>
                <w:szCs w:val="20"/>
              </w:rPr>
              <w:t>Reporter</w:t>
            </w:r>
          </w:p>
        </w:tc>
        <w:tc>
          <w:tcPr>
            <w:tcW w:w="3600" w:type="dxa"/>
            <w:tcBorders>
              <w:top w:val="single" w:sz="4" w:color="auto"/>
              <w:left w:val="single" w:sz="4" w:color="auto"/>
              <w:bottom w:val="single" w:sz="4" w:color="auto"/>
              <w:right w:val="single" w:sz="4" w:color="auto"/>
            </w:tcBorders>
          </w:tcPr>
          <w:p w14:paraId="13937F99">
            <w:pPr>
              <w:spacing w:after="160" w:line="259" w:lineRule="auto"/>
              <w:jc w:val="both"/>
            </w:pPr>
            <w:r>
              <w:rPr>
                <w:rFonts w:ascii="Times New Roman" w:hAnsi="Times New Roman" w:cs="Times New Roman"/>
                <w:sz w:val="20"/>
                <w:szCs w:val="20"/>
              </w:rPr>
              <w:t>AAUA student or community indigene</w:t>
            </w:r>
          </w:p>
        </w:tc>
        <w:tc>
          <w:tcPr>
            <w:tcW w:w="3200" w:type="dxa"/>
            <w:tcBorders>
              <w:top w:val="single" w:sz="4" w:color="auto"/>
              <w:left w:val="single" w:sz="4" w:color="auto"/>
              <w:bottom w:val="single" w:sz="4" w:color="auto"/>
              <w:right w:val="single" w:sz="4" w:color="auto"/>
            </w:tcBorders>
          </w:tcPr>
          <w:p w14:paraId="54A9F989">
            <w:pPr>
              <w:spacing w:after="160" w:line="259" w:lineRule="auto"/>
              <w:jc w:val="both"/>
            </w:pPr>
            <w:r>
              <w:rPr>
                <w:rFonts w:ascii="Times New Roman" w:hAnsi="Times New Roman" w:cs="Times New Roman"/>
                <w:sz w:val="20"/>
                <w:szCs w:val="20"/>
              </w:rPr>
              <w:t>Submit issue reports; no login required</w:t>
            </w:r>
          </w:p>
        </w:tc>
      </w:tr>
      <w:tr>
        <w:tc>
          <w:tcPr>
            <w:tcW w:w="2200" w:type="dxa"/>
            <w:tcBorders>
              <w:top w:val="single" w:sz="4" w:color="auto"/>
              <w:left w:val="single" w:sz="4" w:color="auto"/>
              <w:bottom w:val="single" w:sz="4" w:color="auto"/>
              <w:right w:val="single" w:sz="4" w:color="auto"/>
            </w:tcBorders>
          </w:tcPr>
          <w:p w14:paraId="6E4B1D52">
            <w:pPr>
              <w:spacing w:after="160" w:line="259" w:lineRule="auto"/>
              <w:jc w:val="both"/>
            </w:pPr>
            <w:r>
              <w:rPr>
                <w:rFonts w:ascii="Times New Roman" w:hAnsi="Times New Roman" w:cs="Times New Roman"/>
                <w:sz w:val="20"/>
                <w:szCs w:val="20"/>
              </w:rPr>
              <w:t>IRO Officer</w:t>
            </w:r>
          </w:p>
        </w:tc>
        <w:tc>
          <w:tcPr>
            <w:tcW w:w="3600" w:type="dxa"/>
            <w:tcBorders>
              <w:top w:val="single" w:sz="4" w:color="auto"/>
              <w:left w:val="single" w:sz="4" w:color="auto"/>
              <w:bottom w:val="single" w:sz="4" w:color="auto"/>
              <w:right w:val="single" w:sz="4" w:color="auto"/>
            </w:tcBorders>
          </w:tcPr>
          <w:p w14:paraId="33E3AB11">
            <w:pPr>
              <w:spacing w:after="160" w:line="259" w:lineRule="auto"/>
              <w:jc w:val="both"/>
            </w:pPr>
            <w:r>
              <w:rPr>
                <w:rFonts w:ascii="Times New Roman" w:hAnsi="Times New Roman" w:cs="Times New Roman"/>
                <w:sz w:val="20"/>
                <w:szCs w:val="20"/>
              </w:rPr>
              <w:t>Staff managing community issues</w:t>
            </w:r>
          </w:p>
        </w:tc>
        <w:tc>
          <w:tcPr>
            <w:tcW w:w="3200" w:type="dxa"/>
            <w:tcBorders>
              <w:top w:val="single" w:sz="4" w:color="auto"/>
              <w:left w:val="single" w:sz="4" w:color="auto"/>
              <w:bottom w:val="single" w:sz="4" w:color="auto"/>
              <w:right w:val="single" w:sz="4" w:color="auto"/>
            </w:tcBorders>
          </w:tcPr>
          <w:p w14:paraId="1E850186">
            <w:pPr>
              <w:spacing w:after="160" w:line="259" w:lineRule="auto"/>
              <w:jc w:val="both"/>
            </w:pPr>
            <w:r>
              <w:rPr>
                <w:rFonts w:ascii="Times New Roman" w:hAnsi="Times New Roman" w:cs="Times New Roman"/>
                <w:sz w:val="20"/>
                <w:szCs w:val="20"/>
              </w:rPr>
              <w:t>View, filter, update status of, and export reports</w:t>
            </w:r>
          </w:p>
        </w:tc>
      </w:tr>
    </w:tbl>
    <w:p w14:paraId="6EC45F86">
      <w:pPr>
        <w:spacing w:after="200"/>
        <w:jc w:val="both"/>
      </w:pPr>
    </w:p>
    <w:p w14:paraId="0A5219F4">
      <w:pPr>
        <w:pStyle w:val="Heading2"/>
        <w:spacing w:before="220" w:after="100"/>
        <w:jc w:val="both"/>
      </w:pPr>
      <w:r>
        <w:rPr>
          <w:rFonts w:ascii="Times New Roman" w:hAnsi="Times New Roman" w:cs="Times New Roman"/>
          <w:b/>
          <w:bCs/>
          <w:sz w:val="26"/>
          <w:szCs w:val="26"/>
        </w:rPr>
        <w:t>2.3 Operating Environment</w:t>
      </w:r>
    </w:p>
    <w:p w14:paraId="0BEA25DE">
      <w:pPr>
        <w:pStyle w:val="ListParagraph"/>
        <w:numPr>
          <w:ilvl w:val="0"/>
          <w:numId w:val="1"/>
        </w:numPr>
        <w:spacing w:after="60"/>
        <w:ind w:left="720" w:hanging="360"/>
        <w:jc w:val="both"/>
      </w:pPr>
      <w:r>
        <w:rPr>
          <w:rFonts w:ascii="Times New Roman" w:hAnsi="Times New Roman" w:cs="Times New Roman"/>
          <w:sz w:val="20"/>
          <w:szCs w:val="20"/>
        </w:rPr>
        <w:t>Runs in any modern web browser (Chrome, Edge, Firefox) on desktop or mobile.</w:t>
      </w:r>
    </w:p>
    <w:p w14:paraId="34188B6A">
      <w:pPr>
        <w:pStyle w:val="ListParagraph"/>
        <w:numPr>
          <w:ilvl w:val="0"/>
          <w:numId w:val="1"/>
        </w:numPr>
        <w:spacing w:after="60"/>
        <w:ind w:left="720" w:hanging="360"/>
        <w:jc w:val="both"/>
      </w:pPr>
      <w:r>
        <w:rPr>
          <w:rFonts w:ascii="Times New Roman" w:hAnsi="Times New Roman" w:cs="Times New Roman"/>
          <w:sz w:val="20"/>
          <w:szCs w:val="20"/>
        </w:rPr>
        <w:t>No installation or server required — files can be opened directly or hosted on GitHub Pages.</w:t>
      </w:r>
    </w:p>
    <w:p w14:paraId="28FBB62D">
      <w:pPr>
        <w:pStyle w:val="ListParagraph"/>
        <w:numPr>
          <w:ilvl w:val="0"/>
          <w:numId w:val="1"/>
        </w:numPr>
        <w:spacing w:after="60"/>
        <w:ind w:left="720" w:hanging="360"/>
        <w:jc w:val="both"/>
      </w:pPr>
      <w:r>
        <w:rPr>
          <w:rFonts w:ascii="Times New Roman" w:hAnsi="Times New Roman" w:cs="Times New Roman"/>
          <w:sz w:val="20"/>
          <w:szCs w:val="20"/>
        </w:rPr>
        <w:t>Built with plain HTML5, CSS3, and vanilla JavaScript (ES6) — no external frameworks.</w:t>
      </w:r>
    </w:p>
    <w:p w14:paraId="47BD3AB6">
      <w:pPr>
        <w:pStyle w:val="Heading2"/>
        <w:spacing w:before="220" w:after="100"/>
        <w:jc w:val="both"/>
      </w:pPr>
      <w:r>
        <w:rPr>
          <w:rFonts w:ascii="Times New Roman" w:hAnsi="Times New Roman" w:cs="Times New Roman"/>
          <w:b/>
          <w:bCs/>
          <w:sz w:val="26"/>
          <w:szCs w:val="26"/>
        </w:rPr>
        <w:t>2.4 Design and Implementation Constraints</w:t>
      </w:r>
    </w:p>
    <w:p w14:paraId="6165781B">
      <w:pPr>
        <w:pStyle w:val="ListParagraph"/>
        <w:numPr>
          <w:ilvl w:val="0"/>
          <w:numId w:val="1"/>
        </w:numPr>
        <w:spacing w:after="60"/>
        <w:ind w:left="720" w:hanging="360"/>
        <w:jc w:val="both"/>
      </w:pPr>
      <w:r>
        <w:rPr>
          <w:rFonts w:ascii="Times New Roman" w:hAnsi="Times New Roman" w:cs="Times New Roman"/>
          <w:sz w:val="20"/>
          <w:szCs w:val="20"/>
        </w:rPr>
        <w:t>Data storage is client-side only (localStorage as JSON); it is not shared across devices.</w:t>
      </w:r>
    </w:p>
    <w:p w14:paraId="461403C1">
      <w:pPr>
        <w:pStyle w:val="ListParagraph"/>
        <w:numPr>
          <w:ilvl w:val="0"/>
          <w:numId w:val="1"/>
        </w:numPr>
        <w:spacing w:after="60"/>
        <w:ind w:left="720" w:hanging="360"/>
        <w:jc w:val="both"/>
      </w:pPr>
      <w:r>
        <w:rPr>
          <w:rFonts w:ascii="Times New Roman" w:hAnsi="Times New Roman" w:cs="Times New Roman"/>
          <w:sz w:val="20"/>
          <w:szCs w:val="20"/>
        </w:rPr>
        <w:t>Submission deadline and scope required a minimal, low-complexity interface as instructed.</w:t>
      </w:r>
    </w:p>
    <w:p w14:paraId="2878041D">
      <w:pPr>
        <w:pStyle w:val="ListParagraph"/>
        <w:numPr>
          <w:ilvl w:val="0"/>
          <w:numId w:val="1"/>
        </w:numPr>
        <w:spacing w:after="60"/>
        <w:ind w:left="720" w:hanging="360"/>
        <w:jc w:val="both"/>
      </w:pPr>
      <w:r>
        <w:rPr>
          <w:rFonts w:ascii="Times New Roman" w:hAnsi="Times New Roman" w:cs="Times New Roman"/>
          <w:sz w:val="20"/>
          <w:szCs w:val="20"/>
        </w:rPr>
        <w:t>The questionnaire to the community is administered separately via Google Forms.</w:t>
      </w:r>
    </w:p>
    <w:p w14:paraId="153DB6F6">
      <w:pPr>
        <w:pStyle w:val="Heading1"/>
        <w:spacing w:before="300" w:after="150"/>
        <w:jc w:val="both"/>
      </w:pPr>
      <w:r>
        <w:rPr>
          <w:rFonts w:ascii="Times New Roman" w:hAnsi="Times New Roman" w:cs="Times New Roman"/>
          <w:b/>
          <w:bCs/>
          <w:sz w:val="32"/>
          <w:szCs w:val="32"/>
        </w:rPr>
        <w:t>3. Functional Requirements</w:t>
      </w:r>
    </w:p>
    <w:tbl>
      <w:tblPr>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1200"/>
        <w:gridCol w:w="7800"/>
      </w:tblGrid>
      <w:tr>
        <w:tc>
          <w:tcPr>
            <w:tcW w:w="1200" w:type="dxa"/>
            <w:tcBorders>
              <w:top w:val="single" w:sz="4" w:color="auto"/>
              <w:left w:val="single" w:sz="4" w:color="auto"/>
              <w:bottom w:val="single" w:sz="4" w:color="auto"/>
              <w:right w:val="single" w:sz="4" w:color="auto"/>
            </w:tcBorders>
            <w:shd w:val="clear" w:fill="E9EEF0"/>
          </w:tcPr>
          <w:p w14:paraId="2F41E323">
            <w:pPr>
              <w:spacing w:after="160" w:line="259" w:lineRule="auto"/>
              <w:jc w:val="both"/>
            </w:pPr>
            <w:r>
              <w:rPr>
                <w:rFonts w:ascii="Times New Roman" w:hAnsi="Times New Roman" w:cs="Times New Roman"/>
                <w:b/>
                <w:bCs/>
                <w:sz w:val="20"/>
                <w:szCs w:val="20"/>
              </w:rPr>
              <w:t>ID</w:t>
            </w:r>
          </w:p>
        </w:tc>
        <w:tc>
          <w:tcPr>
            <w:tcW w:w="7800" w:type="dxa"/>
            <w:tcBorders>
              <w:top w:val="single" w:sz="4" w:color="auto"/>
              <w:left w:val="single" w:sz="4" w:color="auto"/>
              <w:bottom w:val="single" w:sz="4" w:color="auto"/>
              <w:right w:val="single" w:sz="4" w:color="auto"/>
            </w:tcBorders>
            <w:shd w:val="clear" w:fill="E9EEF0"/>
          </w:tcPr>
          <w:p w14:paraId="2F67A429">
            <w:pPr>
              <w:spacing w:after="160" w:line="259" w:lineRule="auto"/>
              <w:jc w:val="both"/>
            </w:pPr>
            <w:r>
              <w:rPr>
                <w:rFonts w:ascii="Times New Roman" w:hAnsi="Times New Roman" w:cs="Times New Roman"/>
                <w:b/>
                <w:bCs/>
                <w:sz w:val="20"/>
                <w:szCs w:val="20"/>
              </w:rPr>
              <w:t>Requirement</w:t>
            </w:r>
          </w:p>
        </w:tc>
      </w:tr>
      <w:tr>
        <w:tc>
          <w:tcPr>
            <w:tcW w:w="1200" w:type="dxa"/>
            <w:tcBorders>
              <w:top w:val="single" w:sz="4" w:color="auto"/>
              <w:left w:val="single" w:sz="4" w:color="auto"/>
              <w:bottom w:val="single" w:sz="4" w:color="auto"/>
              <w:right w:val="single" w:sz="4" w:color="auto"/>
            </w:tcBorders>
          </w:tcPr>
          <w:p w14:paraId="42673583">
            <w:pPr>
              <w:spacing w:after="160" w:line="259" w:lineRule="auto"/>
              <w:jc w:val="both"/>
            </w:pPr>
            <w:r>
              <w:rPr>
                <w:rFonts w:ascii="Times New Roman" w:hAnsi="Times New Roman" w:cs="Times New Roman"/>
                <w:sz w:val="20"/>
                <w:szCs w:val="20"/>
              </w:rPr>
              <w:t>FR-1</w:t>
            </w:r>
          </w:p>
        </w:tc>
        <w:tc>
          <w:tcPr>
            <w:tcW w:w="7800" w:type="dxa"/>
            <w:tcBorders>
              <w:top w:val="single" w:sz="4" w:color="auto"/>
              <w:left w:val="single" w:sz="4" w:color="auto"/>
              <w:bottom w:val="single" w:sz="4" w:color="auto"/>
              <w:right w:val="single" w:sz="4" w:color="auto"/>
            </w:tcBorders>
          </w:tcPr>
          <w:p w14:paraId="4A0D304D">
            <w:pPr>
              <w:spacing w:after="160" w:line="259" w:lineRule="auto"/>
              <w:jc w:val="both"/>
            </w:pPr>
            <w:r>
              <w:rPr>
                <w:rFonts w:ascii="Times New Roman" w:hAnsi="Times New Roman" w:cs="Times New Roman"/>
                <w:sz w:val="20"/>
                <w:szCs w:val="20"/>
              </w:rPr>
              <w:t>The system shall allow a Reporter to submit an issue report containing name (optional), reporter type, community, category, title, description, and urgency level.</w:t>
            </w:r>
          </w:p>
        </w:tc>
      </w:tr>
      <w:tr>
        <w:tc>
          <w:tcPr>
            <w:tcW w:w="1200" w:type="dxa"/>
            <w:tcBorders>
              <w:top w:val="single" w:sz="4" w:color="auto"/>
              <w:left w:val="single" w:sz="4" w:color="auto"/>
              <w:bottom w:val="single" w:sz="4" w:color="auto"/>
              <w:right w:val="single" w:sz="4" w:color="auto"/>
            </w:tcBorders>
          </w:tcPr>
          <w:p w14:paraId="28597940">
            <w:pPr>
              <w:spacing w:after="160" w:line="259" w:lineRule="auto"/>
              <w:jc w:val="both"/>
            </w:pPr>
            <w:r>
              <w:rPr>
                <w:rFonts w:ascii="Times New Roman" w:hAnsi="Times New Roman" w:cs="Times New Roman"/>
                <w:sz w:val="20"/>
                <w:szCs w:val="20"/>
              </w:rPr>
              <w:t>FR-2</w:t>
            </w:r>
          </w:p>
        </w:tc>
        <w:tc>
          <w:tcPr>
            <w:tcW w:w="7800" w:type="dxa"/>
            <w:tcBorders>
              <w:top w:val="single" w:sz="4" w:color="auto"/>
              <w:left w:val="single" w:sz="4" w:color="auto"/>
              <w:bottom w:val="single" w:sz="4" w:color="auto"/>
              <w:right w:val="single" w:sz="4" w:color="auto"/>
            </w:tcBorders>
          </w:tcPr>
          <w:p w14:paraId="4507734E">
            <w:pPr>
              <w:spacing w:after="160" w:line="259" w:lineRule="auto"/>
              <w:jc w:val="both"/>
            </w:pPr>
            <w:r>
              <w:rPr>
                <w:rFonts w:ascii="Times New Roman" w:hAnsi="Times New Roman" w:cs="Times New Roman"/>
                <w:sz w:val="20"/>
                <w:szCs w:val="20"/>
              </w:rPr>
              <w:t>The system shall validate that all required fields are completed before accepting a report.</w:t>
            </w:r>
          </w:p>
        </w:tc>
      </w:tr>
      <w:tr>
        <w:tc>
          <w:tcPr>
            <w:tcW w:w="1200" w:type="dxa"/>
            <w:tcBorders>
              <w:top w:val="single" w:sz="4" w:color="auto"/>
              <w:left w:val="single" w:sz="4" w:color="auto"/>
              <w:bottom w:val="single" w:sz="4" w:color="auto"/>
              <w:right w:val="single" w:sz="4" w:color="auto"/>
            </w:tcBorders>
          </w:tcPr>
          <w:p w14:paraId="74D10D32">
            <w:pPr>
              <w:spacing w:after="160" w:line="259" w:lineRule="auto"/>
              <w:jc w:val="both"/>
            </w:pPr>
            <w:r>
              <w:rPr>
                <w:rFonts w:ascii="Times New Roman" w:hAnsi="Times New Roman" w:cs="Times New Roman"/>
                <w:sz w:val="20"/>
                <w:szCs w:val="20"/>
              </w:rPr>
              <w:t>FR-3</w:t>
            </w:r>
          </w:p>
        </w:tc>
        <w:tc>
          <w:tcPr>
            <w:tcW w:w="7800" w:type="dxa"/>
            <w:tcBorders>
              <w:top w:val="single" w:sz="4" w:color="auto"/>
              <w:left w:val="single" w:sz="4" w:color="auto"/>
              <w:bottom w:val="single" w:sz="4" w:color="auto"/>
              <w:right w:val="single" w:sz="4" w:color="auto"/>
            </w:tcBorders>
          </w:tcPr>
          <w:p w14:paraId="216E1F21">
            <w:pPr>
              <w:spacing w:after="160" w:line="259" w:lineRule="auto"/>
              <w:jc w:val="both"/>
            </w:pPr>
            <w:r>
              <w:rPr>
                <w:rFonts w:ascii="Times New Roman" w:hAnsi="Times New Roman" w:cs="Times New Roman"/>
                <w:sz w:val="20"/>
                <w:szCs w:val="20"/>
              </w:rPr>
              <w:t>The system shall assign a unique ID and timestamp to every submitted report.</w:t>
            </w:r>
          </w:p>
        </w:tc>
      </w:tr>
      <w:tr>
        <w:tc>
          <w:tcPr>
            <w:tcW w:w="1200" w:type="dxa"/>
            <w:tcBorders>
              <w:top w:val="single" w:sz="4" w:color="auto"/>
              <w:left w:val="single" w:sz="4" w:color="auto"/>
              <w:bottom w:val="single" w:sz="4" w:color="auto"/>
              <w:right w:val="single" w:sz="4" w:color="auto"/>
            </w:tcBorders>
          </w:tcPr>
          <w:p w14:paraId="64F56261">
            <w:pPr>
              <w:spacing w:after="160" w:line="259" w:lineRule="auto"/>
              <w:jc w:val="both"/>
            </w:pPr>
            <w:r>
              <w:rPr>
                <w:rFonts w:ascii="Times New Roman" w:hAnsi="Times New Roman" w:cs="Times New Roman"/>
                <w:sz w:val="20"/>
                <w:szCs w:val="20"/>
              </w:rPr>
              <w:t>FR-4</w:t>
            </w:r>
          </w:p>
        </w:tc>
        <w:tc>
          <w:tcPr>
            <w:tcW w:w="7800" w:type="dxa"/>
            <w:tcBorders>
              <w:top w:val="single" w:sz="4" w:color="auto"/>
              <w:left w:val="single" w:sz="4" w:color="auto"/>
              <w:bottom w:val="single" w:sz="4" w:color="auto"/>
              <w:right w:val="single" w:sz="4" w:color="auto"/>
            </w:tcBorders>
          </w:tcPr>
          <w:p w14:paraId="402AF50A">
            <w:pPr>
              <w:spacing w:after="160" w:line="259" w:lineRule="auto"/>
              <w:jc w:val="both"/>
            </w:pPr>
            <w:r>
              <w:rPr>
                <w:rFonts w:ascii="Times New Roman" w:hAnsi="Times New Roman" w:cs="Times New Roman"/>
                <w:sz w:val="20"/>
                <w:szCs w:val="20"/>
              </w:rPr>
              <w:t>The system shall persist all submitted reports as JSON in the browser's local storage.</w:t>
            </w:r>
          </w:p>
        </w:tc>
      </w:tr>
      <w:tr>
        <w:tc>
          <w:tcPr>
            <w:tcW w:w="1200" w:type="dxa"/>
            <w:tcBorders>
              <w:top w:val="single" w:sz="4" w:color="auto"/>
              <w:left w:val="single" w:sz="4" w:color="auto"/>
              <w:bottom w:val="single" w:sz="4" w:color="auto"/>
              <w:right w:val="single" w:sz="4" w:color="auto"/>
            </w:tcBorders>
          </w:tcPr>
          <w:p w14:paraId="2518AE03">
            <w:pPr>
              <w:spacing w:after="160" w:line="259" w:lineRule="auto"/>
              <w:jc w:val="both"/>
            </w:pPr>
            <w:r>
              <w:rPr>
                <w:rFonts w:ascii="Times New Roman" w:hAnsi="Times New Roman" w:cs="Times New Roman"/>
                <w:sz w:val="20"/>
                <w:szCs w:val="20"/>
              </w:rPr>
              <w:t>FR-5</w:t>
            </w:r>
          </w:p>
        </w:tc>
        <w:tc>
          <w:tcPr>
            <w:tcW w:w="7800" w:type="dxa"/>
            <w:tcBorders>
              <w:top w:val="single" w:sz="4" w:color="auto"/>
              <w:left w:val="single" w:sz="4" w:color="auto"/>
              <w:bottom w:val="single" w:sz="4" w:color="auto"/>
              <w:right w:val="single" w:sz="4" w:color="auto"/>
            </w:tcBorders>
          </w:tcPr>
          <w:p w14:paraId="1E6BFBF6">
            <w:pPr>
              <w:spacing w:after="160" w:line="259" w:lineRule="auto"/>
              <w:jc w:val="both"/>
            </w:pPr>
            <w:r>
              <w:rPr>
                <w:rFonts w:ascii="Times New Roman" w:hAnsi="Times New Roman" w:cs="Times New Roman"/>
                <w:sz w:val="20"/>
                <w:szCs w:val="20"/>
              </w:rPr>
              <w:t>The system shall display a dashboard listing all submitted reports with key details.</w:t>
            </w:r>
          </w:p>
        </w:tc>
      </w:tr>
      <w:tr>
        <w:tc>
          <w:tcPr>
            <w:tcW w:w="1200" w:type="dxa"/>
            <w:tcBorders>
              <w:top w:val="single" w:sz="4" w:color="auto"/>
              <w:left w:val="single" w:sz="4" w:color="auto"/>
              <w:bottom w:val="single" w:sz="4" w:color="auto"/>
              <w:right w:val="single" w:sz="4" w:color="auto"/>
            </w:tcBorders>
          </w:tcPr>
          <w:p w14:paraId="7C223C8D">
            <w:pPr>
              <w:spacing w:after="160" w:line="259" w:lineRule="auto"/>
              <w:jc w:val="both"/>
            </w:pPr>
            <w:r>
              <w:rPr>
                <w:rFonts w:ascii="Times New Roman" w:hAnsi="Times New Roman" w:cs="Times New Roman"/>
                <w:sz w:val="20"/>
                <w:szCs w:val="20"/>
              </w:rPr>
              <w:t>FR-6</w:t>
            </w:r>
          </w:p>
        </w:tc>
        <w:tc>
          <w:tcPr>
            <w:tcW w:w="7800" w:type="dxa"/>
            <w:tcBorders>
              <w:top w:val="single" w:sz="4" w:color="auto"/>
              <w:left w:val="single" w:sz="4" w:color="auto"/>
              <w:bottom w:val="single" w:sz="4" w:color="auto"/>
              <w:right w:val="single" w:sz="4" w:color="auto"/>
            </w:tcBorders>
          </w:tcPr>
          <w:p w14:paraId="22D84780">
            <w:pPr>
              <w:spacing w:after="160" w:line="259" w:lineRule="auto"/>
              <w:jc w:val="both"/>
            </w:pPr>
            <w:r>
              <w:rPr>
                <w:rFonts w:ascii="Times New Roman" w:hAnsi="Times New Roman" w:cs="Times New Roman"/>
                <w:sz w:val="20"/>
                <w:szCs w:val="20"/>
              </w:rPr>
              <w:t>The system shall allow the IRO Officer to filter reports by status and by community.</w:t>
            </w:r>
          </w:p>
        </w:tc>
      </w:tr>
      <w:tr>
        <w:tc>
          <w:tcPr>
            <w:tcW w:w="1200" w:type="dxa"/>
            <w:tcBorders>
              <w:top w:val="single" w:sz="4" w:color="auto"/>
              <w:left w:val="single" w:sz="4" w:color="auto"/>
              <w:bottom w:val="single" w:sz="4" w:color="auto"/>
              <w:right w:val="single" w:sz="4" w:color="auto"/>
            </w:tcBorders>
          </w:tcPr>
          <w:p w14:paraId="5BE24709">
            <w:pPr>
              <w:spacing w:after="160" w:line="259" w:lineRule="auto"/>
              <w:jc w:val="both"/>
            </w:pPr>
            <w:r>
              <w:rPr>
                <w:rFonts w:ascii="Times New Roman" w:hAnsi="Times New Roman" w:cs="Times New Roman"/>
                <w:sz w:val="20"/>
                <w:szCs w:val="20"/>
              </w:rPr>
              <w:t>FR-7</w:t>
            </w:r>
          </w:p>
        </w:tc>
        <w:tc>
          <w:tcPr>
            <w:tcW w:w="7800" w:type="dxa"/>
            <w:tcBorders>
              <w:top w:val="single" w:sz="4" w:color="auto"/>
              <w:left w:val="single" w:sz="4" w:color="auto"/>
              <w:bottom w:val="single" w:sz="4" w:color="auto"/>
              <w:right w:val="single" w:sz="4" w:color="auto"/>
            </w:tcBorders>
          </w:tcPr>
          <w:p w14:paraId="4E2F166D">
            <w:pPr>
              <w:spacing w:after="160" w:line="259" w:lineRule="auto"/>
              <w:jc w:val="both"/>
            </w:pPr>
            <w:r>
              <w:rPr>
                <w:rFonts w:ascii="Times New Roman" w:hAnsi="Times New Roman" w:cs="Times New Roman"/>
                <w:sz w:val="20"/>
                <w:szCs w:val="20"/>
              </w:rPr>
              <w:t>The system shall allow the IRO Officer to update the status of a report (Open, In Progress, Resolved).</w:t>
            </w:r>
          </w:p>
        </w:tc>
      </w:tr>
      <w:tr>
        <w:tc>
          <w:tcPr>
            <w:tcW w:w="1200" w:type="dxa"/>
            <w:tcBorders>
              <w:top w:val="single" w:sz="4" w:color="auto"/>
              <w:left w:val="single" w:sz="4" w:color="auto"/>
              <w:bottom w:val="single" w:sz="4" w:color="auto"/>
              <w:right w:val="single" w:sz="4" w:color="auto"/>
            </w:tcBorders>
          </w:tcPr>
          <w:p w14:paraId="380598C8">
            <w:pPr>
              <w:spacing w:after="160" w:line="259" w:lineRule="auto"/>
              <w:jc w:val="both"/>
            </w:pPr>
            <w:r>
              <w:rPr>
                <w:rFonts w:ascii="Times New Roman" w:hAnsi="Times New Roman" w:cs="Times New Roman"/>
                <w:sz w:val="20"/>
                <w:szCs w:val="20"/>
              </w:rPr>
              <w:t>FR-8</w:t>
            </w:r>
          </w:p>
        </w:tc>
        <w:tc>
          <w:tcPr>
            <w:tcW w:w="7800" w:type="dxa"/>
            <w:tcBorders>
              <w:top w:val="single" w:sz="4" w:color="auto"/>
              <w:left w:val="single" w:sz="4" w:color="auto"/>
              <w:bottom w:val="single" w:sz="4" w:color="auto"/>
              <w:right w:val="single" w:sz="4" w:color="auto"/>
            </w:tcBorders>
          </w:tcPr>
          <w:p w14:paraId="69C85192">
            <w:pPr>
              <w:spacing w:after="160" w:line="259" w:lineRule="auto"/>
              <w:jc w:val="both"/>
            </w:pPr>
            <w:r>
              <w:rPr>
                <w:rFonts w:ascii="Times New Roman" w:hAnsi="Times New Roman" w:cs="Times New Roman"/>
                <w:sz w:val="20"/>
                <w:szCs w:val="20"/>
              </w:rPr>
              <w:t>The system shall display summary statistics (total, open, in progress, resolved).</w:t>
            </w:r>
          </w:p>
        </w:tc>
      </w:tr>
      <w:tr>
        <w:tc>
          <w:tcPr>
            <w:tcW w:w="1200" w:type="dxa"/>
            <w:tcBorders>
              <w:top w:val="single" w:sz="4" w:color="auto"/>
              <w:left w:val="single" w:sz="4" w:color="auto"/>
              <w:bottom w:val="single" w:sz="4" w:color="auto"/>
              <w:right w:val="single" w:sz="4" w:color="auto"/>
            </w:tcBorders>
          </w:tcPr>
          <w:p w14:paraId="71BEFE40">
            <w:pPr>
              <w:spacing w:after="160" w:line="259" w:lineRule="auto"/>
              <w:jc w:val="both"/>
            </w:pPr>
            <w:r>
              <w:rPr>
                <w:rFonts w:ascii="Times New Roman" w:hAnsi="Times New Roman" w:cs="Times New Roman"/>
                <w:sz w:val="20"/>
                <w:szCs w:val="20"/>
              </w:rPr>
              <w:t>FR-9</w:t>
            </w:r>
          </w:p>
        </w:tc>
        <w:tc>
          <w:tcPr>
            <w:tcW w:w="7800" w:type="dxa"/>
            <w:tcBorders>
              <w:top w:val="single" w:sz="4" w:color="auto"/>
              <w:left w:val="single" w:sz="4" w:color="auto"/>
              <w:bottom w:val="single" w:sz="4" w:color="auto"/>
              <w:right w:val="single" w:sz="4" w:color="auto"/>
            </w:tcBorders>
          </w:tcPr>
          <w:p w14:paraId="146BA618">
            <w:pPr>
              <w:spacing w:after="160" w:line="259" w:lineRule="auto"/>
              <w:jc w:val="both"/>
            </w:pPr>
            <w:r>
              <w:rPr>
                <w:rFonts w:ascii="Times New Roman" w:hAnsi="Times New Roman" w:cs="Times New Roman"/>
                <w:sz w:val="20"/>
                <w:szCs w:val="20"/>
              </w:rPr>
              <w:t>The system shall allow reports to be exported as a downloadable JSON file.</w:t>
            </w:r>
          </w:p>
        </w:tc>
      </w:tr>
      <w:tr>
        <w:tc>
          <w:tcPr>
            <w:tcW w:w="1200" w:type="dxa"/>
            <w:tcBorders>
              <w:top w:val="single" w:sz="4" w:color="auto"/>
              <w:left w:val="single" w:sz="4" w:color="auto"/>
              <w:bottom w:val="single" w:sz="4" w:color="auto"/>
              <w:right w:val="single" w:sz="4" w:color="auto"/>
            </w:tcBorders>
          </w:tcPr>
          <w:p w14:paraId="34CEC9A1">
            <w:pPr>
              <w:spacing w:after="160" w:line="259" w:lineRule="auto"/>
              <w:jc w:val="both"/>
            </w:pPr>
            <w:r>
              <w:rPr>
                <w:rFonts w:ascii="Times New Roman" w:hAnsi="Times New Roman" w:cs="Times New Roman"/>
                <w:sz w:val="20"/>
                <w:szCs w:val="20"/>
              </w:rPr>
              <w:t>FR-10</w:t>
            </w:r>
          </w:p>
        </w:tc>
        <w:tc>
          <w:tcPr>
            <w:tcW w:w="7800" w:type="dxa"/>
            <w:tcBorders>
              <w:top w:val="single" w:sz="4" w:color="auto"/>
              <w:left w:val="single" w:sz="4" w:color="auto"/>
              <w:bottom w:val="single" w:sz="4" w:color="auto"/>
              <w:right w:val="single" w:sz="4" w:color="auto"/>
            </w:tcBorders>
          </w:tcPr>
          <w:p w14:paraId="04E5B948">
            <w:pPr>
              <w:spacing w:after="160" w:line="259" w:lineRule="auto"/>
              <w:jc w:val="both"/>
            </w:pPr>
            <w:r>
              <w:rPr>
                <w:rFonts w:ascii="Times New Roman" w:hAnsi="Times New Roman" w:cs="Times New Roman"/>
                <w:sz w:val="20"/>
                <w:szCs w:val="20"/>
              </w:rPr>
              <w:t>The system shall allow all stored reports to be cleared after confirmation.</w:t>
            </w:r>
          </w:p>
        </w:tc>
      </w:tr>
    </w:tbl>
    <w:p w14:paraId="40E7E5E1">
      <w:pPr>
        <w:spacing w:after="200"/>
        <w:jc w:val="both"/>
      </w:pPr>
    </w:p>
    <w:p w14:paraId="1C8387B0">
      <w:pPr>
        <w:pStyle w:val="Heading1"/>
        <w:spacing w:before="300" w:after="150"/>
        <w:jc w:val="both"/>
      </w:pPr>
      <w:r>
        <w:rPr>
          <w:rFonts w:ascii="Times New Roman" w:hAnsi="Times New Roman" w:cs="Times New Roman"/>
          <w:b/>
          <w:bCs/>
          <w:sz w:val="32"/>
          <w:szCs w:val="32"/>
        </w:rPr>
        <w:t>4. Non-Functional Requirements</w:t>
      </w:r>
    </w:p>
    <w:tbl>
      <w:tblPr>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1800"/>
        <w:gridCol w:w="7200"/>
      </w:tblGrid>
      <w:tr>
        <w:tc>
          <w:tcPr>
            <w:tcW w:w="1800" w:type="dxa"/>
            <w:tcBorders>
              <w:top w:val="single" w:sz="4" w:color="auto"/>
              <w:left w:val="single" w:sz="4" w:color="auto"/>
              <w:bottom w:val="single" w:sz="4" w:color="auto"/>
              <w:right w:val="single" w:sz="4" w:color="auto"/>
            </w:tcBorders>
            <w:shd w:val="clear" w:fill="E9EEF0"/>
          </w:tcPr>
          <w:p w14:paraId="2D6291E1">
            <w:pPr>
              <w:spacing w:after="160" w:line="259" w:lineRule="auto"/>
              <w:jc w:val="both"/>
            </w:pPr>
            <w:r>
              <w:rPr>
                <w:rFonts w:ascii="Times New Roman" w:hAnsi="Times New Roman" w:cs="Times New Roman"/>
                <w:b/>
                <w:bCs/>
                <w:sz w:val="20"/>
                <w:szCs w:val="20"/>
              </w:rPr>
              <w:t>Attribute</w:t>
            </w:r>
          </w:p>
        </w:tc>
        <w:tc>
          <w:tcPr>
            <w:tcW w:w="7200" w:type="dxa"/>
            <w:tcBorders>
              <w:top w:val="single" w:sz="4" w:color="auto"/>
              <w:left w:val="single" w:sz="4" w:color="auto"/>
              <w:bottom w:val="single" w:sz="4" w:color="auto"/>
              <w:right w:val="single" w:sz="4" w:color="auto"/>
            </w:tcBorders>
            <w:shd w:val="clear" w:fill="E9EEF0"/>
          </w:tcPr>
          <w:p w14:paraId="26D8122E">
            <w:pPr>
              <w:spacing w:after="160" w:line="259" w:lineRule="auto"/>
              <w:jc w:val="both"/>
            </w:pPr>
            <w:r>
              <w:rPr>
                <w:rFonts w:ascii="Times New Roman" w:hAnsi="Times New Roman" w:cs="Times New Roman"/>
                <w:b/>
                <w:bCs/>
                <w:sz w:val="20"/>
                <w:szCs w:val="20"/>
              </w:rPr>
              <w:t>Requirement</w:t>
            </w:r>
          </w:p>
        </w:tc>
      </w:tr>
      <w:tr>
        <w:tc>
          <w:tcPr>
            <w:tcW w:w="1800" w:type="dxa"/>
            <w:tcBorders>
              <w:top w:val="single" w:sz="4" w:color="auto"/>
              <w:left w:val="single" w:sz="4" w:color="auto"/>
              <w:bottom w:val="single" w:sz="4" w:color="auto"/>
              <w:right w:val="single" w:sz="4" w:color="auto"/>
            </w:tcBorders>
          </w:tcPr>
          <w:p w14:paraId="34D0A37E">
            <w:pPr>
              <w:spacing w:after="160" w:line="259" w:lineRule="auto"/>
              <w:jc w:val="both"/>
            </w:pPr>
            <w:r>
              <w:rPr>
                <w:rFonts w:ascii="Times New Roman" w:hAnsi="Times New Roman" w:cs="Times New Roman"/>
                <w:sz w:val="20"/>
                <w:szCs w:val="20"/>
              </w:rPr>
              <w:t>Usability</w:t>
            </w:r>
          </w:p>
        </w:tc>
        <w:tc>
          <w:tcPr>
            <w:tcW w:w="7200" w:type="dxa"/>
            <w:tcBorders>
              <w:top w:val="single" w:sz="4" w:color="auto"/>
              <w:left w:val="single" w:sz="4" w:color="auto"/>
              <w:bottom w:val="single" w:sz="4" w:color="auto"/>
              <w:right w:val="single" w:sz="4" w:color="auto"/>
            </w:tcBorders>
          </w:tcPr>
          <w:p w14:paraId="40B283A4">
            <w:pPr>
              <w:spacing w:after="160" w:line="259" w:lineRule="auto"/>
              <w:jc w:val="both"/>
            </w:pPr>
            <w:r>
              <w:rPr>
                <w:rFonts w:ascii="Times New Roman" w:hAnsi="Times New Roman" w:cs="Times New Roman"/>
                <w:sz w:val="20"/>
                <w:szCs w:val="20"/>
              </w:rPr>
              <w:t>The interface shall be simple and understandable to first-time users without training.</w:t>
            </w:r>
          </w:p>
        </w:tc>
      </w:tr>
      <w:tr>
        <w:tc>
          <w:tcPr>
            <w:tcW w:w="1800" w:type="dxa"/>
            <w:tcBorders>
              <w:top w:val="single" w:sz="4" w:color="auto"/>
              <w:left w:val="single" w:sz="4" w:color="auto"/>
              <w:bottom w:val="single" w:sz="4" w:color="auto"/>
              <w:right w:val="single" w:sz="4" w:color="auto"/>
            </w:tcBorders>
          </w:tcPr>
          <w:p w14:paraId="2E3BCAB4">
            <w:pPr>
              <w:spacing w:after="160" w:line="259" w:lineRule="auto"/>
              <w:jc w:val="both"/>
            </w:pPr>
            <w:r>
              <w:rPr>
                <w:rFonts w:ascii="Times New Roman" w:hAnsi="Times New Roman" w:cs="Times New Roman"/>
                <w:sz w:val="20"/>
                <w:szCs w:val="20"/>
              </w:rPr>
              <w:t>Performance</w:t>
            </w:r>
          </w:p>
        </w:tc>
        <w:tc>
          <w:tcPr>
            <w:tcW w:w="7200" w:type="dxa"/>
            <w:tcBorders>
              <w:top w:val="single" w:sz="4" w:color="auto"/>
              <w:left w:val="single" w:sz="4" w:color="auto"/>
              <w:bottom w:val="single" w:sz="4" w:color="auto"/>
              <w:right w:val="single" w:sz="4" w:color="auto"/>
            </w:tcBorders>
          </w:tcPr>
          <w:p w14:paraId="6D3C3B06">
            <w:pPr>
              <w:spacing w:after="160" w:line="259" w:lineRule="auto"/>
              <w:jc w:val="both"/>
            </w:pPr>
            <w:r>
              <w:rPr>
                <w:rFonts w:ascii="Times New Roman" w:hAnsi="Times New Roman" w:cs="Times New Roman"/>
                <w:sz w:val="20"/>
                <w:szCs w:val="20"/>
              </w:rPr>
              <w:t>Report submission and dashboard updates shall reflect instantly (client-side, no network latency).</w:t>
            </w:r>
          </w:p>
        </w:tc>
      </w:tr>
      <w:tr>
        <w:tc>
          <w:tcPr>
            <w:tcW w:w="1800" w:type="dxa"/>
            <w:tcBorders>
              <w:top w:val="single" w:sz="4" w:color="auto"/>
              <w:left w:val="single" w:sz="4" w:color="auto"/>
              <w:bottom w:val="single" w:sz="4" w:color="auto"/>
              <w:right w:val="single" w:sz="4" w:color="auto"/>
            </w:tcBorders>
          </w:tcPr>
          <w:p w14:paraId="02DF2883">
            <w:pPr>
              <w:spacing w:after="160" w:line="259" w:lineRule="auto"/>
              <w:jc w:val="both"/>
            </w:pPr>
            <w:r>
              <w:rPr>
                <w:rFonts w:ascii="Times New Roman" w:hAnsi="Times New Roman" w:cs="Times New Roman"/>
                <w:sz w:val="20"/>
                <w:szCs w:val="20"/>
              </w:rPr>
              <w:t>Portability</w:t>
            </w:r>
          </w:p>
        </w:tc>
        <w:tc>
          <w:tcPr>
            <w:tcW w:w="7200" w:type="dxa"/>
            <w:tcBorders>
              <w:top w:val="single" w:sz="4" w:color="auto"/>
              <w:left w:val="single" w:sz="4" w:color="auto"/>
              <w:bottom w:val="single" w:sz="4" w:color="auto"/>
              <w:right w:val="single" w:sz="4" w:color="auto"/>
            </w:tcBorders>
          </w:tcPr>
          <w:p w14:paraId="1A5FA1EB">
            <w:pPr>
              <w:spacing w:after="160" w:line="259" w:lineRule="auto"/>
              <w:jc w:val="both"/>
            </w:pPr>
            <w:r>
              <w:rPr>
                <w:rFonts w:ascii="Times New Roman" w:hAnsi="Times New Roman" w:cs="Times New Roman"/>
                <w:sz w:val="20"/>
                <w:szCs w:val="20"/>
              </w:rPr>
              <w:t>The system shall run on any modern browser without installation.</w:t>
            </w:r>
          </w:p>
        </w:tc>
      </w:tr>
      <w:tr>
        <w:tc>
          <w:tcPr>
            <w:tcW w:w="1800" w:type="dxa"/>
            <w:tcBorders>
              <w:top w:val="single" w:sz="4" w:color="auto"/>
              <w:left w:val="single" w:sz="4" w:color="auto"/>
              <w:bottom w:val="single" w:sz="4" w:color="auto"/>
              <w:right w:val="single" w:sz="4" w:color="auto"/>
            </w:tcBorders>
          </w:tcPr>
          <w:p w14:paraId="49AD47A1">
            <w:pPr>
              <w:spacing w:after="160" w:line="259" w:lineRule="auto"/>
              <w:jc w:val="both"/>
            </w:pPr>
            <w:r>
              <w:rPr>
                <w:rFonts w:ascii="Times New Roman" w:hAnsi="Times New Roman" w:cs="Times New Roman"/>
                <w:sz w:val="20"/>
                <w:szCs w:val="20"/>
              </w:rPr>
              <w:t>Maintainability</w:t>
            </w:r>
          </w:p>
        </w:tc>
        <w:tc>
          <w:tcPr>
            <w:tcW w:w="7200" w:type="dxa"/>
            <w:tcBorders>
              <w:top w:val="single" w:sz="4" w:color="auto"/>
              <w:left w:val="single" w:sz="4" w:color="auto"/>
              <w:bottom w:val="single" w:sz="4" w:color="auto"/>
              <w:right w:val="single" w:sz="4" w:color="auto"/>
            </w:tcBorders>
          </w:tcPr>
          <w:p w14:paraId="346168CE">
            <w:pPr>
              <w:spacing w:after="160" w:line="259" w:lineRule="auto"/>
              <w:jc w:val="both"/>
            </w:pPr>
            <w:r>
              <w:rPr>
                <w:rFonts w:ascii="Times New Roman" w:hAnsi="Times New Roman" w:cs="Times New Roman"/>
                <w:sz w:val="20"/>
                <w:szCs w:val="20"/>
              </w:rPr>
              <w:t>Code shall be organised into separate HTML, CSS, and JS files for readability and easy modification.</w:t>
            </w:r>
          </w:p>
        </w:tc>
      </w:tr>
      <w:tr>
        <w:tc>
          <w:tcPr>
            <w:tcW w:w="1800" w:type="dxa"/>
            <w:tcBorders>
              <w:top w:val="single" w:sz="4" w:color="auto"/>
              <w:left w:val="single" w:sz="4" w:color="auto"/>
              <w:bottom w:val="single" w:sz="4" w:color="auto"/>
              <w:right w:val="single" w:sz="4" w:color="auto"/>
            </w:tcBorders>
          </w:tcPr>
          <w:p w14:paraId="0F25B8E5">
            <w:pPr>
              <w:spacing w:after="160" w:line="259" w:lineRule="auto"/>
              <w:jc w:val="both"/>
            </w:pPr>
            <w:r>
              <w:rPr>
                <w:rFonts w:ascii="Times New Roman" w:hAnsi="Times New Roman" w:cs="Times New Roman"/>
                <w:sz w:val="20"/>
                <w:szCs w:val="20"/>
              </w:rPr>
              <w:t>Availability</w:t>
            </w:r>
          </w:p>
        </w:tc>
        <w:tc>
          <w:tcPr>
            <w:tcW w:w="7200" w:type="dxa"/>
            <w:tcBorders>
              <w:top w:val="single" w:sz="4" w:color="auto"/>
              <w:left w:val="single" w:sz="4" w:color="auto"/>
              <w:bottom w:val="single" w:sz="4" w:color="auto"/>
              <w:right w:val="single" w:sz="4" w:color="auto"/>
            </w:tcBorders>
          </w:tcPr>
          <w:p w14:paraId="1C99F64F">
            <w:pPr>
              <w:spacing w:after="160" w:line="259" w:lineRule="auto"/>
              <w:jc w:val="both"/>
            </w:pPr>
            <w:r>
              <w:rPr>
                <w:rFonts w:ascii="Times New Roman" w:hAnsi="Times New Roman" w:cs="Times New Roman"/>
                <w:sz w:val="20"/>
                <w:szCs w:val="20"/>
              </w:rPr>
              <w:t>Since it is a static client-side app, it is available offline once loaded.</w:t>
            </w:r>
          </w:p>
        </w:tc>
      </w:tr>
      <w:tr>
        <w:tc>
          <w:tcPr>
            <w:tcW w:w="1800" w:type="dxa"/>
            <w:tcBorders>
              <w:top w:val="single" w:sz="4" w:color="auto"/>
              <w:left w:val="single" w:sz="4" w:color="auto"/>
              <w:bottom w:val="single" w:sz="4" w:color="auto"/>
              <w:right w:val="single" w:sz="4" w:color="auto"/>
            </w:tcBorders>
          </w:tcPr>
          <w:p w14:paraId="70C2D7C6">
            <w:pPr>
              <w:spacing w:after="160" w:line="259" w:lineRule="auto"/>
              <w:jc w:val="both"/>
            </w:pPr>
            <w:r>
              <w:rPr>
                <w:rFonts w:ascii="Times New Roman" w:hAnsi="Times New Roman" w:cs="Times New Roman"/>
                <w:sz w:val="20"/>
                <w:szCs w:val="20"/>
              </w:rPr>
              <w:t>Security/Privacy</w:t>
            </w:r>
          </w:p>
        </w:tc>
        <w:tc>
          <w:tcPr>
            <w:tcW w:w="7200" w:type="dxa"/>
            <w:tcBorders>
              <w:top w:val="single" w:sz="4" w:color="auto"/>
              <w:left w:val="single" w:sz="4" w:color="auto"/>
              <w:bottom w:val="single" w:sz="4" w:color="auto"/>
              <w:right w:val="single" w:sz="4" w:color="auto"/>
            </w:tcBorders>
          </w:tcPr>
          <w:p w14:paraId="6B75280D">
            <w:pPr>
              <w:spacing w:after="160" w:line="259" w:lineRule="auto"/>
              <w:jc w:val="both"/>
            </w:pPr>
            <w:r>
              <w:rPr>
                <w:rFonts w:ascii="Times New Roman" w:hAnsi="Times New Roman" w:cs="Times New Roman"/>
                <w:sz w:val="20"/>
                <w:szCs w:val="20"/>
              </w:rPr>
              <w:t>Reporters may submit anonymously; text input is sanitised before display to prevent script injection.</w:t>
            </w:r>
          </w:p>
        </w:tc>
      </w:tr>
    </w:tbl>
    <w:p w14:paraId="2EAA7A69">
      <w:pPr>
        <w:spacing w:after="200"/>
        <w:jc w:val="both"/>
      </w:pPr>
    </w:p>
    <w:p w14:paraId="477F0804">
      <w:pPr>
        <w:pStyle w:val="Heading1"/>
        <w:spacing w:before="300" w:after="150"/>
        <w:jc w:val="both"/>
      </w:pPr>
      <w:r>
        <w:rPr>
          <w:rFonts w:ascii="Times New Roman" w:hAnsi="Times New Roman" w:cs="Times New Roman"/>
          <w:b/>
          <w:bCs/>
          <w:sz w:val="32"/>
          <w:szCs w:val="32"/>
        </w:rPr>
        <w:t>5. System Interactions Between Major Components</w:t>
      </w:r>
    </w:p>
    <w:p w14:paraId="502A7273">
      <w:pPr>
        <w:spacing w:after="140"/>
        <w:jc w:val="both"/>
      </w:pPr>
      <w:r>
        <w:rPr>
          <w:rFonts w:ascii="Times New Roman" w:hAnsi="Times New Roman" w:cs="Times New Roman"/>
          <w:sz w:val="20"/>
          <w:szCs w:val="20"/>
        </w:rPr>
        <w:t>The IRO prototype is composed of three cooperating components:</w:t>
      </w:r>
    </w:p>
    <w:p w14:paraId="6496C1E6">
      <w:pPr>
        <w:pStyle w:val="ListParagraph"/>
        <w:numPr>
          <w:ilvl w:val="0"/>
          <w:numId w:val="1"/>
        </w:numPr>
        <w:spacing w:after="60"/>
        <w:ind w:left="720" w:hanging="360"/>
        <w:jc w:val="both"/>
      </w:pPr>
      <w:r>
        <w:rPr>
          <w:rFonts w:ascii="Times New Roman" w:hAnsi="Times New Roman" w:cs="Times New Roman"/>
          <w:sz w:val="20"/>
          <w:szCs w:val="20"/>
        </w:rPr>
        <w:t>Presentation Layer (index.html + style.css) — renders the report form and the dashboard, and captures user input.</w:t>
      </w:r>
    </w:p>
    <w:p w14:paraId="4673A1E5">
      <w:pPr>
        <w:pStyle w:val="ListParagraph"/>
        <w:numPr>
          <w:ilvl w:val="0"/>
          <w:numId w:val="1"/>
        </w:numPr>
        <w:spacing w:after="60"/>
        <w:ind w:left="720" w:hanging="360"/>
        <w:jc w:val="both"/>
      </w:pPr>
      <w:r>
        <w:rPr>
          <w:rFonts w:ascii="Times New Roman" w:hAnsi="Times New Roman" w:cs="Times New Roman"/>
          <w:sz w:val="20"/>
          <w:szCs w:val="20"/>
        </w:rPr>
        <w:t>Application Logic (script.js) — validates form input, generates report objects, filters/sorts data, and handles status updates and export.</w:t>
      </w:r>
    </w:p>
    <w:p w14:paraId="2709E50B">
      <w:pPr>
        <w:pStyle w:val="ListParagraph"/>
        <w:numPr>
          <w:ilvl w:val="0"/>
          <w:numId w:val="1"/>
        </w:numPr>
        <w:spacing w:after="60"/>
        <w:ind w:left="720" w:hanging="360"/>
        <w:jc w:val="both"/>
      </w:pPr>
      <w:r>
        <w:rPr>
          <w:rFonts w:ascii="Times New Roman" w:hAnsi="Times New Roman" w:cs="Times New Roman"/>
          <w:sz w:val="20"/>
          <w:szCs w:val="20"/>
        </w:rPr>
        <w:t>Storage Layer (browser localStorage, JSON format) — persists the array of issue-report objects between sessions under the key 'iro_issues'.</w:t>
      </w:r>
    </w:p>
    <w:p w14:paraId="654CE207">
      <w:pPr>
        <w:spacing w:after="140"/>
        <w:jc w:val="both"/>
      </w:pPr>
      <w:r>
        <w:rPr>
          <w:rFonts w:ascii="Times New Roman" w:hAnsi="Times New Roman" w:cs="Times New Roman"/>
          <w:sz w:val="20"/>
          <w:szCs w:val="20"/>
        </w:rPr>
        <w:t>Interaction flow: when a Reporter submits the form, script.js reads and validates the field values, builds a JSON object, appends it to the existing array retrieved from localStorage, and re-saves the array as a JSON string. When the IRO Officer opens the dashboard tab, script.js reads the same JSON array from localStorage, applies the selected filters, and renders the report cards and summary statistics. Status changes and the 'Export JSON' / 'Clear All' actions all read from and write back to this same JSON store, keeping a single source of truth for the whole application.</w:t>
      </w:r>
    </w:p>
    <w:p w14:paraId="6C66D65B">
      <w:pPr>
        <w:pStyle w:val="Heading1"/>
        <w:spacing w:before="300" w:after="150"/>
        <w:jc w:val="both"/>
      </w:pPr>
      <w:r>
        <w:rPr>
          <w:rFonts w:ascii="Times New Roman" w:hAnsi="Times New Roman" w:cs="Times New Roman"/>
          <w:b/>
          <w:bCs/>
          <w:sz w:val="32"/>
          <w:szCs w:val="32"/>
        </w:rPr>
        <w:t>6. Use-Case Diagram</w:t>
      </w:r>
    </w:p>
    <w:p w14:paraId="5FE99AAC">
      <w:pPr>
        <w:spacing w:after="140"/>
        <w:jc w:val="both"/>
      </w:pPr>
      <w:r>
        <w:rPr>
          <w:rFonts w:ascii="Times New Roman" w:hAnsi="Times New Roman" w:cs="Times New Roman"/>
          <w:sz w:val="20"/>
          <w:szCs w:val="20"/>
        </w:rPr>
        <w:t>The diagram below shows how the two actors — Reporter and IRO Officer — interact with the major use cases of the system.</w:t>
      </w:r>
    </w:p>
    <w:p w14:paraId="32589403">
      <w:pPr>
        <w:spacing w:after="100"/>
        <w:jc w:val="both"/>
      </w:pPr>
      <w:r>
        <w:drawing>
          <wp:inline distT="0" distB="0" distL="0" distR="0">
            <wp:extent cx="5543550" cy="4381500"/>
            <wp:effectExtent l="0" t="0" r="0" b="0"/>
            <wp:docPr id="100000" name="Picture 100000" descr="Use-cas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Use-case Diagram.jpg"/>
                    <pic:cNvPicPr/>
                  </pic:nvPicPr>
                  <pic:blipFill>
                    <a:blip r:embed="rId14"/>
                    <a:stretch>
                      <a:fillRect/>
                    </a:stretch>
                  </pic:blipFill>
                  <pic:spPr>
                    <a:xfrm>
                      <a:off x="0" y="0"/>
                      <a:ext cx="5543550" cy="4381500"/>
                    </a:xfrm>
                    <a:prstGeom prst="rect">
                      <a:avLst/>
                    </a:prstGeom>
                  </pic:spPr>
                </pic:pic>
              </a:graphicData>
            </a:graphic>
          </wp:inline>
        </w:drawing>
      </w:r>
    </w:p>
    <w:p w14:paraId="7E0ABF26">
      <w:pPr>
        <w:spacing w:after="300"/>
        <w:jc w:val="both"/>
      </w:pPr>
      <w:r>
        <w:rPr>
          <w:rFonts w:ascii="Times New Roman" w:hAnsi="Times New Roman" w:cs="Times New Roman"/>
          <w:i/>
          <w:iCs/>
          <w:sz w:val="18"/>
          <w:szCs w:val="18"/>
        </w:rPr>
        <w:t>Figure 1: Use-Case Diagram for IRO</w:t>
      </w:r>
    </w:p>
    <w:p w14:paraId="432B781E">
      <w:pPr>
        <w:pStyle w:val="Heading1"/>
        <w:spacing w:before="300" w:after="150"/>
        <w:jc w:val="both"/>
      </w:pPr>
      <w:r>
        <w:rPr>
          <w:rFonts w:ascii="Times New Roman" w:hAnsi="Times New Roman" w:cs="Times New Roman"/>
          <w:b/>
          <w:bCs/>
          <w:sz w:val="32"/>
          <w:szCs w:val="32"/>
        </w:rPr>
        <w:t>7. Ishikawa (Fishbone) Diagram — Problem Analysis</w:t>
      </w:r>
    </w:p>
    <w:p w14:paraId="7C9E0A82">
      <w:pPr>
        <w:spacing w:after="140"/>
        <w:jc w:val="both"/>
      </w:pPr>
      <w:r>
        <w:rPr>
          <w:rFonts w:ascii="Times New Roman" w:hAnsi="Times New Roman" w:cs="Times New Roman"/>
        </w:rPr>
        <w:t>Before designing the solution, a cause-and-effect analysis was carried out to understand why community issues typically go unreported or unresolved. Five cause categories were identified: People, Process, Policy/Management, Technology, Communication, and Environment.</w:t>
      </w:r>
    </w:p>
    <w:p w14:paraId="2339FC38">
      <w:pPr>
        <w:spacing w:after="100"/>
        <w:jc w:val="both"/>
      </w:pPr>
    </w:p>
    <w:p w14:paraId="2F759911">
      <w:pPr>
        <w:spacing w:after="300"/>
        <w:jc w:val="both"/>
      </w:pPr>
      <w:r>
        <w:drawing>
          <wp:inline distT="0" distB="0" distL="0" distR="0">
            <wp:extent cx="5829300" cy="3124200"/>
            <wp:effectExtent l="0" t="0" r="0" b="0"/>
            <wp:docPr id="100001" name="Picture 100001" descr="dev 3 wky 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dev 3 wky 3 (1).jpg"/>
                    <pic:cNvPicPr/>
                  </pic:nvPicPr>
                  <pic:blipFill>
                    <a:blip r:embed="rId15"/>
                    <a:stretch>
                      <a:fillRect/>
                    </a:stretch>
                  </pic:blipFill>
                  <pic:spPr>
                    <a:xfrm>
                      <a:off x="0" y="0"/>
                      <a:ext cx="5829300" cy="3124200"/>
                    </a:xfrm>
                    <a:prstGeom prst="rect">
                      <a:avLst/>
                    </a:prstGeom>
                  </pic:spPr>
                </pic:pic>
              </a:graphicData>
            </a:graphic>
          </wp:inline>
        </w:drawing>
      </w:r>
    </w:p>
    <w:p w14:paraId="15496D7F">
      <w:pPr>
        <w:spacing w:after="300"/>
        <w:jc w:val="both"/>
      </w:pPr>
      <w:r>
        <w:rPr>
          <w:rFonts w:ascii="Times New Roman" w:hAnsi="Times New Roman" w:cs="Times New Roman"/>
          <w:i/>
          <w:iCs/>
          <w:sz w:val="18"/>
          <w:szCs w:val="18"/>
        </w:rPr>
        <w:t>Figure 2: Ishikawa Diagram — Root causes of unreported/unresolved community issues</w:t>
      </w:r>
    </w:p>
    <w:p w14:paraId="10EB8C34">
      <w:pPr>
        <w:pStyle w:val="Heading1"/>
        <w:spacing w:before="300" w:after="150"/>
        <w:jc w:val="both"/>
      </w:pPr>
      <w:r>
        <w:rPr>
          <w:rFonts w:ascii="Times New Roman" w:hAnsi="Times New Roman" w:cs="Times New Roman"/>
          <w:b/>
          <w:bCs/>
          <w:sz w:val="32"/>
          <w:szCs w:val="32"/>
        </w:rPr>
        <w:t>8. Appendix A — Community Questionnaire (Google Form)</w:t>
      </w:r>
    </w:p>
    <w:p w14:paraId="696DC5A0">
      <w:pPr>
        <w:spacing w:after="140"/>
        <w:jc w:val="both"/>
      </w:pPr>
      <w:r>
        <w:rPr>
          <w:rFonts w:ascii="Times New Roman" w:hAnsi="Times New Roman" w:cs="Times New Roman"/>
        </w:rPr>
        <w:t>A short questionnaire was designed and distributed to students and indigenes via Google Forms to capture first-hand issue data and validate the categories used in this system. The form captures:</w:t>
      </w:r>
    </w:p>
    <w:p w14:paraId="031CDEF5">
      <w:pPr>
        <w:pStyle w:val="ListParagraph"/>
        <w:numPr>
          <w:ilvl w:val="0"/>
          <w:numId w:val="1"/>
        </w:numPr>
        <w:spacing w:after="60"/>
        <w:ind w:left="720" w:hanging="360"/>
        <w:jc w:val="both"/>
      </w:pPr>
      <w:r>
        <w:rPr>
          <w:rFonts w:ascii="Times New Roman" w:hAnsi="Times New Roman" w:cs="Times New Roman"/>
        </w:rPr>
        <w:t>Respondent type (Student / Indigene) and community of residence</w:t>
      </w:r>
    </w:p>
    <w:p w14:paraId="265DCC98">
      <w:pPr>
        <w:pStyle w:val="ListParagraph"/>
        <w:numPr>
          <w:ilvl w:val="0"/>
          <w:numId w:val="1"/>
        </w:numPr>
        <w:spacing w:after="60"/>
        <w:ind w:left="720" w:hanging="360"/>
        <w:jc w:val="both"/>
      </w:pPr>
      <w:r>
        <w:rPr>
          <w:rFonts w:ascii="Times New Roman" w:hAnsi="Times New Roman" w:cs="Times New Roman"/>
        </w:rPr>
        <w:t>Whether the respondent has experienced or witnessed a community issue</w:t>
      </w:r>
    </w:p>
    <w:p w14:paraId="271EC104">
      <w:pPr>
        <w:pStyle w:val="ListParagraph"/>
        <w:numPr>
          <w:ilvl w:val="0"/>
          <w:numId w:val="1"/>
        </w:numPr>
        <w:spacing w:after="60"/>
        <w:ind w:left="720" w:hanging="360"/>
        <w:jc w:val="both"/>
      </w:pPr>
      <w:r>
        <w:rPr>
          <w:rFonts w:ascii="Times New Roman" w:hAnsi="Times New Roman" w:cs="Times New Roman"/>
        </w:rPr>
        <w:t>The category and description of the issue</w:t>
      </w:r>
    </w:p>
    <w:p w14:paraId="053D5B08">
      <w:pPr>
        <w:pStyle w:val="ListParagraph"/>
        <w:numPr>
          <w:ilvl w:val="0"/>
          <w:numId w:val="1"/>
        </w:numPr>
        <w:spacing w:after="60"/>
        <w:ind w:left="720" w:hanging="360"/>
        <w:jc w:val="both"/>
      </w:pPr>
      <w:r>
        <w:rPr>
          <w:rFonts w:ascii="Times New Roman" w:hAnsi="Times New Roman" w:cs="Times New Roman"/>
        </w:rPr>
        <w:t>How urgent/severe the respondent considers the issue</w:t>
      </w:r>
    </w:p>
    <w:p w14:paraId="7BB9B0B2">
      <w:pPr>
        <w:pStyle w:val="ListParagraph"/>
        <w:numPr>
          <w:ilvl w:val="0"/>
          <w:numId w:val="1"/>
        </w:numPr>
        <w:spacing w:after="60"/>
        <w:ind w:left="720" w:hanging="360"/>
        <w:jc w:val="both"/>
      </w:pPr>
      <w:r>
        <w:rPr>
          <w:rFonts w:ascii="Times New Roman" w:hAnsi="Times New Roman" w:cs="Times New Roman"/>
        </w:rPr>
        <w:t>Whether the respondent would use a digital platform to report such issues</w:t>
      </w:r>
    </w:p>
    <w:p w14:paraId="265A56B1">
      <w:pPr>
        <w:spacing w:after="140"/>
        <w:jc w:val="both"/>
      </w:pPr>
      <w:r>
        <w:rPr>
          <w:rFonts w:ascii="Times New Roman" w:hAnsi="Times New Roman" w:cs="Times New Roman"/>
        </w:rPr>
        <w:t>(Insert your live Google Form link here, e.g. https://forms.gle/xxxxxxx, and attach a screenshot of the form and its responses summary.)</w:t>
      </w:r>
    </w:p>
    <w:p w14:paraId="6870856A">
      <w:pPr>
        <w:pStyle w:val="Heading1"/>
        <w:spacing w:before="300" w:after="150"/>
        <w:jc w:val="both"/>
      </w:pPr>
      <w:r>
        <w:rPr>
          <w:rFonts w:ascii="Times New Roman" w:hAnsi="Times New Roman" w:cs="Times New Roman"/>
          <w:b/>
          <w:bCs/>
          <w:sz w:val="32"/>
          <w:szCs w:val="32"/>
        </w:rPr>
        <w:t>9. Appendix B — Repository</w:t>
      </w:r>
    </w:p>
    <w:p w14:paraId="2E4A9EC0">
      <w:pPr>
        <w:spacing w:after="140"/>
        <w:jc w:val="both"/>
      </w:pPr>
      <w:r>
        <w:rPr>
          <w:rFonts w:ascii="Times New Roman" w:hAnsi="Times New Roman" w:cs="Times New Roman"/>
        </w:rPr>
        <w:t>Source code, this SRS, the use-case diagram, and the Ishikawa diagram are stored in a public GitHub repository. (Insert your GitHub repository link here.)</w:t>
      </w:r>
    </w:p>
    <w:sectPr>
      <w:pgSz w:w="12240" w:h="15840"/>
      <w:pgMar w:top="1080" w:right="1080" w:bottom="1080" w:left="108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a91707c37da81b9b8591b27fe41c9fab83f0d9.png"/><Relationship Id="rId8" Type="http://schemas.openxmlformats.org/officeDocument/2006/relationships/image" Target="media/4b883d424601776635443425cacc47c9a6e9f66a.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2026-07-10T18:57:32.363Z</dcterms:created>
  <dcterms:modified xsi:type="dcterms:W3CDTF">2026-07-10T20:30:19.384Z</dcterms:modified>
</cp:coreProperties>
</file>

<file path=docProps/custom.xml><?xml version="1.0" encoding="utf-8"?>
<Properties xmlns="http://schemas.openxmlformats.org/officeDocument/2006/custom-properties" xmlns:vt="http://schemas.openxmlformats.org/officeDocument/2006/docPropsVTypes"/>
</file>