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Step 9: Business Insights from Churn Analysis</w:t>
      </w:r>
    </w:p>
    <w:p>
      <w:pPr>
        <w:spacing w:after="400"/>
      </w:pPr>
      <w:r>
        <w:rPr>
          <w:i/>
          <w:iCs/>
          <w:color w:val="555555"/>
        </w:rPr>
        <w:t xml:space="preserve">Customer Churn Analysis Project — Data Storytelling</w:t>
      </w:r>
    </w:p>
    <w:p>
      <w:pPr>
        <w:spacing w:after="200"/>
      </w:pPr>
      <w:r>
        <w:t xml:space="preserve">Dataset summary: 7,021 customers analysed, of which 1,857 (26.4%) churned and 5,164 (73.6%) were retained. Each insight below is derived directly from the cleaned_churn.csv dataset used in this project.</w:t>
      </w:r>
    </w:p>
    <w:p>
      <w:pPr>
        <w:pBdr>
          <w:left w:val="single" w:color="2E5AAC" w:sz="24"/>
        </w:pBdr>
        <w:shd w:fill="F5F7FB" w:val="clear"/>
        <w:spacing w:after="40" w:before="200"/>
        <w:ind w:left="200"/>
      </w:pPr>
      <w:r>
        <w:rPr>
          <w:b/>
          <w:bCs/>
          <w:color w:val="2E5AAC"/>
          <w:sz w:val="24"/>
          <w:szCs w:val="24"/>
        </w:rPr>
        <w:t xml:space="preserve">Insight 1</w:t>
      </w:r>
    </w:p>
    <w:p>
      <w:pPr>
        <w:pBdr>
          <w:left w:val="single" w:color="2E5AAC" w:sz="24"/>
        </w:pBdr>
        <w:shd w:fill="F5F7FB" w:val="clear"/>
        <w:spacing w:after="40"/>
        <w:ind w:left="200"/>
      </w:pPr>
      <w:r>
        <w:rPr>
          <w:b/>
          <w:bCs/>
          <w:color w:val="2E5AAC"/>
        </w:rPr>
        <w:t xml:space="preserve">Finding: </w:t>
      </w:r>
      <w:r>
        <w:t xml:space="preserve">Month-to-month contract customers churn at 42.6%, compared to 11.3% for one-year contracts and just 2.8% for two-year contracts — roughly 15x higher than the most stable contract type.</w:t>
      </w:r>
    </w:p>
    <w:p>
      <w:pPr>
        <w:pBdr>
          <w:bottom w:val="single" w:color="F5F7FB" w:sz="4"/>
          <w:left w:val="single" w:color="2E5AAC" w:sz="24"/>
        </w:pBdr>
        <w:shd w:fill="F5F7FB" w:val="clear"/>
        <w:spacing w:after="240"/>
        <w:ind w:left="200"/>
      </w:pPr>
      <w:r>
        <w:rPr>
          <w:b/>
          <w:bCs/>
          <w:color w:val="1F7A3D"/>
        </w:rPr>
        <w:t xml:space="preserve">Business Insight: </w:t>
      </w:r>
      <w:r>
        <w:t xml:space="preserve">The company should incentivise month-to-month customers to switch to annual or two-year plans through loyalty discounts or bundled offers. Even a partial shift from month-to-month to longer contracts would substantially reduce overall churn and make revenue more predictable.</w:t>
      </w:r>
    </w:p>
    <w:p>
      <w:pPr>
        <w:pBdr>
          <w:left w:val="single" w:color="2E5AAC" w:sz="24"/>
        </w:pBdr>
        <w:shd w:fill="F5F7FB" w:val="clear"/>
        <w:spacing w:after="40" w:before="200"/>
        <w:ind w:left="200"/>
      </w:pPr>
      <w:r>
        <w:rPr>
          <w:b/>
          <w:bCs/>
          <w:color w:val="2E5AAC"/>
          <w:sz w:val="24"/>
          <w:szCs w:val="24"/>
        </w:rPr>
        <w:t xml:space="preserve">Insight 2</w:t>
      </w:r>
    </w:p>
    <w:p>
      <w:pPr>
        <w:pBdr>
          <w:left w:val="single" w:color="2E5AAC" w:sz="24"/>
        </w:pBdr>
        <w:shd w:fill="F5F7FB" w:val="clear"/>
        <w:spacing w:after="40"/>
        <w:ind w:left="200"/>
      </w:pPr>
      <w:r>
        <w:rPr>
          <w:b/>
          <w:bCs/>
          <w:color w:val="2E5AAC"/>
        </w:rPr>
        <w:t xml:space="preserve">Finding: </w:t>
      </w:r>
      <w:r>
        <w:t xml:space="preserve">Customers in their first 12 months churn at 47.4%, dropping to 28.7% for 13–24 months and just 14.0% for customers with 25+ months of tenure. Churn risk is highest right at the start of the relationship.</w:t>
      </w:r>
    </w:p>
    <w:p>
      <w:pPr>
        <w:pBdr>
          <w:bottom w:val="single" w:color="F5F7FB" w:sz="4"/>
          <w:left w:val="single" w:color="2E5AAC" w:sz="24"/>
        </w:pBdr>
        <w:shd w:fill="F5F7FB" w:val="clear"/>
        <w:spacing w:after="240"/>
        <w:ind w:left="200"/>
      </w:pPr>
      <w:r>
        <w:rPr>
          <w:b/>
          <w:bCs/>
          <w:color w:val="1F7A3D"/>
        </w:rPr>
        <w:t xml:space="preserve">Business Insight: </w:t>
      </w:r>
      <w:r>
        <w:t xml:space="preserve">Onboarding in the first year is the biggest churn risk window. The company should invest in early-lifecycle engagement — welcome calls, first-90-day check-ins, or early-loyalty rewards — to get customers past this high-risk period.</w:t>
      </w:r>
    </w:p>
    <w:p>
      <w:pPr>
        <w:pBdr>
          <w:left w:val="single" w:color="2E5AAC" w:sz="24"/>
        </w:pBdr>
        <w:shd w:fill="F5F7FB" w:val="clear"/>
        <w:spacing w:after="40" w:before="200"/>
        <w:ind w:left="200"/>
      </w:pPr>
      <w:r>
        <w:rPr>
          <w:b/>
          <w:bCs/>
          <w:color w:val="2E5AAC"/>
          <w:sz w:val="24"/>
          <w:szCs w:val="24"/>
        </w:rPr>
        <w:t xml:space="preserve">Insight 3</w:t>
      </w:r>
    </w:p>
    <w:p>
      <w:pPr>
        <w:pBdr>
          <w:left w:val="single" w:color="2E5AAC" w:sz="24"/>
        </w:pBdr>
        <w:shd w:fill="F5F7FB" w:val="clear"/>
        <w:spacing w:after="40"/>
        <w:ind w:left="200"/>
      </w:pPr>
      <w:r>
        <w:rPr>
          <w:b/>
          <w:bCs/>
          <w:color w:val="2E5AAC"/>
        </w:rPr>
        <w:t xml:space="preserve">Finding: </w:t>
      </w:r>
      <w:r>
        <w:t xml:space="preserve">Customers paying high monthly charges (above $70) churn at 35.3%, versus 23.7% for mid-range charges ($35–$70) and only 10.7% for low charges (under $35). Higher bills are strongly linked to higher churn.</w:t>
      </w:r>
    </w:p>
    <w:p>
      <w:pPr>
        <w:pBdr>
          <w:bottom w:val="single" w:color="F5F7FB" w:sz="4"/>
          <w:left w:val="single" w:color="2E5AAC" w:sz="24"/>
        </w:pBdr>
        <w:shd w:fill="F5F7FB" w:val="clear"/>
        <w:spacing w:after="240"/>
        <w:ind w:left="200"/>
      </w:pPr>
      <w:r>
        <w:rPr>
          <w:b/>
          <w:bCs/>
          <w:color w:val="1F7A3D"/>
        </w:rPr>
        <w:t xml:space="preserve">Business Insight: </w:t>
      </w:r>
      <w:r>
        <w:t xml:space="preserve">High-paying customers should be proactively monitored and offered value-added perks (priority support, small loyalty discounts) rather than being left to churn silently — losing a high-charge customer costs more in lost revenue than losing a low-charge one.</w:t>
      </w:r>
    </w:p>
    <w:p>
      <w:pPr>
        <w:pBdr>
          <w:left w:val="single" w:color="2E5AAC" w:sz="24"/>
        </w:pBdr>
        <w:shd w:fill="F5F7FB" w:val="clear"/>
        <w:spacing w:after="40" w:before="200"/>
        <w:ind w:left="200"/>
      </w:pPr>
      <w:r>
        <w:rPr>
          <w:b/>
          <w:bCs/>
          <w:color w:val="2E5AAC"/>
          <w:sz w:val="24"/>
          <w:szCs w:val="24"/>
        </w:rPr>
        <w:t xml:space="preserve">Insight 4</w:t>
      </w:r>
    </w:p>
    <w:p>
      <w:pPr>
        <w:pBdr>
          <w:left w:val="single" w:color="2E5AAC" w:sz="24"/>
        </w:pBdr>
        <w:shd w:fill="F5F7FB" w:val="clear"/>
        <w:spacing w:after="40"/>
        <w:ind w:left="200"/>
      </w:pPr>
      <w:r>
        <w:rPr>
          <w:b/>
          <w:bCs/>
          <w:color w:val="2E5AAC"/>
        </w:rPr>
        <w:t xml:space="preserve">Finding: </w:t>
      </w:r>
      <w:r>
        <w:t xml:space="preserve">Customers who pay via Electronic Check churn at 45.1%, far higher than Credit Card (15.2%), Bank Transfer (16.7%), or Mailed Check (18.9%).</w:t>
      </w:r>
    </w:p>
    <w:p>
      <w:pPr>
        <w:pBdr>
          <w:bottom w:val="single" w:color="F5F7FB" w:sz="4"/>
          <w:left w:val="single" w:color="2E5AAC" w:sz="24"/>
        </w:pBdr>
        <w:shd w:fill="F5F7FB" w:val="clear"/>
        <w:spacing w:after="240"/>
        <w:ind w:left="200"/>
      </w:pPr>
      <w:r>
        <w:rPr>
          <w:b/>
          <w:bCs/>
          <w:color w:val="1F7A3D"/>
        </w:rPr>
        <w:t xml:space="preserve">Business Insight: </w:t>
      </w:r>
      <w:r>
        <w:t xml:space="preserve">Electronic check users represent a distinct at-risk segment, likely correlated with less commitment to the service. The company could encourage a switch to automatic payment methods (credit card/bank transfer) through small incentives, which is also associated with lower churn.</w:t>
      </w:r>
    </w:p>
    <w:p>
      <w:pPr>
        <w:pBdr>
          <w:left w:val="single" w:color="2E5AAC" w:sz="24"/>
        </w:pBdr>
        <w:shd w:fill="F5F7FB" w:val="clear"/>
        <w:spacing w:after="40" w:before="200"/>
        <w:ind w:left="200"/>
      </w:pPr>
      <w:r>
        <w:rPr>
          <w:b/>
          <w:bCs/>
          <w:color w:val="2E5AAC"/>
          <w:sz w:val="24"/>
          <w:szCs w:val="24"/>
        </w:rPr>
        <w:t xml:space="preserve">Insight 5</w:t>
      </w:r>
    </w:p>
    <w:p>
      <w:pPr>
        <w:pBdr>
          <w:left w:val="single" w:color="2E5AAC" w:sz="24"/>
        </w:pBdr>
        <w:shd w:fill="F5F7FB" w:val="clear"/>
        <w:spacing w:after="40"/>
        <w:ind w:left="200"/>
      </w:pPr>
      <w:r>
        <w:rPr>
          <w:b/>
          <w:bCs/>
          <w:color w:val="2E5AAC"/>
        </w:rPr>
        <w:t xml:space="preserve">Finding: </w:t>
      </w:r>
      <w:r>
        <w:t xml:space="preserve">Customers without Tech Support churn at 41.5%, compared to just 15.2% for those who have it. Similarly, Fiber optic internet users churn at 41.8% versus 18.9% for DSL users.</w:t>
      </w:r>
    </w:p>
    <w:p>
      <w:pPr>
        <w:pBdr>
          <w:bottom w:val="single" w:color="F5F7FB" w:sz="4"/>
          <w:left w:val="single" w:color="2E5AAC" w:sz="24"/>
        </w:pBdr>
        <w:shd w:fill="F5F7FB" w:val="clear"/>
        <w:spacing w:after="240"/>
        <w:ind w:left="200"/>
      </w:pPr>
      <w:r>
        <w:rPr>
          <w:b/>
          <w:bCs/>
          <w:color w:val="1F7A3D"/>
        </w:rPr>
        <w:t xml:space="preserve">Business Insight: </w:t>
      </w:r>
      <w:r>
        <w:t xml:space="preserve">Tech Support appears to be a strong retention lever — the company should consider bundling basic tech support free for the first few months, especially for Fiber optic customers, to reduce early frustration and churn.</w:t>
      </w:r>
    </w:p>
    <w:p>
      <w:pPr>
        <w:pStyle w:val="Heading1"/>
        <w:spacing w:after="150" w:before="320"/>
      </w:pPr>
      <w:r>
        <w:t xml:space="preserve">Summary</w:t>
      </w:r>
    </w:p>
    <w:p>
      <w:pPr>
        <w:spacing w:after="150"/>
      </w:pPr>
      <w:r>
        <w:t xml:space="preserve">Across all five findings, a consistent risk profile emerges: a new customer, on a month-to-month contract, paying high monthly charges via electronic check, without tech support, is the company's highest-risk segment for churn. This profile can be used directly to build a targeted retention campaign.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2026-09-12T11:42:48.269Z</dcterms:created>
  <dcterms:modified xsi:type="dcterms:W3CDTF">2026-09-12T11:42:48.279Z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