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A3754"/>
          <w:sz w:val="62"/>
        </w:rPr>
        <w:t>ASHVATRACE</w:t>
      </w:r>
    </w:p>
    <w:p>
      <w:pPr>
        <w:jc w:val="center"/>
      </w:pPr>
      <w:r>
        <w:rPr>
          <w:b/>
          <w:sz w:val="34"/>
        </w:rPr>
        <w:t>Energy-Aware Quality Intelligence</w:t>
      </w:r>
    </w:p>
    <w:p>
      <w:pPr>
        <w:jc w:val="center"/>
      </w:pPr>
      <w:r>
        <w:rPr>
          <w:i/>
        </w:rPr>
        <w:t>Final product proposal, local-first architecture, UX specification, implementation prompt and judging plan</w:t>
      </w:r>
    </w:p>
    <w:p>
      <w:pPr>
        <w:spacing w:before="360"/>
        <w:jc w:val="center"/>
      </w:pPr>
      <w:r>
        <w:t>Team Ashvamedh | Google Cloud AI Builder Cup 2026 | Manufacturing</w:t>
      </w:r>
    </w:p>
    <w:p>
      <w:pPr>
        <w:spacing w:before="500"/>
        <w:jc w:val="center"/>
      </w:pPr>
      <w:r>
        <w:t>Core promise: Detect the signal. Investigate the cause. Verify the improvement.</w:t>
      </w:r>
    </w:p>
    <w:p>
      <w:r>
        <w:br w:type="page"/>
      </w:r>
    </w:p>
    <w:p>
      <w:pPr>
        <w:pStyle w:val="Heading1"/>
      </w:pPr>
      <w:r>
        <w:t>1. Executive summary in easy language</w:t>
      </w:r>
    </w:p>
    <w:p>
      <w:pPr>
        <w:spacing w:after="80"/>
      </w:pPr>
      <w:r>
        <w:t>AshvaTrace is an industrial incident-investigation web application. It helps factory engineers spot a possible manufacturing problem before it creates a large batch of rejected parts. It compares actual machine power with an expected baseline for a comparable workload. It also checks vibration, cycle time, dimensional measurements and machine events. When the signals change together, the system opens an incident and builds a traceable evidence pack.</w:t>
      </w:r>
    </w:p>
    <w:p>
      <w:pPr>
        <w:spacing w:after="80"/>
      </w:pPr>
      <w:r>
        <w:t>An AI model can help summarize evidence, compare possible explanations, point to operating procedures and suggest the next diagnostic check. An engineer remains responsible for approving any simulated intervention. The application then checks the post-action data to determine whether the change helped.</w:t>
      </w:r>
    </w:p>
    <w:p>
      <w:pPr>
        <w:spacing w:after="80"/>
      </w:pPr>
      <w:r>
        <w:t>The product is local-first: core analytics, synthetic data, incident history and calculations should work without internet. AI is pluggable: local mode can use a compatible Google Gemma open-weight model where supported; cloud mode can use Gemini through Vertex AI. If AI is unavailable, the system still performs deterministic detection and displays a clear 'AI unavailable' state rather than fabricating an answer.</w:t>
      </w:r>
    </w:p>
    <w:p>
      <w:pPr>
        <w:spacing w:after="80"/>
      </w:pPr>
      <w:r>
        <w:t>Important model terminology: Gemma is commonly described by Google as an open model/open-weight model. Do not promise that every Gemma model is OSI-certified open source; review the specific model's licence and use terms before distribution.</w:t>
      </w:r>
    </w:p>
    <w:p>
      <w:pPr>
        <w:pStyle w:val="Heading1"/>
      </w:pPr>
      <w:r>
        <w:t>2. Product identity and positioning</w:t>
      </w:r>
    </w:p>
    <w:p>
      <w:pPr>
        <w:spacing w:after="80"/>
      </w:pPr>
      <w:r>
        <w:t>Product: AshvaTrace</w:t>
      </w:r>
    </w:p>
    <w:p>
      <w:pPr>
        <w:spacing w:after="80"/>
      </w:pPr>
      <w:r>
        <w:t>Team: Ashvamedh</w:t>
      </w:r>
    </w:p>
    <w:p>
      <w:pPr>
        <w:spacing w:after="80"/>
      </w:pPr>
      <w:r>
        <w:t>Category: Energy-Aware Quality Intelligence for Manufacturing</w:t>
      </w:r>
    </w:p>
    <w:p>
      <w:pPr>
        <w:spacing w:after="80"/>
      </w:pPr>
      <w:r>
        <w:t>Tagline: Detect the signal. Investigate the cause. Verify the improvement.</w:t>
      </w:r>
    </w:p>
    <w:p>
      <w:pPr>
        <w:spacing w:after="80"/>
      </w:pPr>
      <w:r>
        <w:t>Positioning: AshvaTrace turns machine energy deviation into an early investigation signal by correlating it with condition and quality data, then helps an engineer verify whether an approved action improved the process.</w:t>
      </w:r>
    </w:p>
    <w:p>
      <w:pPr>
        <w:spacing w:after="80"/>
      </w:pPr>
      <w:r>
        <w:t>Remove all ForgeMind branding from the UI, source labels, metadata, screenshots, footer and demo script. Use 'AshvaTrace by Team Ashvamedh' consistently.</w:t>
      </w:r>
    </w:p>
    <w:p>
      <w:pPr>
        <w:pStyle w:val="Heading1"/>
      </w:pPr>
      <w:r>
        <w:t>3. The real manufacturing problem</w:t>
      </w:r>
    </w:p>
    <w:p>
      <w:pPr>
        <w:pStyle w:val="ListBullet"/>
        <w:spacing w:after="40"/>
      </w:pPr>
      <w:r>
        <w:t>An energy dashboard can show consumption but often does not explain whether it is abnormal for the current production workload.</w:t>
      </w:r>
    </w:p>
    <w:p>
      <w:pPr>
        <w:pStyle w:val="ListBullet"/>
        <w:spacing w:after="40"/>
      </w:pPr>
      <w:r>
        <w:t>A CNC process may show higher power draw, increased vibration, longer cycles and dimensional drift at around the same time.</w:t>
      </w:r>
    </w:p>
    <w:p>
      <w:pPr>
        <w:pStyle w:val="ListBullet"/>
        <w:spacing w:after="40"/>
      </w:pPr>
      <w:r>
        <w:t>No single signal proves the root cause. Workload, material, recipe, tool condition and setup changes may also explain a difference.</w:t>
      </w:r>
    </w:p>
    <w:p>
      <w:pPr>
        <w:pStyle w:val="ListBullet"/>
        <w:spacing w:after="40"/>
      </w:pPr>
      <w:r>
        <w:t>Engineers need a concise incident view, traceable evidence, relevant SOP instructions, next diagnostic checks and a measurable verification step.</w:t>
      </w:r>
    </w:p>
    <w:p>
      <w:pPr>
        <w:spacing w:after="80"/>
      </w:pPr>
      <w:r>
        <w:t>AshvaTrace should not claim that high energy proves friction or tool wear. Energy is an indicator that triggers investigation; the diagnosis remains a hypothesis until validated.</w:t>
      </w:r>
    </w:p>
    <w:p>
      <w:pPr>
        <w:pStyle w:val="Heading1"/>
      </w:pPr>
      <w:r>
        <w:t>4. Core user journey</w:t>
      </w:r>
    </w:p>
    <w:p>
      <w:pPr>
        <w:pStyle w:val="ListNumber"/>
        <w:spacing w:after="40"/>
      </w:pPr>
      <w:r>
        <w:t>Plant overview: show machines as Normal, Watch or Action Required. Select CNC-03 and a synthetic incident.</w:t>
      </w:r>
    </w:p>
    <w:p>
      <w:pPr>
        <w:pStyle w:val="ListNumber"/>
        <w:spacing w:after="40"/>
      </w:pPr>
      <w:r>
        <w:t>Incident opened: display the incident summary, timestamp, affected machine, production context and clear 'SIMULATED DATA' badge.</w:t>
      </w:r>
    </w:p>
    <w:p>
      <w:pPr>
        <w:pStyle w:val="ListNumber"/>
        <w:spacing w:after="40"/>
      </w:pPr>
      <w:r>
        <w:t>Evidence reviewed: compare actual versus expected power, vibration, cycle time, part dimensions and event timestamps on a shared timeline where practical.</w:t>
      </w:r>
    </w:p>
    <w:p>
      <w:pPr>
        <w:pStyle w:val="ListNumber"/>
        <w:spacing w:after="40"/>
      </w:pPr>
      <w:r>
        <w:t>Investigation: the selected AI provider receives a compact computed evidence bundle plus relevant SOP excerpts. It returns competing hypotheses, evidence for and against, uncertainty and next checks.</w:t>
      </w:r>
    </w:p>
    <w:p>
      <w:pPr>
        <w:pStyle w:val="ListNumber"/>
        <w:spacing w:after="40"/>
      </w:pPr>
      <w:r>
        <w:t>Decision: show two simulated interventions with explicit operational risks and transparent cost/energy/quality assumptions.</w:t>
      </w:r>
    </w:p>
    <w:p>
      <w:pPr>
        <w:pStyle w:val="ListNumber"/>
        <w:spacing w:after="40"/>
      </w:pPr>
      <w:r>
        <w:t>Approval: engineer approves or rejects the simulated intervention. No real machine command can be sent.</w:t>
      </w:r>
    </w:p>
    <w:p>
      <w:pPr>
        <w:pStyle w:val="ListNumber"/>
        <w:spacing w:after="40"/>
      </w:pPr>
      <w:r>
        <w:t>Verification: deterministic code evaluates the post-action window and returns PASS, PARTIAL IMPROVEMENT or UNRESOLVED.</w:t>
      </w:r>
    </w:p>
    <w:p>
      <w:pPr>
        <w:pStyle w:val="ListNumber"/>
        <w:spacing w:after="40"/>
      </w:pPr>
      <w:r>
        <w:t>Audit trail: preserve the evidence IDs, chosen action, approval identity/role if available, assumptions and verification results locally.</w:t>
      </w:r>
    </w:p>
    <w:p>
      <w:pPr>
        <w:pStyle w:val="Heading1"/>
      </w:pPr>
      <w:r>
        <w:t>5. Industrial UI/UX requirements</w:t>
      </w:r>
    </w:p>
    <w:p>
      <w:pPr>
        <w:pStyle w:val="Heading2"/>
      </w:pPr>
      <w:r>
        <w:t>Screen A — Plant overview</w:t>
      </w:r>
    </w:p>
    <w:p>
      <w:pPr>
        <w:pStyle w:val="ListBullet"/>
        <w:spacing w:after="40"/>
      </w:pPr>
      <w:r>
        <w:t>Plant/line selector and machine status list: Normal, Watch, Action Required.</w:t>
      </w:r>
    </w:p>
    <w:p>
      <w:pPr>
        <w:pStyle w:val="ListBullet"/>
        <w:spacing w:after="40"/>
      </w:pPr>
      <w:r>
        <w:t>Machine ID, production state, incident count and relevant production order or recipe if available.</w:t>
      </w:r>
    </w:p>
    <w:p>
      <w:pPr>
        <w:pStyle w:val="ListBullet"/>
        <w:spacing w:after="40"/>
      </w:pPr>
      <w:r>
        <w:t>One highlighted incident and one primary action to open it.</w:t>
      </w:r>
    </w:p>
    <w:p>
      <w:pPr>
        <w:pStyle w:val="ListBullet"/>
        <w:spacing w:after="40"/>
      </w:pPr>
      <w:r>
        <w:t>Do not lead with a wall of oversized KPI cards. Lead with machine state and operational consequence.</w:t>
      </w:r>
    </w:p>
    <w:p>
      <w:pPr>
        <w:pStyle w:val="Heading2"/>
      </w:pPr>
      <w:r>
        <w:t>Screen B — Incident investigation (highest priority)</w:t>
      </w:r>
    </w:p>
    <w:p>
      <w:pPr>
        <w:pStyle w:val="ListBullet"/>
        <w:spacing w:after="40"/>
      </w:pPr>
      <w:r>
        <w:t>Header: CNC-03, incident ID, timestamp, status 'Under Investigation', summary and persistent SIMULATED DATA badge.</w:t>
      </w:r>
    </w:p>
    <w:p>
      <w:pPr>
        <w:pStyle w:val="ListBullet"/>
        <w:spacing w:after="40"/>
      </w:pPr>
      <w:r>
        <w:t>Trend panels: actual vs expected power in kW; vibration in mm/s RMS; dimensional measurements in mm with lower/upper tolerance lines.</w:t>
      </w:r>
    </w:p>
    <w:p>
      <w:pPr>
        <w:pStyle w:val="ListBullet"/>
        <w:spacing w:after="40"/>
      </w:pPr>
      <w:r>
        <w:t>Shared time axis and event markers for tool change, setup change, anomaly and inspection where practical.</w:t>
      </w:r>
    </w:p>
    <w:p>
      <w:pPr>
        <w:pStyle w:val="ListBullet"/>
        <w:spacing w:after="40"/>
      </w:pPr>
      <w:r>
        <w:t>Show latest, average and peak as separate labels; never silently compare a latest reading with a historical peak.</w:t>
      </w:r>
    </w:p>
    <w:p>
      <w:pPr>
        <w:pStyle w:val="ListBullet"/>
        <w:spacing w:after="40"/>
      </w:pPr>
      <w:r>
        <w:t>Evidence list with source IDs and data-quality warnings. Separate computed facts from AI hypotheses.</w:t>
      </w:r>
    </w:p>
    <w:p>
      <w:pPr>
        <w:pStyle w:val="Heading2"/>
      </w:pPr>
      <w:r>
        <w:t>Screen C — Investigation and next check</w:t>
      </w:r>
    </w:p>
    <w:p>
      <w:pPr>
        <w:pStyle w:val="ListBullet"/>
        <w:spacing w:after="40"/>
      </w:pPr>
      <w:r>
        <w:t>Ranked competing hypotheses with supporting evidence, contradictory evidence, uncertainty and a discriminating next check.</w:t>
      </w:r>
    </w:p>
    <w:p>
      <w:pPr>
        <w:pStyle w:val="ListBullet"/>
        <w:spacing w:after="40"/>
      </w:pPr>
      <w:r>
        <w:t>SOP ID and section reference; only show references that actually exist in the supplied documents.</w:t>
      </w:r>
    </w:p>
    <w:p>
      <w:pPr>
        <w:pStyle w:val="ListBullet"/>
        <w:spacing w:after="40"/>
      </w:pPr>
      <w:r>
        <w:t>Avoid confident root-cause wording when evidence is incomplete.</w:t>
      </w:r>
    </w:p>
    <w:p>
      <w:pPr>
        <w:pStyle w:val="Heading2"/>
      </w:pPr>
      <w:r>
        <w:t>Screen D — Intervention decision</w:t>
      </w:r>
    </w:p>
    <w:p>
      <w:pPr>
        <w:pStyle w:val="ListBullet"/>
        <w:spacing w:after="40"/>
      </w:pPr>
      <w:r>
        <w:t>Compare two options in a compact engineering table: operational risk, assumed downtime, expected energy impact, quality impact, costs and verification criteria.</w:t>
      </w:r>
    </w:p>
    <w:p>
      <w:pPr>
        <w:pStyle w:val="ListBullet"/>
        <w:spacing w:after="40"/>
      </w:pPr>
      <w:r>
        <w:t>Make the calculation assumptions visible. Use ₹ as the default currency for the demo.</w:t>
      </w:r>
    </w:p>
    <w:p>
      <w:pPr>
        <w:pStyle w:val="ListBullet"/>
        <w:spacing w:after="40"/>
      </w:pPr>
      <w:r>
        <w:t>Approve Simulated Action and Reject controls. Rejection must not change simulated state.</w:t>
      </w:r>
    </w:p>
    <w:p>
      <w:pPr>
        <w:pStyle w:val="Heading2"/>
      </w:pPr>
      <w:r>
        <w:t>Screen E — Recovery verification</w:t>
      </w:r>
    </w:p>
    <w:p>
      <w:pPr>
        <w:pStyle w:val="ListBullet"/>
        <w:spacing w:after="40"/>
      </w:pPr>
      <w:r>
        <w:t>Before/after measurements for equivalent or clearly explained windows.</w:t>
      </w:r>
    </w:p>
    <w:p>
      <w:pPr>
        <w:pStyle w:val="ListBullet"/>
        <w:spacing w:after="40"/>
      </w:pPr>
      <w:r>
        <w:t>Energy per good part, power deviation, dimensional compliance and rejected-part count.</w:t>
      </w:r>
    </w:p>
    <w:p>
      <w:pPr>
        <w:pStyle w:val="ListBullet"/>
        <w:spacing w:after="40"/>
      </w:pPr>
      <w:r>
        <w:t>Result: PASS, PARTIAL IMPROVEMENT or UNRESOLVED, computed by code.</w:t>
      </w:r>
    </w:p>
    <w:p>
      <w:pPr>
        <w:pStyle w:val="ListBullet"/>
        <w:spacing w:after="40"/>
      </w:pPr>
      <w:r>
        <w:t>At least one test scenario should not recover fully, so the interface proves it can report failure honestly.</w:t>
      </w:r>
    </w:p>
    <w:p>
      <w:pPr>
        <w:pStyle w:val="Heading2"/>
      </w:pPr>
      <w:r>
        <w:t>Visual design principles</w:t>
      </w:r>
    </w:p>
    <w:p>
      <w:pPr>
        <w:pStyle w:val="ListBullet"/>
        <w:spacing w:after="40"/>
      </w:pPr>
      <w:r>
        <w:t>Industrial HMI/operations-console feel: charcoal/navy navigation, neutral engineering workspace, restrained amber/red/green states.</w:t>
      </w:r>
    </w:p>
    <w:p>
      <w:pPr>
        <w:pStyle w:val="ListBullet"/>
        <w:spacing w:after="40"/>
      </w:pPr>
      <w:r>
        <w:t>Dense but readable; clear units, timestamps, data source and severity. Avoid consumer SaaS gradients, giant decorative headings and excessive rounded cards.</w:t>
      </w:r>
    </w:p>
    <w:p>
      <w:pPr>
        <w:pStyle w:val="ListBullet"/>
        <w:spacing w:after="40"/>
      </w:pPr>
      <w:r>
        <w:t>Desktop/tablet first, responsive mobile layout, visible keyboard focus, sufficient contrast and clear error/loading/empty states.</w:t>
      </w:r>
    </w:p>
    <w:p>
      <w:pPr>
        <w:pStyle w:val="ListBullet"/>
        <w:spacing w:after="40"/>
      </w:pPr>
      <w:r>
        <w:t>Keep the primary workflow obvious. One primary action per stage; avoid duplicate 'Investigate' buttons.</w:t>
      </w:r>
    </w:p>
    <w:p>
      <w:pPr>
        <w:pStyle w:val="ListBullet"/>
        <w:spacing w:after="40"/>
      </w:pPr>
      <w:r>
        <w:t>Consistent product identity: AshvaTrace by Team Ashvamedh; no ForgeMind labels.</w:t>
      </w:r>
    </w:p>
    <w:p>
      <w:pPr>
        <w:pStyle w:val="Heading1"/>
      </w:pPr>
      <w:r>
        <w:t>6. Local-first architecture and deployment modes</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shd w:fill="DCEAF4"/>
          </w:tcPr>
          <w:p>
            <w:r>
              <w:rPr>
                <w:b/>
                <w:sz w:val="16"/>
              </w:rPr>
              <w:t>Mode</w:t>
            </w:r>
          </w:p>
        </w:tc>
        <w:tc>
          <w:tcPr>
            <w:tcW w:type="dxa" w:w="2033"/>
            <w:shd w:fill="DCEAF4"/>
          </w:tcPr>
          <w:p>
            <w:r>
              <w:rPr>
                <w:b/>
                <w:sz w:val="16"/>
              </w:rPr>
              <w:t>What works</w:t>
            </w:r>
          </w:p>
        </w:tc>
        <w:tc>
          <w:tcPr>
            <w:tcW w:type="dxa" w:w="2033"/>
            <w:shd w:fill="DCEAF4"/>
          </w:tcPr>
          <w:p>
            <w:r>
              <w:rPr>
                <w:b/>
                <w:sz w:val="16"/>
              </w:rPr>
              <w:t>AI option</w:t>
            </w:r>
          </w:p>
        </w:tc>
        <w:tc>
          <w:tcPr>
            <w:tcW w:type="dxa" w:w="2033"/>
            <w:shd w:fill="DCEAF4"/>
          </w:tcPr>
          <w:p>
            <w:r>
              <w:rPr>
                <w:b/>
                <w:sz w:val="16"/>
              </w:rPr>
              <w:t>Internet requirement</w:t>
            </w:r>
          </w:p>
        </w:tc>
        <w:tc>
          <w:tcPr>
            <w:tcW w:type="dxa" w:w="2033"/>
            <w:shd w:fill="DCEAF4"/>
          </w:tcPr>
          <w:p>
            <w:r>
              <w:rPr>
                <w:b/>
                <w:sz w:val="16"/>
              </w:rPr>
              <w:t>When to use</w:t>
            </w:r>
          </w:p>
        </w:tc>
      </w:tr>
      <w:tr>
        <w:tc>
          <w:tcPr>
            <w:tcW w:type="dxa" w:w="2033"/>
          </w:tcPr>
          <w:p>
            <w:pPr>
              <w:spacing w:after="0"/>
            </w:pPr>
            <w:r>
              <w:rPr>
                <w:sz w:val="16"/>
              </w:rPr>
              <w:t>Local deterministic mode</w:t>
            </w:r>
          </w:p>
        </w:tc>
        <w:tc>
          <w:tcPr>
            <w:tcW w:type="dxa" w:w="2033"/>
          </w:tcPr>
          <w:p>
            <w:pPr>
              <w:spacing w:after="0"/>
            </w:pPr>
            <w:r>
              <w:rPr>
                <w:sz w:val="16"/>
              </w:rPr>
              <w:t>Dataset, analytics, trends, incidents, calculations, approvals, simulation, verification and local history</w:t>
            </w:r>
          </w:p>
        </w:tc>
        <w:tc>
          <w:tcPr>
            <w:tcW w:type="dxa" w:w="2033"/>
          </w:tcPr>
          <w:p>
            <w:pPr>
              <w:spacing w:after="0"/>
            </w:pPr>
            <w:r>
              <w:rPr>
                <w:sz w:val="16"/>
              </w:rPr>
              <w:t>AI optional; show unavailable clearly if no model configured</w:t>
            </w:r>
          </w:p>
        </w:tc>
        <w:tc>
          <w:tcPr>
            <w:tcW w:type="dxa" w:w="2033"/>
          </w:tcPr>
          <w:p>
            <w:pPr>
              <w:spacing w:after="0"/>
            </w:pPr>
            <w:r>
              <w:rPr>
                <w:sz w:val="16"/>
              </w:rPr>
              <w:t>No internet after app is installed/served locally</w:t>
            </w:r>
          </w:p>
        </w:tc>
        <w:tc>
          <w:tcPr>
            <w:tcW w:type="dxa" w:w="2033"/>
          </w:tcPr>
          <w:p>
            <w:pPr>
              <w:spacing w:after="0"/>
            </w:pPr>
            <w:r>
              <w:rPr>
                <w:sz w:val="16"/>
              </w:rPr>
              <w:t>Factory networks with strict data boundaries; fallback mode</w:t>
            </w:r>
          </w:p>
        </w:tc>
      </w:tr>
      <w:tr>
        <w:tc>
          <w:tcPr>
            <w:tcW w:type="dxa" w:w="2033"/>
          </w:tcPr>
          <w:p>
            <w:pPr>
              <w:spacing w:after="0"/>
            </w:pPr>
            <w:r>
              <w:rPr>
                <w:sz w:val="16"/>
              </w:rPr>
              <w:t>Local AI mode</w:t>
            </w:r>
          </w:p>
        </w:tc>
        <w:tc>
          <w:tcPr>
            <w:tcW w:type="dxa" w:w="2033"/>
          </w:tcPr>
          <w:p>
            <w:pPr>
              <w:spacing w:after="0"/>
            </w:pPr>
            <w:r>
              <w:rPr>
                <w:sz w:val="16"/>
              </w:rPr>
              <w:t>Same as local deterministic mode, plus AI explanations if local model is supported</w:t>
            </w:r>
          </w:p>
        </w:tc>
        <w:tc>
          <w:tcPr>
            <w:tcW w:type="dxa" w:w="2033"/>
          </w:tcPr>
          <w:p>
            <w:pPr>
              <w:spacing w:after="0"/>
            </w:pPr>
            <w:r>
              <w:rPr>
                <w:sz w:val="16"/>
              </w:rPr>
              <w:t>Compatible Google Gemma model via a supported local/browser inference path</w:t>
            </w:r>
          </w:p>
        </w:tc>
        <w:tc>
          <w:tcPr>
            <w:tcW w:type="dxa" w:w="2033"/>
          </w:tcPr>
          <w:p>
            <w:pPr>
              <w:spacing w:after="0"/>
            </w:pPr>
            <w:r>
              <w:rPr>
                <w:sz w:val="16"/>
              </w:rPr>
              <w:t>Model download may be needed once; then offline inference if runtime and model support it</w:t>
            </w:r>
          </w:p>
        </w:tc>
        <w:tc>
          <w:tcPr>
            <w:tcW w:type="dxa" w:w="2033"/>
          </w:tcPr>
          <w:p>
            <w:pPr>
              <w:spacing w:after="0"/>
            </w:pPr>
            <w:r>
              <w:rPr>
                <w:sz w:val="16"/>
              </w:rPr>
              <w:t>Sensitive sites and disconnected environments</w:t>
            </w:r>
          </w:p>
        </w:tc>
      </w:tr>
      <w:tr>
        <w:tc>
          <w:tcPr>
            <w:tcW w:type="dxa" w:w="2033"/>
          </w:tcPr>
          <w:p>
            <w:pPr>
              <w:spacing w:after="0"/>
            </w:pPr>
            <w:r>
              <w:rPr>
                <w:sz w:val="16"/>
              </w:rPr>
              <w:t>Google Cloud mode</w:t>
            </w:r>
          </w:p>
        </w:tc>
        <w:tc>
          <w:tcPr>
            <w:tcW w:type="dxa" w:w="2033"/>
          </w:tcPr>
          <w:p>
            <w:pPr>
              <w:spacing w:after="0"/>
            </w:pPr>
            <w:r>
              <w:rPr>
                <w:sz w:val="16"/>
              </w:rPr>
              <w:t>Hosted app, optional centralised deployment and logs</w:t>
            </w:r>
          </w:p>
        </w:tc>
        <w:tc>
          <w:tcPr>
            <w:tcW w:type="dxa" w:w="2033"/>
          </w:tcPr>
          <w:p>
            <w:pPr>
              <w:spacing w:after="0"/>
            </w:pPr>
            <w:r>
              <w:rPr>
                <w:sz w:val="16"/>
              </w:rPr>
              <w:t>Gemini through Vertex AI; optionally a deployed Gemma model on Google Cloud</w:t>
            </w:r>
          </w:p>
        </w:tc>
        <w:tc>
          <w:tcPr>
            <w:tcW w:type="dxa" w:w="2033"/>
          </w:tcPr>
          <w:p>
            <w:pPr>
              <w:spacing w:after="0"/>
            </w:pPr>
            <w:r>
              <w:rPr>
                <w:sz w:val="16"/>
              </w:rPr>
              <w:t>Internet/cloud connectivity required</w:t>
            </w:r>
          </w:p>
        </w:tc>
        <w:tc>
          <w:tcPr>
            <w:tcW w:type="dxa" w:w="2033"/>
          </w:tcPr>
          <w:p>
            <w:pPr>
              <w:spacing w:after="0"/>
            </w:pPr>
            <w:r>
              <w:rPr>
                <w:sz w:val="16"/>
              </w:rPr>
              <w:t>Hackathon demo, connected factories, managed operation</w:t>
            </w:r>
          </w:p>
        </w:tc>
      </w:tr>
      <w:tr>
        <w:tc>
          <w:tcPr>
            <w:tcW w:type="dxa" w:w="2033"/>
          </w:tcPr>
          <w:p>
            <w:pPr>
              <w:spacing w:after="0"/>
            </w:pPr>
            <w:r>
              <w:rPr>
                <w:sz w:val="16"/>
              </w:rPr>
              <w:t>Hybrid mode</w:t>
            </w:r>
          </w:p>
        </w:tc>
        <w:tc>
          <w:tcPr>
            <w:tcW w:type="dxa" w:w="2033"/>
          </w:tcPr>
          <w:p>
            <w:pPr>
              <w:spacing w:after="0"/>
            </w:pPr>
            <w:r>
              <w:rPr>
                <w:sz w:val="16"/>
              </w:rPr>
              <w:t>Local detection and storage remain primary; only explicitly approved evidence is sent to cloud AI</w:t>
            </w:r>
          </w:p>
        </w:tc>
        <w:tc>
          <w:tcPr>
            <w:tcW w:type="dxa" w:w="2033"/>
          </w:tcPr>
          <w:p>
            <w:pPr>
              <w:spacing w:after="0"/>
            </w:pPr>
            <w:r>
              <w:rPr>
                <w:sz w:val="16"/>
              </w:rPr>
              <w:t>Local Gemma first; cloud Gemini fallback only with explicit policy/consent</w:t>
            </w:r>
          </w:p>
        </w:tc>
        <w:tc>
          <w:tcPr>
            <w:tcW w:type="dxa" w:w="2033"/>
          </w:tcPr>
          <w:p>
            <w:pPr>
              <w:spacing w:after="0"/>
            </w:pPr>
            <w:r>
              <w:rPr>
                <w:sz w:val="16"/>
              </w:rPr>
              <w:t>Intermittent connectivity</w:t>
            </w:r>
          </w:p>
        </w:tc>
        <w:tc>
          <w:tcPr>
            <w:tcW w:type="dxa" w:w="2033"/>
          </w:tcPr>
          <w:p>
            <w:pPr>
              <w:spacing w:after="0"/>
            </w:pPr>
            <w:r>
              <w:rPr>
                <w:sz w:val="16"/>
              </w:rPr>
              <w:t>Sites that allow selected cloud processing</w:t>
            </w:r>
          </w:p>
        </w:tc>
      </w:tr>
    </w:tbl>
    <w:p>
      <w:pPr>
        <w:spacing w:after="0"/>
      </w:pPr>
    </w:p>
    <w:p>
      <w:pPr>
        <w:spacing w:after="80"/>
      </w:pPr>
      <w:r>
        <w:t>Recommended design: build one AI-provider interface, not two separate products. The deterministic engine is the authority for metrics. A provider adapter selects Local Gemma, Vertex AI Gemini, or Disabled. The UI must clearly display which provider handled each investigation.</w:t>
      </w:r>
    </w:p>
    <w:p>
      <w:pPr>
        <w:spacing w:after="80"/>
      </w:pPr>
      <w:r>
        <w:t>Offline caveat: a web app cannot work offline on a device that has never downloaded its files or model. For a reliable offline installation, serve the app on localhost or a plant LAN and cache static assets. Browser-based local inference depends on browser support, device memory/GPU and model format. Test on the actual target hardware before promising offline AI.</w:t>
      </w:r>
    </w:p>
    <w:p>
      <w:pPr>
        <w:pStyle w:val="Heading1"/>
      </w:pPr>
      <w:r>
        <w:t>7. Google model strategy: Gemma vs Gemini</w:t>
      </w:r>
    </w:p>
    <w:tbl>
      <w:tblPr>
        <w:tblStyle w:val="TableGrid"/>
        <w:tblW w:type="auto" w:w="0"/>
        <w:tblLook w:firstColumn="1" w:firstRow="1" w:lastColumn="0" w:lastRow="0" w:noHBand="0" w:noVBand="1" w:val="04A0"/>
      </w:tblPr>
      <w:tblGrid>
        <w:gridCol w:w="3389"/>
        <w:gridCol w:w="3389"/>
        <w:gridCol w:w="3389"/>
      </w:tblGrid>
      <w:tr>
        <w:tc>
          <w:tcPr>
            <w:tcW w:type="dxa" w:w="3389"/>
            <w:shd w:fill="DCEAF4"/>
          </w:tcPr>
          <w:p>
            <w:r>
              <w:rPr>
                <w:b/>
                <w:sz w:val="16"/>
              </w:rPr>
              <w:t>Option</w:t>
            </w:r>
          </w:p>
        </w:tc>
        <w:tc>
          <w:tcPr>
            <w:tcW w:type="dxa" w:w="3389"/>
            <w:shd w:fill="DCEAF4"/>
          </w:tcPr>
          <w:p>
            <w:r>
              <w:rPr>
                <w:b/>
                <w:sz w:val="16"/>
              </w:rPr>
              <w:t>Strengths</w:t>
            </w:r>
          </w:p>
        </w:tc>
        <w:tc>
          <w:tcPr>
            <w:tcW w:type="dxa" w:w="3389"/>
            <w:shd w:fill="DCEAF4"/>
          </w:tcPr>
          <w:p>
            <w:r>
              <w:rPr>
                <w:b/>
                <w:sz w:val="16"/>
              </w:rPr>
              <w:t>Limitations / guardrails</w:t>
            </w:r>
          </w:p>
        </w:tc>
      </w:tr>
      <w:tr>
        <w:tc>
          <w:tcPr>
            <w:tcW w:type="dxa" w:w="3389"/>
          </w:tcPr>
          <w:p>
            <w:pPr>
              <w:spacing w:after="0"/>
            </w:pPr>
            <w:r>
              <w:rPr>
                <w:sz w:val="16"/>
              </w:rPr>
              <w:t>Gemma local (open-weight)</w:t>
            </w:r>
          </w:p>
        </w:tc>
        <w:tc>
          <w:tcPr>
            <w:tcW w:type="dxa" w:w="3389"/>
          </w:tcPr>
          <w:p>
            <w:pPr>
              <w:spacing w:after="0"/>
            </w:pPr>
            <w:r>
              <w:rPr>
                <w:sz w:val="16"/>
              </w:rPr>
              <w:t>Potentially keeps data on-site; can operate without cloud once model and runtime are available; can be customized subject to licence</w:t>
            </w:r>
          </w:p>
        </w:tc>
        <w:tc>
          <w:tcPr>
            <w:tcW w:type="dxa" w:w="3389"/>
          </w:tcPr>
          <w:p>
            <w:pPr>
              <w:spacing w:after="0"/>
            </w:pPr>
            <w:r>
              <w:rPr>
                <w:sz w:val="16"/>
              </w:rPr>
              <w:t>Hardware and runtime constraints; model quality may differ; local model downloads and licence review required; never assume all browsers can run it</w:t>
            </w:r>
          </w:p>
        </w:tc>
      </w:tr>
      <w:tr>
        <w:tc>
          <w:tcPr>
            <w:tcW w:type="dxa" w:w="3389"/>
          </w:tcPr>
          <w:p>
            <w:pPr>
              <w:spacing w:after="0"/>
            </w:pPr>
            <w:r>
              <w:rPr>
                <w:sz w:val="16"/>
              </w:rPr>
              <w:t>Gemini via Vertex AI</w:t>
            </w:r>
          </w:p>
        </w:tc>
        <w:tc>
          <w:tcPr>
            <w:tcW w:type="dxa" w:w="3389"/>
          </w:tcPr>
          <w:p>
            <w:pPr>
              <w:spacing w:after="0"/>
            </w:pPr>
            <w:r>
              <w:rPr>
                <w:sz w:val="16"/>
              </w:rPr>
              <w:t>Managed cloud model access, simpler centralised integration, suitable for a hackathon demo</w:t>
            </w:r>
          </w:p>
        </w:tc>
        <w:tc>
          <w:tcPr>
            <w:tcW w:type="dxa" w:w="3389"/>
          </w:tcPr>
          <w:p>
            <w:pPr>
              <w:spacing w:after="0"/>
            </w:pPr>
            <w:r>
              <w:rPr>
                <w:sz w:val="16"/>
              </w:rPr>
              <w:t>Requires network/cloud permissions; data sent to cloud must be allowed by the site's policy; costs and quotas apply</w:t>
            </w:r>
          </w:p>
        </w:tc>
      </w:tr>
      <w:tr>
        <w:tc>
          <w:tcPr>
            <w:tcW w:type="dxa" w:w="3389"/>
          </w:tcPr>
          <w:p>
            <w:pPr>
              <w:spacing w:after="0"/>
            </w:pPr>
            <w:r>
              <w:rPr>
                <w:sz w:val="16"/>
              </w:rPr>
              <w:t>No AI / deterministic fallback</w:t>
            </w:r>
          </w:p>
        </w:tc>
        <w:tc>
          <w:tcPr>
            <w:tcW w:type="dxa" w:w="3389"/>
          </w:tcPr>
          <w:p>
            <w:pPr>
              <w:spacing w:after="0"/>
            </w:pPr>
            <w:r>
              <w:rPr>
                <w:sz w:val="16"/>
              </w:rPr>
              <w:t>Reliable calculations and incident detection remain available even if AI fails</w:t>
            </w:r>
          </w:p>
        </w:tc>
        <w:tc>
          <w:tcPr>
            <w:tcW w:type="dxa" w:w="3389"/>
          </w:tcPr>
          <w:p>
            <w:pPr>
              <w:spacing w:after="0"/>
            </w:pPr>
            <w:r>
              <w:rPr>
                <w:sz w:val="16"/>
              </w:rPr>
              <w:t>No generated narrative; must show a clear 'AI unavailable' state and still provide computed facts</w:t>
            </w:r>
          </w:p>
        </w:tc>
      </w:tr>
    </w:tbl>
    <w:p>
      <w:pPr>
        <w:spacing w:after="0"/>
      </w:pPr>
    </w:p>
    <w:p>
      <w:pPr>
        <w:spacing w:after="80"/>
      </w:pPr>
      <w:r>
        <w:t>Google documentation describes Gemma as an open model family that can run on applications and hardware, including local environments. Google's documentation also describes browser-based Gemma deployment through the MediaPipe LLM Inference API. Exact model, runtime, browser and licence compatibility must be checked before selecting a version.</w:t>
      </w:r>
    </w:p>
    <w:p>
      <w:pPr>
        <w:spacing w:after="80"/>
      </w:pPr>
      <w:r>
        <w:t>Official references:</w:t>
      </w:r>
    </w:p>
    <w:p>
      <w:pPr>
        <w:spacing w:after="80"/>
      </w:pPr>
      <w:r>
        <w:t>Gemma overview: https://ai.google.dev/gemma/docs</w:t>
      </w:r>
    </w:p>
    <w:p>
      <w:pPr>
        <w:spacing w:after="80"/>
      </w:pPr>
      <w:r>
        <w:t>Gemma browser deployment: https://ai.google.dev/gemma/docs/integrations/web</w:t>
      </w:r>
    </w:p>
    <w:p>
      <w:pPr>
        <w:spacing w:after="80"/>
      </w:pPr>
      <w:r>
        <w:t>Gemma runtime selection: https://ai.google.dev/gemma/docs/run</w:t>
      </w:r>
    </w:p>
    <w:p>
      <w:pPr>
        <w:spacing w:after="80"/>
      </w:pPr>
      <w:r>
        <w:t>Gemma on Vertex AI: https://cloud.google.com/vertex-ai/generative-ai/docs/open-models/use-gemma</w:t>
      </w:r>
    </w:p>
    <w:p>
      <w:pPr>
        <w:pStyle w:val="Heading1"/>
      </w:pPr>
      <w:r>
        <w:t>8. Recommended technology stack</w:t>
      </w:r>
    </w:p>
    <w:tbl>
      <w:tblPr>
        <w:tblStyle w:val="TableGrid"/>
        <w:tblW w:type="auto" w:w="0"/>
        <w:tblLook w:firstColumn="1" w:firstRow="1" w:lastColumn="0" w:lastRow="0" w:noHBand="0" w:noVBand="1" w:val="04A0"/>
      </w:tblPr>
      <w:tblGrid>
        <w:gridCol w:w="3389"/>
        <w:gridCol w:w="3389"/>
        <w:gridCol w:w="3389"/>
      </w:tblGrid>
      <w:tr>
        <w:tc>
          <w:tcPr>
            <w:tcW w:type="dxa" w:w="3389"/>
            <w:shd w:fill="DCEAF4"/>
          </w:tcPr>
          <w:p>
            <w:r>
              <w:rPr>
                <w:b/>
                <w:sz w:val="16"/>
              </w:rPr>
              <w:t>Layer</w:t>
            </w:r>
          </w:p>
        </w:tc>
        <w:tc>
          <w:tcPr>
            <w:tcW w:type="dxa" w:w="3389"/>
            <w:shd w:fill="DCEAF4"/>
          </w:tcPr>
          <w:p>
            <w:r>
              <w:rPr>
                <w:b/>
                <w:sz w:val="16"/>
              </w:rPr>
              <w:t>Recommended choice</w:t>
            </w:r>
          </w:p>
        </w:tc>
        <w:tc>
          <w:tcPr>
            <w:tcW w:type="dxa" w:w="3389"/>
            <w:shd w:fill="DCEAF4"/>
          </w:tcPr>
          <w:p>
            <w:r>
              <w:rPr>
                <w:b/>
                <w:sz w:val="16"/>
              </w:rPr>
              <w:t>Reason</w:t>
            </w:r>
          </w:p>
        </w:tc>
      </w:tr>
      <w:tr>
        <w:tc>
          <w:tcPr>
            <w:tcW w:type="dxa" w:w="3389"/>
          </w:tcPr>
          <w:p>
            <w:pPr>
              <w:spacing w:after="0"/>
            </w:pPr>
            <w:r>
              <w:rPr>
                <w:sz w:val="16"/>
              </w:rPr>
              <w:t>UI</w:t>
            </w:r>
          </w:p>
        </w:tc>
        <w:tc>
          <w:tcPr>
            <w:tcW w:type="dxa" w:w="3389"/>
          </w:tcPr>
          <w:p>
            <w:pPr>
              <w:spacing w:after="0"/>
            </w:pPr>
            <w:r>
              <w:rPr>
                <w:sz w:val="16"/>
              </w:rPr>
              <w:t>HTML, CSS and browser JavaScript; keep current Lovable-generated UI if it can be exported and audited</w:t>
            </w:r>
          </w:p>
        </w:tc>
        <w:tc>
          <w:tcPr>
            <w:tcW w:type="dxa" w:w="3389"/>
          </w:tcPr>
          <w:p>
            <w:pPr>
              <w:spacing w:after="0"/>
            </w:pPr>
            <w:r>
              <w:rPr>
                <w:sz w:val="16"/>
              </w:rPr>
              <w:t>Simple responsive web interface; avoid making the UI dependent on a hosted vendor</w:t>
            </w:r>
          </w:p>
        </w:tc>
      </w:tr>
      <w:tr>
        <w:tc>
          <w:tcPr>
            <w:tcW w:type="dxa" w:w="3389"/>
          </w:tcPr>
          <w:p>
            <w:pPr>
              <w:spacing w:after="0"/>
            </w:pPr>
            <w:r>
              <w:rPr>
                <w:sz w:val="16"/>
              </w:rPr>
              <w:t>Core application</w:t>
            </w:r>
          </w:p>
        </w:tc>
        <w:tc>
          <w:tcPr>
            <w:tcW w:type="dxa" w:w="3389"/>
          </w:tcPr>
          <w:p>
            <w:pPr>
              <w:spacing w:after="0"/>
            </w:pPr>
            <w:r>
              <w:rPr>
                <w:sz w:val="16"/>
              </w:rPr>
              <w:t>Node.js local server with built-in HTTP APIs</w:t>
            </w:r>
          </w:p>
        </w:tc>
        <w:tc>
          <w:tcPr>
            <w:tcW w:type="dxa" w:w="3389"/>
          </w:tcPr>
          <w:p>
            <w:pPr>
              <w:spacing w:after="0"/>
            </w:pPr>
            <w:r>
              <w:rPr>
                <w:sz w:val="16"/>
              </w:rPr>
              <w:t>Serves the UI, dataset, deterministic analysis and local records</w:t>
            </w:r>
          </w:p>
        </w:tc>
      </w:tr>
      <w:tr>
        <w:tc>
          <w:tcPr>
            <w:tcW w:type="dxa" w:w="3389"/>
          </w:tcPr>
          <w:p>
            <w:pPr>
              <w:spacing w:after="0"/>
            </w:pPr>
            <w:r>
              <w:rPr>
                <w:sz w:val="16"/>
              </w:rPr>
              <w:t>Local data</w:t>
            </w:r>
          </w:p>
        </w:tc>
        <w:tc>
          <w:tcPr>
            <w:tcW w:type="dxa" w:w="3389"/>
          </w:tcPr>
          <w:p>
            <w:pPr>
              <w:spacing w:after="0"/>
            </w:pPr>
            <w:r>
              <w:rPr>
                <w:sz w:val="16"/>
              </w:rPr>
              <w:t>JSON/CSV files plus browser/local server storage</w:t>
            </w:r>
          </w:p>
        </w:tc>
        <w:tc>
          <w:tcPr>
            <w:tcW w:type="dxa" w:w="3389"/>
          </w:tcPr>
          <w:p>
            <w:pPr>
              <w:spacing w:after="0"/>
            </w:pPr>
            <w:r>
              <w:rPr>
                <w:sz w:val="16"/>
              </w:rPr>
              <w:t>No cloud database required for MVP; easy to inspect and export</w:t>
            </w:r>
          </w:p>
        </w:tc>
      </w:tr>
      <w:tr>
        <w:tc>
          <w:tcPr>
            <w:tcW w:type="dxa" w:w="3389"/>
          </w:tcPr>
          <w:p>
            <w:pPr>
              <w:spacing w:after="0"/>
            </w:pPr>
            <w:r>
              <w:rPr>
                <w:sz w:val="16"/>
              </w:rPr>
              <w:t>Analytics</w:t>
            </w:r>
          </w:p>
        </w:tc>
        <w:tc>
          <w:tcPr>
            <w:tcW w:type="dxa" w:w="3389"/>
          </w:tcPr>
          <w:p>
            <w:pPr>
              <w:spacing w:after="0"/>
            </w:pPr>
            <w:r>
              <w:rPr>
                <w:sz w:val="16"/>
              </w:rPr>
              <w:t>Deterministic JavaScript functions</w:t>
            </w:r>
          </w:p>
        </w:tc>
        <w:tc>
          <w:tcPr>
            <w:tcW w:type="dxa" w:w="3389"/>
          </w:tcPr>
          <w:p>
            <w:pPr>
              <w:spacing w:after="0"/>
            </w:pPr>
            <w:r>
              <w:rPr>
                <w:sz w:val="16"/>
              </w:rPr>
              <w:t>Thresholds, arithmetic and verification remain reproducible</w:t>
            </w:r>
          </w:p>
        </w:tc>
      </w:tr>
      <w:tr>
        <w:tc>
          <w:tcPr>
            <w:tcW w:type="dxa" w:w="3389"/>
          </w:tcPr>
          <w:p>
            <w:pPr>
              <w:spacing w:after="0"/>
            </w:pPr>
            <w:r>
              <w:rPr>
                <w:sz w:val="16"/>
              </w:rPr>
              <w:t>AI adapter</w:t>
            </w:r>
          </w:p>
        </w:tc>
        <w:tc>
          <w:tcPr>
            <w:tcW w:type="dxa" w:w="3389"/>
          </w:tcPr>
          <w:p>
            <w:pPr>
              <w:spacing w:after="0"/>
            </w:pPr>
            <w:r>
              <w:rPr>
                <w:sz w:val="16"/>
              </w:rPr>
              <w:t>Provider interface: local Gemma / Vertex AI Gemini / disabled</w:t>
            </w:r>
          </w:p>
        </w:tc>
        <w:tc>
          <w:tcPr>
            <w:tcW w:type="dxa" w:w="3389"/>
          </w:tcPr>
          <w:p>
            <w:pPr>
              <w:spacing w:after="0"/>
            </w:pPr>
            <w:r>
              <w:rPr>
                <w:sz w:val="16"/>
              </w:rPr>
              <w:t>Switch providers without rewriting the application</w:t>
            </w:r>
          </w:p>
        </w:tc>
      </w:tr>
      <w:tr>
        <w:tc>
          <w:tcPr>
            <w:tcW w:type="dxa" w:w="3389"/>
          </w:tcPr>
          <w:p>
            <w:pPr>
              <w:spacing w:after="0"/>
            </w:pPr>
            <w:r>
              <w:rPr>
                <w:sz w:val="16"/>
              </w:rPr>
              <w:t>Local Gemma</w:t>
            </w:r>
          </w:p>
        </w:tc>
        <w:tc>
          <w:tcPr>
            <w:tcW w:type="dxa" w:w="3389"/>
          </w:tcPr>
          <w:p>
            <w:pPr>
              <w:spacing w:after="0"/>
            </w:pPr>
            <w:r>
              <w:rPr>
                <w:sz w:val="16"/>
              </w:rPr>
              <w:t>Google-supported Gemma model with a compatible local or browser inference runtime; validate the exact model/runtime pair</w:t>
            </w:r>
          </w:p>
        </w:tc>
        <w:tc>
          <w:tcPr>
            <w:tcW w:type="dxa" w:w="3389"/>
          </w:tcPr>
          <w:p>
            <w:pPr>
              <w:spacing w:after="0"/>
            </w:pPr>
            <w:r>
              <w:rPr>
                <w:sz w:val="16"/>
              </w:rPr>
              <w:t>Local AI where hardware and model support permit</w:t>
            </w:r>
          </w:p>
        </w:tc>
      </w:tr>
      <w:tr>
        <w:tc>
          <w:tcPr>
            <w:tcW w:type="dxa" w:w="3389"/>
          </w:tcPr>
          <w:p>
            <w:pPr>
              <w:spacing w:after="0"/>
            </w:pPr>
            <w:r>
              <w:rPr>
                <w:sz w:val="16"/>
              </w:rPr>
              <w:t>Cloud AI</w:t>
            </w:r>
          </w:p>
        </w:tc>
        <w:tc>
          <w:tcPr>
            <w:tcW w:type="dxa" w:w="3389"/>
          </w:tcPr>
          <w:p>
            <w:pPr>
              <w:spacing w:after="0"/>
            </w:pPr>
            <w:r>
              <w:rPr>
                <w:sz w:val="16"/>
              </w:rPr>
              <w:t>Gemini through Vertex AI</w:t>
            </w:r>
          </w:p>
        </w:tc>
        <w:tc>
          <w:tcPr>
            <w:tcW w:type="dxa" w:w="3389"/>
          </w:tcPr>
          <w:p>
            <w:pPr>
              <w:spacing w:after="0"/>
            </w:pPr>
            <w:r>
              <w:rPr>
                <w:sz w:val="16"/>
              </w:rPr>
              <w:t>Managed cloud investigation option</w:t>
            </w:r>
          </w:p>
        </w:tc>
      </w:tr>
      <w:tr>
        <w:tc>
          <w:tcPr>
            <w:tcW w:type="dxa" w:w="3389"/>
          </w:tcPr>
          <w:p>
            <w:pPr>
              <w:spacing w:after="0"/>
            </w:pPr>
            <w:r>
              <w:rPr>
                <w:sz w:val="16"/>
              </w:rPr>
              <w:t>Cloud hosting</w:t>
            </w:r>
          </w:p>
        </w:tc>
        <w:tc>
          <w:tcPr>
            <w:tcW w:type="dxa" w:w="3389"/>
          </w:tcPr>
          <w:p>
            <w:pPr>
              <w:spacing w:after="0"/>
            </w:pPr>
            <w:r>
              <w:rPr>
                <w:sz w:val="16"/>
              </w:rPr>
              <w:t>Google Cloud Run</w:t>
            </w:r>
          </w:p>
        </w:tc>
        <w:tc>
          <w:tcPr>
            <w:tcW w:type="dxa" w:w="3389"/>
          </w:tcPr>
          <w:p>
            <w:pPr>
              <w:spacing w:after="0"/>
            </w:pPr>
            <w:r>
              <w:rPr>
                <w:sz w:val="16"/>
              </w:rPr>
              <w:t>Required cloud deployment option for the hackathon</w:t>
            </w:r>
          </w:p>
        </w:tc>
      </w:tr>
      <w:tr>
        <w:tc>
          <w:tcPr>
            <w:tcW w:type="dxa" w:w="3389"/>
          </w:tcPr>
          <w:p>
            <w:pPr>
              <w:spacing w:after="0"/>
            </w:pPr>
            <w:r>
              <w:rPr>
                <w:sz w:val="16"/>
              </w:rPr>
              <w:t>Logs</w:t>
            </w:r>
          </w:p>
        </w:tc>
        <w:tc>
          <w:tcPr>
            <w:tcW w:type="dxa" w:w="3389"/>
          </w:tcPr>
          <w:p>
            <w:pPr>
              <w:spacing w:after="0"/>
            </w:pPr>
            <w:r>
              <w:rPr>
                <w:sz w:val="16"/>
              </w:rPr>
              <w:t>Console/server logs locally; Cloud Logging when deployed to Google Cloud</w:t>
            </w:r>
          </w:p>
        </w:tc>
        <w:tc>
          <w:tcPr>
            <w:tcW w:type="dxa" w:w="3389"/>
          </w:tcPr>
          <w:p>
            <w:pPr>
              <w:spacing w:after="0"/>
            </w:pPr>
            <w:r>
              <w:rPr>
                <w:sz w:val="16"/>
              </w:rPr>
              <w:t>Debugging without requiring a third-party observability service</w:t>
            </w:r>
          </w:p>
        </w:tc>
      </w:tr>
      <w:tr>
        <w:tc>
          <w:tcPr>
            <w:tcW w:type="dxa" w:w="3389"/>
          </w:tcPr>
          <w:p>
            <w:pPr>
              <w:spacing w:after="0"/>
            </w:pPr>
            <w:r>
              <w:rPr>
                <w:sz w:val="16"/>
              </w:rPr>
              <w:t>Offline support</w:t>
            </w:r>
          </w:p>
        </w:tc>
        <w:tc>
          <w:tcPr>
            <w:tcW w:type="dxa" w:w="3389"/>
          </w:tcPr>
          <w:p>
            <w:pPr>
              <w:spacing w:after="0"/>
            </w:pPr>
            <w:r>
              <w:rPr>
                <w:sz w:val="16"/>
              </w:rPr>
              <w:t>Serve on localhost or LAN; cache static assets; test offline mode explicitly</w:t>
            </w:r>
          </w:p>
        </w:tc>
        <w:tc>
          <w:tcPr>
            <w:tcW w:type="dxa" w:w="3389"/>
          </w:tcPr>
          <w:p>
            <w:pPr>
              <w:spacing w:after="0"/>
            </w:pPr>
            <w:r>
              <w:rPr>
                <w:sz w:val="16"/>
              </w:rPr>
              <w:t>Local deployment is more dependable than assuming a hosted website remains available offline</w:t>
            </w:r>
          </w:p>
        </w:tc>
      </w:tr>
    </w:tbl>
    <w:p>
      <w:pPr>
        <w:spacing w:after="0"/>
      </w:pPr>
    </w:p>
    <w:p>
      <w:pPr>
        <w:spacing w:after="80"/>
      </w:pPr>
      <w:r>
        <w:t>Dependency policy: prefer platform-native APIs and a small, auditable dependency set. If a local inference runtime requires a library, use a documented and licence-compatible one; do not describe every runtime as a Google product. The Google model can be Gemma even if a compatible open-source serving runtime is used.</w:t>
      </w:r>
    </w:p>
    <w:p>
      <w:pPr>
        <w:pStyle w:val="Heading1"/>
      </w:pPr>
      <w:r>
        <w:t>9. Synthetic dataset and files</w:t>
      </w:r>
    </w:p>
    <w:p>
      <w:pPr>
        <w:spacing w:after="80"/>
      </w:pPr>
      <w:r>
        <w:t>Use one seeded generator to create about 2,400 samples across eight simulated hours at 12-second intervals. Include healthy operation, a gradual drift incident, a tool-change event and a post-action period. All synthetic values must be labelled as such.</w:t>
      </w:r>
    </w:p>
    <w:tbl>
      <w:tblPr>
        <w:tblStyle w:val="TableGrid"/>
        <w:tblW w:type="auto" w:w="0"/>
        <w:tblLook w:firstColumn="1" w:firstRow="1" w:lastColumn="0" w:lastRow="0" w:noHBand="0" w:noVBand="1" w:val="04A0"/>
      </w:tblPr>
      <w:tblGrid>
        <w:gridCol w:w="3389"/>
        <w:gridCol w:w="3389"/>
        <w:gridCol w:w="3389"/>
      </w:tblGrid>
      <w:tr>
        <w:tc>
          <w:tcPr>
            <w:tcW w:type="dxa" w:w="3389"/>
            <w:shd w:fill="DCEAF4"/>
          </w:tcPr>
          <w:p>
            <w:r>
              <w:rPr>
                <w:b/>
                <w:sz w:val="16"/>
              </w:rPr>
              <w:t>Field</w:t>
            </w:r>
          </w:p>
        </w:tc>
        <w:tc>
          <w:tcPr>
            <w:tcW w:type="dxa" w:w="3389"/>
            <w:shd w:fill="DCEAF4"/>
          </w:tcPr>
          <w:p>
            <w:r>
              <w:rPr>
                <w:b/>
                <w:sz w:val="16"/>
              </w:rPr>
              <w:t>Meaning</w:t>
            </w:r>
          </w:p>
        </w:tc>
        <w:tc>
          <w:tcPr>
            <w:tcW w:type="dxa" w:w="3389"/>
            <w:shd w:fill="DCEAF4"/>
          </w:tcPr>
          <w:p>
            <w:r>
              <w:rPr>
                <w:b/>
                <w:sz w:val="16"/>
              </w:rPr>
              <w:t>Rules</w:t>
            </w:r>
          </w:p>
        </w:tc>
      </w:tr>
      <w:tr>
        <w:tc>
          <w:tcPr>
            <w:tcW w:type="dxa" w:w="3389"/>
          </w:tcPr>
          <w:p>
            <w:pPr>
              <w:spacing w:after="0"/>
            </w:pPr>
            <w:r>
              <w:rPr>
                <w:sz w:val="16"/>
              </w:rPr>
              <w:t>timestamp</w:t>
            </w:r>
          </w:p>
        </w:tc>
        <w:tc>
          <w:tcPr>
            <w:tcW w:type="dxa" w:w="3389"/>
          </w:tcPr>
          <w:p>
            <w:pPr>
              <w:spacing w:after="0"/>
            </w:pPr>
            <w:r>
              <w:rPr>
                <w:sz w:val="16"/>
              </w:rPr>
              <w:t>When sample was recorded</w:t>
            </w:r>
          </w:p>
        </w:tc>
        <w:tc>
          <w:tcPr>
            <w:tcW w:type="dxa" w:w="3389"/>
          </w:tcPr>
          <w:p>
            <w:pPr>
              <w:spacing w:after="0"/>
            </w:pPr>
            <w:r>
              <w:rPr>
                <w:sz w:val="16"/>
              </w:rPr>
              <w:t>ISO timestamp; fixed interval</w:t>
            </w:r>
          </w:p>
        </w:tc>
      </w:tr>
      <w:tr>
        <w:tc>
          <w:tcPr>
            <w:tcW w:type="dxa" w:w="3389"/>
          </w:tcPr>
          <w:p>
            <w:pPr>
              <w:spacing w:after="0"/>
            </w:pPr>
            <w:r>
              <w:rPr>
                <w:sz w:val="16"/>
              </w:rPr>
              <w:t>machine_id</w:t>
            </w:r>
          </w:p>
        </w:tc>
        <w:tc>
          <w:tcPr>
            <w:tcW w:type="dxa" w:w="3389"/>
          </w:tcPr>
          <w:p>
            <w:pPr>
              <w:spacing w:after="0"/>
            </w:pPr>
            <w:r>
              <w:rPr>
                <w:sz w:val="16"/>
              </w:rPr>
              <w:t>Machine identifier</w:t>
            </w:r>
          </w:p>
        </w:tc>
        <w:tc>
          <w:tcPr>
            <w:tcW w:type="dxa" w:w="3389"/>
          </w:tcPr>
          <w:p>
            <w:pPr>
              <w:spacing w:after="0"/>
            </w:pPr>
            <w:r>
              <w:rPr>
                <w:sz w:val="16"/>
              </w:rPr>
              <w:t>CNC-03</w:t>
            </w:r>
          </w:p>
        </w:tc>
      </w:tr>
      <w:tr>
        <w:tc>
          <w:tcPr>
            <w:tcW w:type="dxa" w:w="3389"/>
          </w:tcPr>
          <w:p>
            <w:pPr>
              <w:spacing w:after="0"/>
            </w:pPr>
            <w:r>
              <w:rPr>
                <w:sz w:val="16"/>
              </w:rPr>
              <w:t>scenario_id</w:t>
            </w:r>
          </w:p>
        </w:tc>
        <w:tc>
          <w:tcPr>
            <w:tcW w:type="dxa" w:w="3389"/>
          </w:tcPr>
          <w:p>
            <w:pPr>
              <w:spacing w:after="0"/>
            </w:pPr>
            <w:r>
              <w:rPr>
                <w:sz w:val="16"/>
              </w:rPr>
              <w:t>Scenario label for evaluation</w:t>
            </w:r>
          </w:p>
        </w:tc>
        <w:tc>
          <w:tcPr>
            <w:tcW w:type="dxa" w:w="3389"/>
          </w:tcPr>
          <w:p>
            <w:pPr>
              <w:spacing w:after="0"/>
            </w:pPr>
            <w:r>
              <w:rPr>
                <w:sz w:val="16"/>
              </w:rPr>
              <w:t>Keep out of AI evidence</w:t>
            </w:r>
          </w:p>
        </w:tc>
      </w:tr>
      <w:tr>
        <w:tc>
          <w:tcPr>
            <w:tcW w:type="dxa" w:w="3389"/>
          </w:tcPr>
          <w:p>
            <w:pPr>
              <w:spacing w:after="0"/>
            </w:pPr>
            <w:r>
              <w:rPr>
                <w:sz w:val="16"/>
              </w:rPr>
              <w:t>active_power_kw</w:t>
            </w:r>
          </w:p>
        </w:tc>
        <w:tc>
          <w:tcPr>
            <w:tcW w:type="dxa" w:w="3389"/>
          </w:tcPr>
          <w:p>
            <w:pPr>
              <w:spacing w:after="0"/>
            </w:pPr>
            <w:r>
              <w:rPr>
                <w:sz w:val="16"/>
              </w:rPr>
              <w:t>Power signal</w:t>
            </w:r>
          </w:p>
        </w:tc>
        <w:tc>
          <w:tcPr>
            <w:tcW w:type="dxa" w:w="3389"/>
          </w:tcPr>
          <w:p>
            <w:pPr>
              <w:spacing w:after="0"/>
            </w:pPr>
            <w:r>
              <w:rPr>
                <w:sz w:val="16"/>
              </w:rPr>
              <w:t>Primary power input</w:t>
            </w:r>
          </w:p>
        </w:tc>
      </w:tr>
      <w:tr>
        <w:tc>
          <w:tcPr>
            <w:tcW w:type="dxa" w:w="3389"/>
          </w:tcPr>
          <w:p>
            <w:pPr>
              <w:spacing w:after="0"/>
            </w:pPr>
            <w:r>
              <w:rPr>
                <w:sz w:val="16"/>
              </w:rPr>
              <w:t>energy_kwh_delta</w:t>
            </w:r>
          </w:p>
        </w:tc>
        <w:tc>
          <w:tcPr>
            <w:tcW w:type="dxa" w:w="3389"/>
          </w:tcPr>
          <w:p>
            <w:pPr>
              <w:spacing w:after="0"/>
            </w:pPr>
            <w:r>
              <w:rPr>
                <w:sz w:val="16"/>
              </w:rPr>
              <w:t>Energy during interval</w:t>
            </w:r>
          </w:p>
        </w:tc>
        <w:tc>
          <w:tcPr>
            <w:tcW w:type="dxa" w:w="3389"/>
          </w:tcPr>
          <w:p>
            <w:pPr>
              <w:spacing w:after="0"/>
            </w:pPr>
            <w:r>
              <w:rPr>
                <w:sz w:val="16"/>
              </w:rPr>
              <w:t>kW × interval hours</w:t>
            </w:r>
          </w:p>
        </w:tc>
      </w:tr>
      <w:tr>
        <w:tc>
          <w:tcPr>
            <w:tcW w:type="dxa" w:w="3389"/>
          </w:tcPr>
          <w:p>
            <w:pPr>
              <w:spacing w:after="0"/>
            </w:pPr>
            <w:r>
              <w:rPr>
                <w:sz w:val="16"/>
              </w:rPr>
              <w:t>temperature_c</w:t>
            </w:r>
          </w:p>
        </w:tc>
        <w:tc>
          <w:tcPr>
            <w:tcW w:type="dxa" w:w="3389"/>
          </w:tcPr>
          <w:p>
            <w:pPr>
              <w:spacing w:after="0"/>
            </w:pPr>
            <w:r>
              <w:rPr>
                <w:sz w:val="16"/>
              </w:rPr>
              <w:t>Machine temperature</w:t>
            </w:r>
          </w:p>
        </w:tc>
        <w:tc>
          <w:tcPr>
            <w:tcW w:type="dxa" w:w="3389"/>
          </w:tcPr>
          <w:p>
            <w:pPr>
              <w:spacing w:after="0"/>
            </w:pPr>
            <w:r>
              <w:rPr>
                <w:sz w:val="16"/>
              </w:rPr>
              <w:t>Synthetic sensor</w:t>
            </w:r>
          </w:p>
        </w:tc>
      </w:tr>
      <w:tr>
        <w:tc>
          <w:tcPr>
            <w:tcW w:type="dxa" w:w="3389"/>
          </w:tcPr>
          <w:p>
            <w:pPr>
              <w:spacing w:after="0"/>
            </w:pPr>
            <w:r>
              <w:rPr>
                <w:sz w:val="16"/>
              </w:rPr>
              <w:t>vibration_mm_s</w:t>
            </w:r>
          </w:p>
        </w:tc>
        <w:tc>
          <w:tcPr>
            <w:tcW w:type="dxa" w:w="3389"/>
          </w:tcPr>
          <w:p>
            <w:pPr>
              <w:spacing w:after="0"/>
            </w:pPr>
            <w:r>
              <w:rPr>
                <w:sz w:val="16"/>
              </w:rPr>
              <w:t>Vibration RMS</w:t>
            </w:r>
          </w:p>
        </w:tc>
        <w:tc>
          <w:tcPr>
            <w:tcW w:type="dxa" w:w="3389"/>
          </w:tcPr>
          <w:p>
            <w:pPr>
              <w:spacing w:after="0"/>
            </w:pPr>
            <w:r>
              <w:rPr>
                <w:sz w:val="16"/>
              </w:rPr>
              <w:t>Unit is mm/s</w:t>
            </w:r>
          </w:p>
        </w:tc>
      </w:tr>
      <w:tr>
        <w:tc>
          <w:tcPr>
            <w:tcW w:type="dxa" w:w="3389"/>
          </w:tcPr>
          <w:p>
            <w:pPr>
              <w:spacing w:after="0"/>
            </w:pPr>
            <w:r>
              <w:rPr>
                <w:sz w:val="16"/>
              </w:rPr>
              <w:t>spindle_current_a</w:t>
            </w:r>
          </w:p>
        </w:tc>
        <w:tc>
          <w:tcPr>
            <w:tcW w:type="dxa" w:w="3389"/>
          </w:tcPr>
          <w:p>
            <w:pPr>
              <w:spacing w:after="0"/>
            </w:pPr>
            <w:r>
              <w:rPr>
                <w:sz w:val="16"/>
              </w:rPr>
              <w:t>Current reading</w:t>
            </w:r>
          </w:p>
        </w:tc>
        <w:tc>
          <w:tcPr>
            <w:tcW w:type="dxa" w:w="3389"/>
          </w:tcPr>
          <w:p>
            <w:pPr>
              <w:spacing w:after="0"/>
            </w:pPr>
            <w:r>
              <w:rPr>
                <w:sz w:val="16"/>
              </w:rPr>
              <w:t>Supporting signal, not exact power by itself</w:t>
            </w:r>
          </w:p>
        </w:tc>
      </w:tr>
      <w:tr>
        <w:tc>
          <w:tcPr>
            <w:tcW w:type="dxa" w:w="3389"/>
          </w:tcPr>
          <w:p>
            <w:pPr>
              <w:spacing w:after="0"/>
            </w:pPr>
            <w:r>
              <w:rPr>
                <w:sz w:val="16"/>
              </w:rPr>
              <w:t>cycle_time_s</w:t>
            </w:r>
          </w:p>
        </w:tc>
        <w:tc>
          <w:tcPr>
            <w:tcW w:type="dxa" w:w="3389"/>
          </w:tcPr>
          <w:p>
            <w:pPr>
              <w:spacing w:after="0"/>
            </w:pPr>
            <w:r>
              <w:rPr>
                <w:sz w:val="16"/>
              </w:rPr>
              <w:t>Cycle duration</w:t>
            </w:r>
          </w:p>
        </w:tc>
        <w:tc>
          <w:tcPr>
            <w:tcW w:type="dxa" w:w="3389"/>
          </w:tcPr>
          <w:p>
            <w:pPr>
              <w:spacing w:after="0"/>
            </w:pPr>
            <w:r>
              <w:rPr>
                <w:sz w:val="16"/>
              </w:rPr>
              <w:t>May rise in incident</w:t>
            </w:r>
          </w:p>
        </w:tc>
      </w:tr>
      <w:tr>
        <w:tc>
          <w:tcPr>
            <w:tcW w:type="dxa" w:w="3389"/>
          </w:tcPr>
          <w:p>
            <w:pPr>
              <w:spacing w:after="0"/>
            </w:pPr>
            <w:r>
              <w:rPr>
                <w:sz w:val="16"/>
              </w:rPr>
              <w:t>tool_id / material_batch_id</w:t>
            </w:r>
          </w:p>
        </w:tc>
        <w:tc>
          <w:tcPr>
            <w:tcW w:type="dxa" w:w="3389"/>
          </w:tcPr>
          <w:p>
            <w:pPr>
              <w:spacing w:after="0"/>
            </w:pPr>
            <w:r>
              <w:rPr>
                <w:sz w:val="16"/>
              </w:rPr>
              <w:t>Process context</w:t>
            </w:r>
          </w:p>
        </w:tc>
        <w:tc>
          <w:tcPr>
            <w:tcW w:type="dxa" w:w="3389"/>
          </w:tcPr>
          <w:p>
            <w:pPr>
              <w:spacing w:after="0"/>
            </w:pPr>
            <w:r>
              <w:rPr>
                <w:sz w:val="16"/>
              </w:rPr>
              <w:t>Use to avoid comparing dissimilar workloads</w:t>
            </w:r>
          </w:p>
        </w:tc>
      </w:tr>
      <w:tr>
        <w:tc>
          <w:tcPr>
            <w:tcW w:type="dxa" w:w="3389"/>
          </w:tcPr>
          <w:p>
            <w:pPr>
              <w:spacing w:after="0"/>
            </w:pPr>
            <w:r>
              <w:rPr>
                <w:sz w:val="16"/>
              </w:rPr>
              <w:t>measured_dimension_mm</w:t>
            </w:r>
          </w:p>
        </w:tc>
        <w:tc>
          <w:tcPr>
            <w:tcW w:type="dxa" w:w="3389"/>
          </w:tcPr>
          <w:p>
            <w:pPr>
              <w:spacing w:after="0"/>
            </w:pPr>
            <w:r>
              <w:rPr>
                <w:sz w:val="16"/>
              </w:rPr>
              <w:t>Measured finished-part size</w:t>
            </w:r>
          </w:p>
        </w:tc>
        <w:tc>
          <w:tcPr>
            <w:tcW w:type="dxa" w:w="3389"/>
          </w:tcPr>
          <w:p>
            <w:pPr>
              <w:spacing w:after="0"/>
            </w:pPr>
            <w:r>
              <w:rPr>
                <w:sz w:val="16"/>
              </w:rPr>
              <w:t>Compare with tolerance bounds</w:t>
            </w:r>
          </w:p>
        </w:tc>
      </w:tr>
      <w:tr>
        <w:tc>
          <w:tcPr>
            <w:tcW w:type="dxa" w:w="3389"/>
          </w:tcPr>
          <w:p>
            <w:pPr>
              <w:spacing w:after="0"/>
            </w:pPr>
            <w:r>
              <w:rPr>
                <w:sz w:val="16"/>
              </w:rPr>
              <w:t>spec_lower_mm / spec_upper_mm</w:t>
            </w:r>
          </w:p>
        </w:tc>
        <w:tc>
          <w:tcPr>
            <w:tcW w:type="dxa" w:w="3389"/>
          </w:tcPr>
          <w:p>
            <w:pPr>
              <w:spacing w:after="0"/>
            </w:pPr>
            <w:r>
              <w:rPr>
                <w:sz w:val="16"/>
              </w:rPr>
              <w:t>Permitted dimension range</w:t>
            </w:r>
          </w:p>
        </w:tc>
        <w:tc>
          <w:tcPr>
            <w:tcW w:type="dxa" w:w="3389"/>
          </w:tcPr>
          <w:p>
            <w:pPr>
              <w:spacing w:after="0"/>
            </w:pPr>
            <w:r>
              <w:rPr>
                <w:sz w:val="16"/>
              </w:rPr>
              <w:t>Visible on chart</w:t>
            </w:r>
          </w:p>
        </w:tc>
      </w:tr>
      <w:tr>
        <w:tc>
          <w:tcPr>
            <w:tcW w:type="dxa" w:w="3389"/>
          </w:tcPr>
          <w:p>
            <w:pPr>
              <w:spacing w:after="0"/>
            </w:pPr>
            <w:r>
              <w:rPr>
                <w:sz w:val="16"/>
              </w:rPr>
              <w:t>event_type / event_id</w:t>
            </w:r>
          </w:p>
        </w:tc>
        <w:tc>
          <w:tcPr>
            <w:tcW w:type="dxa" w:w="3389"/>
          </w:tcPr>
          <w:p>
            <w:pPr>
              <w:spacing w:after="0"/>
            </w:pPr>
            <w:r>
              <w:rPr>
                <w:sz w:val="16"/>
              </w:rPr>
              <w:t>Maintenance/setup event</w:t>
            </w:r>
          </w:p>
        </w:tc>
        <w:tc>
          <w:tcPr>
            <w:tcW w:type="dxa" w:w="3389"/>
          </w:tcPr>
          <w:p>
            <w:pPr>
              <w:spacing w:after="0"/>
            </w:pPr>
            <w:r>
              <w:rPr>
                <w:sz w:val="16"/>
              </w:rPr>
              <w:t>Use event IDs in evidence</w:t>
            </w:r>
          </w:p>
        </w:tc>
      </w:tr>
      <w:tr>
        <w:tc>
          <w:tcPr>
            <w:tcW w:type="dxa" w:w="3389"/>
          </w:tcPr>
          <w:p>
            <w:pPr>
              <w:spacing w:after="0"/>
            </w:pPr>
            <w:r>
              <w:rPr>
                <w:sz w:val="16"/>
              </w:rPr>
              <w:t>defect_label</w:t>
            </w:r>
          </w:p>
        </w:tc>
        <w:tc>
          <w:tcPr>
            <w:tcW w:type="dxa" w:w="3389"/>
          </w:tcPr>
          <w:p>
            <w:pPr>
              <w:spacing w:after="0"/>
            </w:pPr>
            <w:r>
              <w:rPr>
                <w:sz w:val="16"/>
              </w:rPr>
              <w:t>Known outcome for evaluation</w:t>
            </w:r>
          </w:p>
        </w:tc>
        <w:tc>
          <w:tcPr>
            <w:tcW w:type="dxa" w:w="3389"/>
          </w:tcPr>
          <w:p>
            <w:pPr>
              <w:spacing w:after="0"/>
            </w:pPr>
            <w:r>
              <w:rPr>
                <w:sz w:val="16"/>
              </w:rPr>
              <w:t>Never pass to AI</w:t>
            </w:r>
          </w:p>
        </w:tc>
      </w:tr>
      <w:tr>
        <w:tc>
          <w:tcPr>
            <w:tcW w:type="dxa" w:w="3389"/>
          </w:tcPr>
          <w:p>
            <w:pPr>
              <w:spacing w:after="0"/>
            </w:pPr>
            <w:r>
              <w:rPr>
                <w:sz w:val="16"/>
              </w:rPr>
              <w:t>evidence_id</w:t>
            </w:r>
          </w:p>
        </w:tc>
        <w:tc>
          <w:tcPr>
            <w:tcW w:type="dxa" w:w="3389"/>
          </w:tcPr>
          <w:p>
            <w:pPr>
              <w:spacing w:after="0"/>
            </w:pPr>
            <w:r>
              <w:rPr>
                <w:sz w:val="16"/>
              </w:rPr>
              <w:t>Stable identifier for a derived fact</w:t>
            </w:r>
          </w:p>
        </w:tc>
        <w:tc>
          <w:tcPr>
            <w:tcW w:type="dxa" w:w="3389"/>
          </w:tcPr>
          <w:p>
            <w:pPr>
              <w:spacing w:after="0"/>
            </w:pPr>
            <w:r>
              <w:rPr>
                <w:sz w:val="16"/>
              </w:rPr>
              <w:t>Used for traceability and output validation</w:t>
            </w:r>
          </w:p>
        </w:tc>
      </w:tr>
    </w:tbl>
    <w:p>
      <w:pPr>
        <w:spacing w:after="0"/>
      </w:pPr>
    </w:p>
    <w:p>
      <w:pPr>
        <w:spacing w:after="80"/>
      </w:pPr>
      <w:r>
        <w:t>Create separate files for production readings, event log, synthetic SOPs and hidden ground truth. SOPs: SOP-101 Process Drift Response; SOP-102 Tool Inspection; SOP-103 Post-Adjustment Verification. Do not expose hidden scenario labels or ground truth to the AI.</w:t>
      </w:r>
    </w:p>
    <w:p>
      <w:pPr>
        <w:pStyle w:val="Heading1"/>
      </w:pPr>
      <w:r>
        <w:t>10. Deterministic detection and evidence</w:t>
      </w:r>
    </w:p>
    <w:p>
      <w:pPr>
        <w:pStyle w:val="ListNumber"/>
        <w:spacing w:after="40"/>
      </w:pPr>
      <w:r>
        <w:t>Validate missing values, invalid units, timestamps and out-of-range readings. Never silently replace missing values with zero.</w:t>
      </w:r>
    </w:p>
    <w:p>
      <w:pPr>
        <w:pStyle w:val="ListNumber"/>
        <w:spacing w:after="40"/>
      </w:pPr>
      <w:r>
        <w:t>Create the baseline from healthy training data only; do not let the incident period contaminate its own baseline.</w:t>
      </w:r>
    </w:p>
    <w:p>
      <w:pPr>
        <w:pStyle w:val="ListNumber"/>
        <w:spacing w:after="40"/>
      </w:pPr>
      <w:r>
        <w:t>Where possible, compare equivalent workload, recipe, speed and machine state. If using a simplified baseline, label it in the UI.</w:t>
      </w:r>
    </w:p>
    <w:p>
      <w:pPr>
        <w:pStyle w:val="ListNumber"/>
        <w:spacing w:after="40"/>
      </w:pPr>
      <w:r>
        <w:t>Flag a sustained deviation only after a configured number of consecutive readings cross the threshold.</w:t>
      </w:r>
    </w:p>
    <w:p>
      <w:pPr>
        <w:pStyle w:val="ListNumber"/>
        <w:spacing w:after="40"/>
      </w:pPr>
      <w:r>
        <w:t>Check power deviation, vibration, cycle time and dimensional tolerance separately; then correlate their timestamps.</w:t>
      </w:r>
    </w:p>
    <w:p>
      <w:pPr>
        <w:pStyle w:val="ListNumber"/>
        <w:spacing w:after="40"/>
      </w:pPr>
      <w:r>
        <w:t>Generate stable evidence IDs for facts such as 'power deviation sustained', 'vibration rose in same window' and 'dimension outside tolerance'.</w:t>
      </w:r>
    </w:p>
    <w:p>
      <w:pPr>
        <w:pStyle w:val="ListNumber"/>
        <w:spacing w:after="40"/>
      </w:pPr>
      <w:r>
        <w:t>Treat event timing as correlation, not proof of causation.</w:t>
      </w:r>
    </w:p>
    <w:p>
      <w:pPr>
        <w:pStyle w:val="ListNumber"/>
        <w:spacing w:after="40"/>
      </w:pPr>
      <w:r>
        <w:t>Return a structured evidence bundle with values, units, window, baseline method, data-quality warnings and references.</w:t>
      </w:r>
    </w:p>
    <w:p>
      <w:pPr>
        <w:pStyle w:val="Heading1"/>
      </w:pPr>
      <w:r>
        <w:t>11. Gemini/Gemma investigation contract</w:t>
      </w:r>
    </w:p>
    <w:p>
      <w:pPr>
        <w:spacing w:after="80"/>
      </w:pPr>
      <w:r>
        <w:t>System instruction: 'You are a cautious manufacturing investigation assistant. Use only the supplied evidence and SOP excerpts. Do not invent readings, calculations, source references or causal certainty. Provide competing hypotheses when appropriate. For each hypothesis, state evidence for it, evidence against it, uncertainty and the next discriminating check. A time association is not proof of cause. If evidence is insufficient, say so. You cannot control equipment. All actions require engineer approval and are simulation-only.'</w:t>
      </w:r>
    </w:p>
    <w:p>
      <w:pPr>
        <w:spacing w:after="80"/>
      </w:pPr>
      <w:r>
        <w:t>Required structured output: incident_summary; ranked_hypotheses[{hypothesis, rationale, evidence_for_ids[], evidence_against_ids[], uncertainty, next_check}]; sop_references[{sop_id, section, relevance}]; intervention_options[{option_id, description, expected_effect, risk, assumptions}]; safety_notes[]; verification_plan[{metric, pass_condition}].</w:t>
      </w:r>
    </w:p>
    <w:p>
      <w:pPr>
        <w:pStyle w:val="ListBullet"/>
        <w:spacing w:after="40"/>
      </w:pPr>
      <w:r>
        <w:t>Validate JSON on the server and reject evidence/SOP IDs that do not exist.</w:t>
      </w:r>
    </w:p>
    <w:p>
      <w:pPr>
        <w:pStyle w:val="ListBullet"/>
        <w:spacing w:after="40"/>
      </w:pPr>
      <w:r>
        <w:t>The AI can recommend a check; it cannot determine numerical truth or calculate savings.</w:t>
      </w:r>
    </w:p>
    <w:p>
      <w:pPr>
        <w:pStyle w:val="ListBullet"/>
        <w:spacing w:after="40"/>
      </w:pPr>
      <w:r>
        <w:t>Never execute arbitrary model-generated code or tool calls.</w:t>
      </w:r>
    </w:p>
    <w:p>
      <w:pPr>
        <w:pStyle w:val="ListBullet"/>
        <w:spacing w:after="40"/>
      </w:pPr>
      <w:r>
        <w:t>Record the provider used, model ID if available, timestamp and response validation status.</w:t>
      </w:r>
    </w:p>
    <w:p>
      <w:pPr>
        <w:pStyle w:val="ListBullet"/>
        <w:spacing w:after="40"/>
      </w:pPr>
      <w:r>
        <w:t>When local AI is unavailable, retain the evidence screen and deterministic analysis; do not fabricate a model answer.</w:t>
      </w:r>
    </w:p>
    <w:p>
      <w:pPr>
        <w:pStyle w:val="Heading1"/>
      </w:pPr>
      <w:r>
        <w:t>12. Transparent formulas</w:t>
      </w:r>
    </w:p>
    <w:tbl>
      <w:tblPr>
        <w:tblStyle w:val="TableGrid"/>
        <w:tblW w:type="auto" w:w="0"/>
        <w:tblLook w:firstColumn="1" w:firstRow="1" w:lastColumn="0" w:lastRow="0" w:noHBand="0" w:noVBand="1" w:val="04A0"/>
      </w:tblPr>
      <w:tblGrid>
        <w:gridCol w:w="3389"/>
        <w:gridCol w:w="3389"/>
        <w:gridCol w:w="3389"/>
      </w:tblGrid>
      <w:tr>
        <w:tc>
          <w:tcPr>
            <w:tcW w:type="dxa" w:w="3389"/>
            <w:shd w:fill="DCEAF4"/>
          </w:tcPr>
          <w:p>
            <w:r>
              <w:rPr>
                <w:b/>
                <w:sz w:val="16"/>
              </w:rPr>
              <w:t>Metric</w:t>
            </w:r>
          </w:p>
        </w:tc>
        <w:tc>
          <w:tcPr>
            <w:tcW w:type="dxa" w:w="3389"/>
            <w:shd w:fill="DCEAF4"/>
          </w:tcPr>
          <w:p>
            <w:r>
              <w:rPr>
                <w:b/>
                <w:sz w:val="16"/>
              </w:rPr>
              <w:t>Formula</w:t>
            </w:r>
          </w:p>
        </w:tc>
        <w:tc>
          <w:tcPr>
            <w:tcW w:type="dxa" w:w="3389"/>
            <w:shd w:fill="DCEAF4"/>
          </w:tcPr>
          <w:p>
            <w:r>
              <w:rPr>
                <w:b/>
                <w:sz w:val="16"/>
              </w:rPr>
              <w:t>UI requirement</w:t>
            </w:r>
          </w:p>
        </w:tc>
      </w:tr>
      <w:tr>
        <w:tc>
          <w:tcPr>
            <w:tcW w:type="dxa" w:w="3389"/>
          </w:tcPr>
          <w:p>
            <w:pPr>
              <w:spacing w:after="0"/>
            </w:pPr>
            <w:r>
              <w:rPr>
                <w:sz w:val="16"/>
              </w:rPr>
              <w:t>Energy (kWh)</w:t>
            </w:r>
          </w:p>
        </w:tc>
        <w:tc>
          <w:tcPr>
            <w:tcW w:type="dxa" w:w="3389"/>
          </w:tcPr>
          <w:p>
            <w:pPr>
              <w:spacing w:after="0"/>
            </w:pPr>
            <w:r>
              <w:rPr>
                <w:sz w:val="16"/>
              </w:rPr>
              <w:t>Power (kW) × duration (hours)</w:t>
            </w:r>
          </w:p>
        </w:tc>
        <w:tc>
          <w:tcPr>
            <w:tcW w:type="dxa" w:w="3389"/>
          </w:tcPr>
          <w:p>
            <w:pPr>
              <w:spacing w:after="0"/>
            </w:pPr>
            <w:r>
              <w:rPr>
                <w:sz w:val="16"/>
              </w:rPr>
              <w:t>Display time window</w:t>
            </w:r>
          </w:p>
        </w:tc>
      </w:tr>
      <w:tr>
        <w:tc>
          <w:tcPr>
            <w:tcW w:type="dxa" w:w="3389"/>
          </w:tcPr>
          <w:p>
            <w:pPr>
              <w:spacing w:after="0"/>
            </w:pPr>
            <w:r>
              <w:rPr>
                <w:sz w:val="16"/>
              </w:rPr>
              <w:t>Excess energy</w:t>
            </w:r>
          </w:p>
        </w:tc>
        <w:tc>
          <w:tcPr>
            <w:tcW w:type="dxa" w:w="3389"/>
          </w:tcPr>
          <w:p>
            <w:pPr>
              <w:spacing w:after="0"/>
            </w:pPr>
            <w:r>
              <w:rPr>
                <w:sz w:val="16"/>
              </w:rPr>
              <w:t>Observed energy − expected energy for comparable workload</w:t>
            </w:r>
          </w:p>
        </w:tc>
        <w:tc>
          <w:tcPr>
            <w:tcW w:type="dxa" w:w="3389"/>
          </w:tcPr>
          <w:p>
            <w:pPr>
              <w:spacing w:after="0"/>
            </w:pPr>
            <w:r>
              <w:rPr>
                <w:sz w:val="16"/>
              </w:rPr>
              <w:t>Show baseline method and sign</w:t>
            </w:r>
          </w:p>
        </w:tc>
      </w:tr>
      <w:tr>
        <w:tc>
          <w:tcPr>
            <w:tcW w:type="dxa" w:w="3389"/>
          </w:tcPr>
          <w:p>
            <w:pPr>
              <w:spacing w:after="0"/>
            </w:pPr>
            <w:r>
              <w:rPr>
                <w:sz w:val="16"/>
              </w:rPr>
              <w:t>Energy cost</w:t>
            </w:r>
          </w:p>
        </w:tc>
        <w:tc>
          <w:tcPr>
            <w:tcW w:type="dxa" w:w="3389"/>
          </w:tcPr>
          <w:p>
            <w:pPr>
              <w:spacing w:after="0"/>
            </w:pPr>
            <w:r>
              <w:rPr>
                <w:sz w:val="16"/>
              </w:rPr>
              <w:t>Excess kWh × tariff in ₹/kWh</w:t>
            </w:r>
          </w:p>
        </w:tc>
        <w:tc>
          <w:tcPr>
            <w:tcW w:type="dxa" w:w="3389"/>
          </w:tcPr>
          <w:p>
            <w:pPr>
              <w:spacing w:after="0"/>
            </w:pPr>
            <w:r>
              <w:rPr>
                <w:sz w:val="16"/>
              </w:rPr>
              <w:t>Show editable tariff</w:t>
            </w:r>
          </w:p>
        </w:tc>
      </w:tr>
      <w:tr>
        <w:tc>
          <w:tcPr>
            <w:tcW w:type="dxa" w:w="3389"/>
          </w:tcPr>
          <w:p>
            <w:pPr>
              <w:spacing w:after="0"/>
            </w:pPr>
            <w:r>
              <w:rPr>
                <w:sz w:val="16"/>
              </w:rPr>
              <w:t>Energy per good part</w:t>
            </w:r>
          </w:p>
        </w:tc>
        <w:tc>
          <w:tcPr>
            <w:tcW w:type="dxa" w:w="3389"/>
          </w:tcPr>
          <w:p>
            <w:pPr>
              <w:spacing w:after="0"/>
            </w:pPr>
            <w:r>
              <w:rPr>
                <w:sz w:val="16"/>
              </w:rPr>
              <w:t>Energy used / count of in-spec good parts</w:t>
            </w:r>
          </w:p>
        </w:tc>
        <w:tc>
          <w:tcPr>
            <w:tcW w:type="dxa" w:w="3389"/>
          </w:tcPr>
          <w:p>
            <w:pPr>
              <w:spacing w:after="0"/>
            </w:pPr>
            <w:r>
              <w:rPr>
                <w:sz w:val="16"/>
              </w:rPr>
              <w:t>Show sample count and window</w:t>
            </w:r>
          </w:p>
        </w:tc>
      </w:tr>
      <w:tr>
        <w:tc>
          <w:tcPr>
            <w:tcW w:type="dxa" w:w="3389"/>
          </w:tcPr>
          <w:p>
            <w:pPr>
              <w:spacing w:after="0"/>
            </w:pPr>
            <w:r>
              <w:rPr>
                <w:sz w:val="16"/>
              </w:rPr>
              <w:t>Carbon estimate</w:t>
            </w:r>
          </w:p>
        </w:tc>
        <w:tc>
          <w:tcPr>
            <w:tcW w:type="dxa" w:w="3389"/>
          </w:tcPr>
          <w:p>
            <w:pPr>
              <w:spacing w:after="0"/>
            </w:pPr>
            <w:r>
              <w:rPr>
                <w:sz w:val="16"/>
              </w:rPr>
              <w:t>Energy saved × configured kg CO₂e/kWh factor</w:t>
            </w:r>
          </w:p>
        </w:tc>
        <w:tc>
          <w:tcPr>
            <w:tcW w:type="dxa" w:w="3389"/>
          </w:tcPr>
          <w:p>
            <w:pPr>
              <w:spacing w:after="0"/>
            </w:pPr>
            <w:r>
              <w:rPr>
                <w:sz w:val="16"/>
              </w:rPr>
              <w:t>Display the factor and label estimate</w:t>
            </w:r>
          </w:p>
        </w:tc>
      </w:tr>
      <w:tr>
        <w:tc>
          <w:tcPr>
            <w:tcW w:type="dxa" w:w="3389"/>
          </w:tcPr>
          <w:p>
            <w:pPr>
              <w:spacing w:after="0"/>
            </w:pPr>
            <w:r>
              <w:rPr>
                <w:sz w:val="16"/>
              </w:rPr>
              <w:t>Scrap estimate</w:t>
            </w:r>
          </w:p>
        </w:tc>
        <w:tc>
          <w:tcPr>
            <w:tcW w:type="dxa" w:w="3389"/>
          </w:tcPr>
          <w:p>
            <w:pPr>
              <w:spacing w:after="0"/>
            </w:pPr>
            <w:r>
              <w:rPr>
                <w:sz w:val="16"/>
              </w:rPr>
              <w:t>Difference in rejected parts across comparable windows × configured cost/part</w:t>
            </w:r>
          </w:p>
        </w:tc>
        <w:tc>
          <w:tcPr>
            <w:tcW w:type="dxa" w:w="3389"/>
          </w:tcPr>
          <w:p>
            <w:pPr>
              <w:spacing w:after="0"/>
            </w:pPr>
            <w:r>
              <w:rPr>
                <w:sz w:val="16"/>
              </w:rPr>
              <w:t>Label simulated and show count</w:t>
            </w:r>
          </w:p>
        </w:tc>
      </w:tr>
      <w:tr>
        <w:tc>
          <w:tcPr>
            <w:tcW w:type="dxa" w:w="3389"/>
          </w:tcPr>
          <w:p>
            <w:pPr>
              <w:spacing w:after="0"/>
            </w:pPr>
            <w:r>
              <w:rPr>
                <w:sz w:val="16"/>
              </w:rPr>
              <w:t>Net benefit</w:t>
            </w:r>
          </w:p>
        </w:tc>
        <w:tc>
          <w:tcPr>
            <w:tcW w:type="dxa" w:w="3389"/>
          </w:tcPr>
          <w:p>
            <w:pPr>
              <w:spacing w:after="0"/>
            </w:pPr>
            <w:r>
              <w:rPr>
                <w:sz w:val="16"/>
              </w:rPr>
              <w:t>Estimated energy cost avoided + estimated scrap cost avoided − intervention cost</w:t>
            </w:r>
          </w:p>
        </w:tc>
        <w:tc>
          <w:tcPr>
            <w:tcW w:type="dxa" w:w="3389"/>
          </w:tcPr>
          <w:p>
            <w:pPr>
              <w:spacing w:after="0"/>
            </w:pPr>
            <w:r>
              <w:rPr>
                <w:sz w:val="16"/>
              </w:rPr>
              <w:t>Avoid double counting; expose assumptions</w:t>
            </w:r>
          </w:p>
        </w:tc>
      </w:tr>
    </w:tbl>
    <w:p>
      <w:pPr>
        <w:spacing w:after="0"/>
      </w:pPr>
    </w:p>
    <w:p>
      <w:pPr>
        <w:spacing w:after="80"/>
      </w:pPr>
      <w:r>
        <w:t>All impact figures are illustrative estimates based on synthetic data. Do not use arbitrary claims such as '14 kg CO₂ saved' unless the formula and displayed inputs produce that value.</w:t>
      </w:r>
    </w:p>
    <w:p>
      <w:pPr>
        <w:pStyle w:val="Heading1"/>
      </w:pPr>
      <w:r>
        <w:t>13. API and local storage contract</w:t>
      </w:r>
    </w:p>
    <w:tbl>
      <w:tblPr>
        <w:tblStyle w:val="TableGrid"/>
        <w:tblW w:type="auto" w:w="0"/>
        <w:tblLook w:firstColumn="1" w:firstRow="1" w:lastColumn="0" w:lastRow="0" w:noHBand="0" w:noVBand="1" w:val="04A0"/>
      </w:tblPr>
      <w:tblGrid>
        <w:gridCol w:w="5083"/>
        <w:gridCol w:w="5083"/>
      </w:tblGrid>
      <w:tr>
        <w:tc>
          <w:tcPr>
            <w:tcW w:type="dxa" w:w="5083"/>
            <w:shd w:fill="DCEAF4"/>
          </w:tcPr>
          <w:p>
            <w:r>
              <w:rPr>
                <w:b/>
                <w:sz w:val="16"/>
              </w:rPr>
              <w:t>Endpoint / function</w:t>
            </w:r>
          </w:p>
        </w:tc>
        <w:tc>
          <w:tcPr>
            <w:tcW w:type="dxa" w:w="5083"/>
            <w:shd w:fill="DCEAF4"/>
          </w:tcPr>
          <w:p>
            <w:r>
              <w:rPr>
                <w:b/>
                <w:sz w:val="16"/>
              </w:rPr>
              <w:t>Purpose</w:t>
            </w:r>
          </w:p>
        </w:tc>
      </w:tr>
      <w:tr>
        <w:tc>
          <w:tcPr>
            <w:tcW w:type="dxa" w:w="5083"/>
          </w:tcPr>
          <w:p>
            <w:pPr>
              <w:spacing w:after="0"/>
            </w:pPr>
            <w:r>
              <w:rPr>
                <w:sz w:val="16"/>
              </w:rPr>
              <w:t>GET /health</w:t>
            </w:r>
          </w:p>
        </w:tc>
        <w:tc>
          <w:tcPr>
            <w:tcW w:type="dxa" w:w="5083"/>
          </w:tcPr>
          <w:p>
            <w:pPr>
              <w:spacing w:after="0"/>
            </w:pPr>
            <w:r>
              <w:rPr>
                <w:sz w:val="16"/>
              </w:rPr>
              <w:t>App health and version</w:t>
            </w:r>
          </w:p>
        </w:tc>
      </w:tr>
      <w:tr>
        <w:tc>
          <w:tcPr>
            <w:tcW w:type="dxa" w:w="5083"/>
          </w:tcPr>
          <w:p>
            <w:pPr>
              <w:spacing w:after="0"/>
            </w:pPr>
            <w:r>
              <w:rPr>
                <w:sz w:val="16"/>
              </w:rPr>
              <w:t>GET /api/scenarios</w:t>
            </w:r>
          </w:p>
        </w:tc>
        <w:tc>
          <w:tcPr>
            <w:tcW w:type="dxa" w:w="5083"/>
          </w:tcPr>
          <w:p>
            <w:pPr>
              <w:spacing w:after="0"/>
            </w:pPr>
            <w:r>
              <w:rPr>
                <w:sz w:val="16"/>
              </w:rPr>
              <w:t>Available synthetic scenarios</w:t>
            </w:r>
          </w:p>
        </w:tc>
      </w:tr>
      <w:tr>
        <w:tc>
          <w:tcPr>
            <w:tcW w:type="dxa" w:w="5083"/>
          </w:tcPr>
          <w:p>
            <w:pPr>
              <w:spacing w:after="0"/>
            </w:pPr>
            <w:r>
              <w:rPr>
                <w:sz w:val="16"/>
              </w:rPr>
              <w:t>POST /api/analyze</w:t>
            </w:r>
          </w:p>
        </w:tc>
        <w:tc>
          <w:tcPr>
            <w:tcW w:type="dxa" w:w="5083"/>
          </w:tcPr>
          <w:p>
            <w:pPr>
              <w:spacing w:after="0"/>
            </w:pPr>
            <w:r>
              <w:rPr>
                <w:sz w:val="16"/>
              </w:rPr>
              <w:t>Run deterministic analysis</w:t>
            </w:r>
          </w:p>
        </w:tc>
      </w:tr>
      <w:tr>
        <w:tc>
          <w:tcPr>
            <w:tcW w:type="dxa" w:w="5083"/>
          </w:tcPr>
          <w:p>
            <w:pPr>
              <w:spacing w:after="0"/>
            </w:pPr>
            <w:r>
              <w:rPr>
                <w:sz w:val="16"/>
              </w:rPr>
              <w:t>POST /api/investigate</w:t>
            </w:r>
          </w:p>
        </w:tc>
        <w:tc>
          <w:tcPr>
            <w:tcW w:type="dxa" w:w="5083"/>
          </w:tcPr>
          <w:p>
            <w:pPr>
              <w:spacing w:after="0"/>
            </w:pPr>
            <w:r>
              <w:rPr>
                <w:sz w:val="16"/>
              </w:rPr>
              <w:t>Run selected AI provider on computed evidence</w:t>
            </w:r>
          </w:p>
        </w:tc>
      </w:tr>
      <w:tr>
        <w:tc>
          <w:tcPr>
            <w:tcW w:type="dxa" w:w="5083"/>
          </w:tcPr>
          <w:p>
            <w:pPr>
              <w:spacing w:after="0"/>
            </w:pPr>
            <w:r>
              <w:rPr>
                <w:sz w:val="16"/>
              </w:rPr>
              <w:t>POST /api/simulate</w:t>
            </w:r>
          </w:p>
        </w:tc>
        <w:tc>
          <w:tcPr>
            <w:tcW w:type="dxa" w:w="5083"/>
          </w:tcPr>
          <w:p>
            <w:pPr>
              <w:spacing w:after="0"/>
            </w:pPr>
            <w:r>
              <w:rPr>
                <w:sz w:val="16"/>
              </w:rPr>
              <w:t>Compare or apply a simulated intervention</w:t>
            </w:r>
          </w:p>
        </w:tc>
      </w:tr>
      <w:tr>
        <w:tc>
          <w:tcPr>
            <w:tcW w:type="dxa" w:w="5083"/>
          </w:tcPr>
          <w:p>
            <w:pPr>
              <w:spacing w:after="0"/>
            </w:pPr>
            <w:r>
              <w:rPr>
                <w:sz w:val="16"/>
              </w:rPr>
              <w:t>POST /api/work-orders/draft</w:t>
            </w:r>
          </w:p>
        </w:tc>
        <w:tc>
          <w:tcPr>
            <w:tcW w:type="dxa" w:w="5083"/>
          </w:tcPr>
          <w:p>
            <w:pPr>
              <w:spacing w:after="0"/>
            </w:pPr>
            <w:r>
              <w:rPr>
                <w:sz w:val="16"/>
              </w:rPr>
              <w:t>Create a draft work order for review</w:t>
            </w:r>
          </w:p>
        </w:tc>
      </w:tr>
      <w:tr>
        <w:tc>
          <w:tcPr>
            <w:tcW w:type="dxa" w:w="5083"/>
          </w:tcPr>
          <w:p>
            <w:pPr>
              <w:spacing w:after="0"/>
            </w:pPr>
            <w:r>
              <w:rPr>
                <w:sz w:val="16"/>
              </w:rPr>
              <w:t>POST /api/verify</w:t>
            </w:r>
          </w:p>
        </w:tc>
        <w:tc>
          <w:tcPr>
            <w:tcW w:type="dxa" w:w="5083"/>
          </w:tcPr>
          <w:p>
            <w:pPr>
              <w:spacing w:after="0"/>
            </w:pPr>
            <w:r>
              <w:rPr>
                <w:sz w:val="16"/>
              </w:rPr>
              <w:t>Evaluate post-action metrics</w:t>
            </w:r>
          </w:p>
        </w:tc>
      </w:tr>
      <w:tr>
        <w:tc>
          <w:tcPr>
            <w:tcW w:type="dxa" w:w="5083"/>
          </w:tcPr>
          <w:p>
            <w:pPr>
              <w:spacing w:after="0"/>
            </w:pPr>
            <w:r>
              <w:rPr>
                <w:sz w:val="16"/>
              </w:rPr>
              <w:t>GET /api/settings/ai</w:t>
            </w:r>
          </w:p>
        </w:tc>
        <w:tc>
          <w:tcPr>
            <w:tcW w:type="dxa" w:w="5083"/>
          </w:tcPr>
          <w:p>
            <w:pPr>
              <w:spacing w:after="0"/>
            </w:pPr>
            <w:r>
              <w:rPr>
                <w:sz w:val="16"/>
              </w:rPr>
              <w:t>Show configured provider and availability without exposing secrets</w:t>
            </w:r>
          </w:p>
        </w:tc>
      </w:tr>
      <w:tr>
        <w:tc>
          <w:tcPr>
            <w:tcW w:type="dxa" w:w="5083"/>
          </w:tcPr>
          <w:p>
            <w:pPr>
              <w:spacing w:after="0"/>
            </w:pPr>
            <w:r>
              <w:rPr>
                <w:sz w:val="16"/>
              </w:rPr>
              <w:t>POST /api/settings/ai</w:t>
            </w:r>
          </w:p>
        </w:tc>
        <w:tc>
          <w:tcPr>
            <w:tcW w:type="dxa" w:w="5083"/>
          </w:tcPr>
          <w:p>
            <w:pPr>
              <w:spacing w:after="0"/>
            </w:pPr>
            <w:r>
              <w:rPr>
                <w:sz w:val="16"/>
              </w:rPr>
              <w:t>Change provider mode using validated server-side configuration</w:t>
            </w:r>
          </w:p>
        </w:tc>
      </w:tr>
    </w:tbl>
    <w:p>
      <w:pPr>
        <w:spacing w:after="0"/>
      </w:pPr>
    </w:p>
    <w:p>
      <w:pPr>
        <w:spacing w:after="80"/>
      </w:pPr>
      <w:r>
        <w:t>Local mode should not require an account or cloud API key. If local AI model files are not present, the app should remain usable with deterministic analysis. Do not store cloud credentials in browser storage or ship them in a public bundle.</w:t>
      </w:r>
    </w:p>
    <w:p>
      <w:pPr>
        <w:pStyle w:val="Heading1"/>
      </w:pPr>
      <w:r>
        <w:t>14. Evaluation plan and tests</w:t>
      </w:r>
    </w:p>
    <w:p>
      <w:pPr>
        <w:pStyle w:val="ListBullet"/>
        <w:spacing w:after="40"/>
      </w:pPr>
      <w:r>
        <w:t>Healthy scenario does not produce a severe alert.</w:t>
      </w:r>
    </w:p>
    <w:p>
      <w:pPr>
        <w:pStyle w:val="ListBullet"/>
        <w:spacing w:after="40"/>
      </w:pPr>
      <w:r>
        <w:t>Drift scenario is detected using the sustained-window rule.</w:t>
      </w:r>
    </w:p>
    <w:p>
      <w:pPr>
        <w:pStyle w:val="ListBullet"/>
        <w:spacing w:after="40"/>
      </w:pPr>
      <w:r>
        <w:t>Changing workload affects the baseline when workload adjustment is implemented.</w:t>
      </w:r>
    </w:p>
    <w:p>
      <w:pPr>
        <w:pStyle w:val="ListBullet"/>
        <w:spacing w:after="40"/>
      </w:pPr>
      <w:r>
        <w:t>Missing data produces a warning and does not silently become zero.</w:t>
      </w:r>
    </w:p>
    <w:p>
      <w:pPr>
        <w:pStyle w:val="ListBullet"/>
        <w:spacing w:after="40"/>
      </w:pPr>
      <w:r>
        <w:t>AI input contains no hidden scenario_id or defect_label.</w:t>
      </w:r>
    </w:p>
    <w:p>
      <w:pPr>
        <w:pStyle w:val="ListBullet"/>
        <w:spacing w:after="40"/>
      </w:pPr>
      <w:r>
        <w:t>Every evidence and SOP reference returned by AI exists.</w:t>
      </w:r>
    </w:p>
    <w:p>
      <w:pPr>
        <w:pStyle w:val="ListBullet"/>
        <w:spacing w:after="40"/>
      </w:pPr>
      <w:r>
        <w:t>All energy, cost, carbon and scrap formulas pass unit tests.</w:t>
      </w:r>
    </w:p>
    <w:p>
      <w:pPr>
        <w:pStyle w:val="ListBullet"/>
        <w:spacing w:after="40"/>
      </w:pPr>
      <w:r>
        <w:t>Rejecting an intervention leaves simulated state unchanged.</w:t>
      </w:r>
    </w:p>
    <w:p>
      <w:pPr>
        <w:pStyle w:val="ListBullet"/>
        <w:spacing w:after="40"/>
      </w:pPr>
      <w:r>
        <w:t>At least one intervention scenario remains unresolved after action.</w:t>
      </w:r>
    </w:p>
    <w:p>
      <w:pPr>
        <w:pStyle w:val="ListBullet"/>
        <w:spacing w:after="40"/>
      </w:pPr>
      <w:r>
        <w:t>Local deterministic mode works with internet disabled after app installation.</w:t>
      </w:r>
    </w:p>
    <w:p>
      <w:pPr>
        <w:pStyle w:val="ListBullet"/>
        <w:spacing w:after="40"/>
      </w:pPr>
      <w:r>
        <w:t>Local AI mode clearly reports model/runtime/hardware unavailability rather than pretending to work.</w:t>
      </w:r>
    </w:p>
    <w:p>
      <w:pPr>
        <w:pStyle w:val="ListBullet"/>
        <w:spacing w:after="40"/>
      </w:pPr>
      <w:r>
        <w:t>Cloud AI mode uses server-side Vertex AI credentials and has a visible cloud provider label.</w:t>
      </w:r>
    </w:p>
    <w:p>
      <w:pPr>
        <w:pStyle w:val="ListBullet"/>
        <w:spacing w:after="40"/>
      </w:pPr>
      <w:r>
        <w:t>All screens use consistent values and units.</w:t>
      </w:r>
    </w:p>
    <w:p>
      <w:pPr>
        <w:pStyle w:val="ListBullet"/>
        <w:spacing w:after="40"/>
      </w:pPr>
      <w:r>
        <w:t>No API can issue a real equipment command.</w:t>
      </w:r>
    </w:p>
    <w:p>
      <w:pPr>
        <w:pStyle w:val="Heading1"/>
      </w:pPr>
      <w:r>
        <w:t>15. Hackathon judging strategy</w:t>
      </w:r>
    </w:p>
    <w:tbl>
      <w:tblPr>
        <w:tblStyle w:val="TableGrid"/>
        <w:tblW w:type="auto" w:w="0"/>
        <w:tblLook w:firstColumn="1" w:firstRow="1" w:lastColumn="0" w:lastRow="0" w:noHBand="0" w:noVBand="1" w:val="04A0"/>
      </w:tblPr>
      <w:tblGrid>
        <w:gridCol w:w="3389"/>
        <w:gridCol w:w="3389"/>
        <w:gridCol w:w="3389"/>
      </w:tblGrid>
      <w:tr>
        <w:tc>
          <w:tcPr>
            <w:tcW w:type="dxa" w:w="3389"/>
            <w:shd w:fill="DCEAF4"/>
          </w:tcPr>
          <w:p>
            <w:r>
              <w:rPr>
                <w:b/>
                <w:sz w:val="16"/>
              </w:rPr>
              <w:t>Criterion</w:t>
            </w:r>
          </w:p>
        </w:tc>
        <w:tc>
          <w:tcPr>
            <w:tcW w:type="dxa" w:w="3389"/>
            <w:shd w:fill="DCEAF4"/>
          </w:tcPr>
          <w:p>
            <w:r>
              <w:rPr>
                <w:b/>
                <w:sz w:val="16"/>
              </w:rPr>
              <w:t>Weight</w:t>
            </w:r>
          </w:p>
        </w:tc>
        <w:tc>
          <w:tcPr>
            <w:tcW w:type="dxa" w:w="3389"/>
            <w:shd w:fill="DCEAF4"/>
          </w:tcPr>
          <w:p>
            <w:r>
              <w:rPr>
                <w:b/>
                <w:sz w:val="16"/>
              </w:rPr>
              <w:t>Evidence to demonstrate</w:t>
            </w:r>
          </w:p>
        </w:tc>
      </w:tr>
      <w:tr>
        <w:tc>
          <w:tcPr>
            <w:tcW w:type="dxa" w:w="3389"/>
          </w:tcPr>
          <w:p>
            <w:pPr>
              <w:spacing w:after="0"/>
            </w:pPr>
            <w:r>
              <w:rPr>
                <w:sz w:val="16"/>
              </w:rPr>
              <w:t>Technical Merit &amp; GenAI</w:t>
            </w:r>
          </w:p>
        </w:tc>
        <w:tc>
          <w:tcPr>
            <w:tcW w:type="dxa" w:w="3389"/>
          </w:tcPr>
          <w:p>
            <w:pPr>
              <w:spacing w:after="0"/>
            </w:pPr>
            <w:r>
              <w:rPr>
                <w:sz w:val="16"/>
              </w:rPr>
              <w:t>40%</w:t>
            </w:r>
          </w:p>
        </w:tc>
        <w:tc>
          <w:tcPr>
            <w:tcW w:type="dxa" w:w="3389"/>
          </w:tcPr>
          <w:p>
            <w:pPr>
              <w:spacing w:after="0"/>
            </w:pPr>
            <w:r>
              <w:rPr>
                <w:sz w:val="16"/>
              </w:rPr>
              <w:t>Real AI integration in the demo, validated structured output, deterministic detector, provider adapter, tests and working deployed app.</w:t>
            </w:r>
          </w:p>
        </w:tc>
      </w:tr>
      <w:tr>
        <w:tc>
          <w:tcPr>
            <w:tcW w:type="dxa" w:w="3389"/>
          </w:tcPr>
          <w:p>
            <w:pPr>
              <w:spacing w:after="0"/>
            </w:pPr>
            <w:r>
              <w:rPr>
                <w:sz w:val="16"/>
              </w:rPr>
              <w:t>Problem Alignment &amp; Impact</w:t>
            </w:r>
          </w:p>
        </w:tc>
        <w:tc>
          <w:tcPr>
            <w:tcW w:type="dxa" w:w="3389"/>
          </w:tcPr>
          <w:p>
            <w:pPr>
              <w:spacing w:after="0"/>
            </w:pPr>
            <w:r>
              <w:rPr>
                <w:sz w:val="16"/>
              </w:rPr>
              <w:t>25%</w:t>
            </w:r>
          </w:p>
        </w:tc>
        <w:tc>
          <w:tcPr>
            <w:tcW w:type="dxa" w:w="3389"/>
          </w:tcPr>
          <w:p>
            <w:pPr>
              <w:spacing w:after="0"/>
            </w:pPr>
            <w:r>
              <w:rPr>
                <w:sz w:val="16"/>
              </w:rPr>
              <w:t>One realistic manufacturing incident linking energy, quality and operational risk; transparent impact calculations.</w:t>
            </w:r>
          </w:p>
        </w:tc>
      </w:tr>
      <w:tr>
        <w:tc>
          <w:tcPr>
            <w:tcW w:type="dxa" w:w="3389"/>
          </w:tcPr>
          <w:p>
            <w:pPr>
              <w:spacing w:after="0"/>
            </w:pPr>
            <w:r>
              <w:rPr>
                <w:sz w:val="16"/>
              </w:rPr>
              <w:t>Innovation &amp; Creativity</w:t>
            </w:r>
          </w:p>
        </w:tc>
        <w:tc>
          <w:tcPr>
            <w:tcW w:type="dxa" w:w="3389"/>
          </w:tcPr>
          <w:p>
            <w:pPr>
              <w:spacing w:after="0"/>
            </w:pPr>
            <w:r>
              <w:rPr>
                <w:sz w:val="16"/>
              </w:rPr>
              <w:t>25%</w:t>
            </w:r>
          </w:p>
        </w:tc>
        <w:tc>
          <w:tcPr>
            <w:tcW w:type="dxa" w:w="3389"/>
          </w:tcPr>
          <w:p>
            <w:pPr>
              <w:spacing w:after="0"/>
            </w:pPr>
            <w:r>
              <w:rPr>
                <w:sz w:val="16"/>
              </w:rPr>
              <w:t>Local-first architecture, energy as diagnostic signal, competing hypotheses, traceable evidence, human approval and post-action verification.</w:t>
            </w:r>
          </w:p>
        </w:tc>
      </w:tr>
      <w:tr>
        <w:tc>
          <w:tcPr>
            <w:tcW w:type="dxa" w:w="3389"/>
          </w:tcPr>
          <w:p>
            <w:pPr>
              <w:spacing w:after="0"/>
            </w:pPr>
            <w:r>
              <w:rPr>
                <w:sz w:val="16"/>
              </w:rPr>
              <w:t>UX &amp; Solution Design</w:t>
            </w:r>
          </w:p>
        </w:tc>
        <w:tc>
          <w:tcPr>
            <w:tcW w:type="dxa" w:w="3389"/>
          </w:tcPr>
          <w:p>
            <w:pPr>
              <w:spacing w:after="0"/>
            </w:pPr>
            <w:r>
              <w:rPr>
                <w:sz w:val="16"/>
              </w:rPr>
              <w:t>10%</w:t>
            </w:r>
          </w:p>
        </w:tc>
        <w:tc>
          <w:tcPr>
            <w:tcW w:type="dxa" w:w="3389"/>
          </w:tcPr>
          <w:p>
            <w:pPr>
              <w:spacing w:after="0"/>
            </w:pPr>
            <w:r>
              <w:rPr>
                <w:sz w:val="16"/>
              </w:rPr>
              <w:t>Industrial incident command center, clear severity and machine context, readable trends, one next action, and honest states.</w:t>
            </w:r>
          </w:p>
        </w:tc>
      </w:tr>
    </w:tbl>
    <w:p>
      <w:pPr>
        <w:spacing w:after="0"/>
      </w:pPr>
    </w:p>
    <w:p>
      <w:pPr>
        <w:spacing w:after="80"/>
      </w:pPr>
      <w:r>
        <w:t>Do not add cloud services merely to make the architecture look bigger. Show a complete working workflow, explain the local/cloud trade-off and prove that the numerical results are reproducible.</w:t>
      </w:r>
    </w:p>
    <w:p>
      <w:pPr>
        <w:pStyle w:val="Heading1"/>
      </w:pPr>
      <w:r>
        <w:t>16. Four-day build plan</w:t>
      </w:r>
    </w:p>
    <w:tbl>
      <w:tblPr>
        <w:tblStyle w:val="TableGrid"/>
        <w:tblW w:type="auto" w:w="0"/>
        <w:tblLook w:firstColumn="1" w:firstRow="1" w:lastColumn="0" w:lastRow="0" w:noHBand="0" w:noVBand="1" w:val="04A0"/>
      </w:tblPr>
      <w:tblGrid>
        <w:gridCol w:w="3389"/>
        <w:gridCol w:w="3389"/>
        <w:gridCol w:w="3389"/>
      </w:tblGrid>
      <w:tr>
        <w:tc>
          <w:tcPr>
            <w:tcW w:type="dxa" w:w="3389"/>
            <w:shd w:fill="DCEAF4"/>
          </w:tcPr>
          <w:p>
            <w:r>
              <w:rPr>
                <w:b/>
                <w:sz w:val="16"/>
              </w:rPr>
              <w:t>Day</w:t>
            </w:r>
          </w:p>
        </w:tc>
        <w:tc>
          <w:tcPr>
            <w:tcW w:type="dxa" w:w="3389"/>
            <w:shd w:fill="DCEAF4"/>
          </w:tcPr>
          <w:p>
            <w:r>
              <w:rPr>
                <w:b/>
                <w:sz w:val="16"/>
              </w:rPr>
              <w:t>Build</w:t>
            </w:r>
          </w:p>
        </w:tc>
        <w:tc>
          <w:tcPr>
            <w:tcW w:type="dxa" w:w="3389"/>
            <w:shd w:fill="DCEAF4"/>
          </w:tcPr>
          <w:p>
            <w:r>
              <w:rPr>
                <w:b/>
                <w:sz w:val="16"/>
              </w:rPr>
              <w:t>Definition of done</w:t>
            </w:r>
          </w:p>
        </w:tc>
      </w:tr>
      <w:tr>
        <w:tc>
          <w:tcPr>
            <w:tcW w:type="dxa" w:w="3389"/>
          </w:tcPr>
          <w:p>
            <w:pPr>
              <w:spacing w:after="0"/>
            </w:pPr>
            <w:r>
              <w:rPr>
                <w:sz w:val="16"/>
              </w:rPr>
              <w:t>Day 1</w:t>
            </w:r>
          </w:p>
        </w:tc>
        <w:tc>
          <w:tcPr>
            <w:tcW w:type="dxa" w:w="3389"/>
          </w:tcPr>
          <w:p>
            <w:pPr>
              <w:spacing w:after="0"/>
            </w:pPr>
            <w:r>
              <w:rPr>
                <w:sz w:val="16"/>
              </w:rPr>
              <w:t>Industrial incident UI, synthetic data, baseline/detector, local server, health check</w:t>
            </w:r>
          </w:p>
        </w:tc>
        <w:tc>
          <w:tcPr>
            <w:tcW w:type="dxa" w:w="3389"/>
          </w:tcPr>
          <w:p>
            <w:pPr>
              <w:spacing w:after="0"/>
            </w:pPr>
            <w:r>
              <w:rPr>
                <w:sz w:val="16"/>
              </w:rPr>
              <w:t>Scenario selector and deterministic analysis work locally</w:t>
            </w:r>
          </w:p>
        </w:tc>
      </w:tr>
      <w:tr>
        <w:tc>
          <w:tcPr>
            <w:tcW w:type="dxa" w:w="3389"/>
          </w:tcPr>
          <w:p>
            <w:pPr>
              <w:spacing w:after="0"/>
            </w:pPr>
            <w:r>
              <w:rPr>
                <w:sz w:val="16"/>
              </w:rPr>
              <w:t>Day 2</w:t>
            </w:r>
          </w:p>
        </w:tc>
        <w:tc>
          <w:tcPr>
            <w:tcW w:type="dxa" w:w="3389"/>
          </w:tcPr>
          <w:p>
            <w:pPr>
              <w:spacing w:after="0"/>
            </w:pPr>
            <w:r>
              <w:rPr>
                <w:sz w:val="16"/>
              </w:rPr>
              <w:t>Evidence bundle, SOP retrieval, AI-provider interface, Vertex AI Gemini integration</w:t>
            </w:r>
          </w:p>
        </w:tc>
        <w:tc>
          <w:tcPr>
            <w:tcW w:type="dxa" w:w="3389"/>
          </w:tcPr>
          <w:p>
            <w:pPr>
              <w:spacing w:after="0"/>
            </w:pPr>
            <w:r>
              <w:rPr>
                <w:sz w:val="16"/>
              </w:rPr>
              <w:t>Cloud investigation works; local mode degrades honestly if Gemma runtime is not ready</w:t>
            </w:r>
          </w:p>
        </w:tc>
      </w:tr>
      <w:tr>
        <w:tc>
          <w:tcPr>
            <w:tcW w:type="dxa" w:w="3389"/>
          </w:tcPr>
          <w:p>
            <w:pPr>
              <w:spacing w:after="0"/>
            </w:pPr>
            <w:r>
              <w:rPr>
                <w:sz w:val="16"/>
              </w:rPr>
              <w:t>Day 3</w:t>
            </w:r>
          </w:p>
        </w:tc>
        <w:tc>
          <w:tcPr>
            <w:tcW w:type="dxa" w:w="3389"/>
          </w:tcPr>
          <w:p>
            <w:pPr>
              <w:spacing w:after="0"/>
            </w:pPr>
            <w:r>
              <w:rPr>
                <w:sz w:val="16"/>
              </w:rPr>
              <w:t>Intervention math, approval/rejection, simulation, verification, local/offline checks, Cloud Run deployment</w:t>
            </w:r>
          </w:p>
        </w:tc>
        <w:tc>
          <w:tcPr>
            <w:tcW w:type="dxa" w:w="3389"/>
          </w:tcPr>
          <w:p>
            <w:pPr>
              <w:spacing w:after="0"/>
            </w:pPr>
            <w:r>
              <w:rPr>
                <w:sz w:val="16"/>
              </w:rPr>
              <w:t>End-to-end workflow works locally and at the deployed URL</w:t>
            </w:r>
          </w:p>
        </w:tc>
      </w:tr>
      <w:tr>
        <w:tc>
          <w:tcPr>
            <w:tcW w:type="dxa" w:w="3389"/>
          </w:tcPr>
          <w:p>
            <w:pPr>
              <w:spacing w:after="0"/>
            </w:pPr>
            <w:r>
              <w:rPr>
                <w:sz w:val="16"/>
              </w:rPr>
              <w:t>Day 4</w:t>
            </w:r>
          </w:p>
        </w:tc>
        <w:tc>
          <w:tcPr>
            <w:tcW w:type="dxa" w:w="3389"/>
          </w:tcPr>
          <w:p>
            <w:pPr>
              <w:spacing w:after="0"/>
            </w:pPr>
            <w:r>
              <w:rPr>
                <w:sz w:val="16"/>
              </w:rPr>
              <w:t>Edge cases, UI polish, tests, README, proposal PDF and demo video</w:t>
            </w:r>
          </w:p>
        </w:tc>
        <w:tc>
          <w:tcPr>
            <w:tcW w:type="dxa" w:w="3389"/>
          </w:tcPr>
          <w:p>
            <w:pPr>
              <w:spacing w:after="0"/>
            </w:pPr>
            <w:r>
              <w:rPr>
                <w:sz w:val="16"/>
              </w:rPr>
              <w:t>Rehearsed three-minute demo and no critical defects</w:t>
            </w:r>
          </w:p>
        </w:tc>
      </w:tr>
    </w:tbl>
    <w:p>
      <w:pPr>
        <w:spacing w:after="0"/>
      </w:pPr>
    </w:p>
    <w:p>
      <w:pPr>
        <w:spacing w:after="80"/>
      </w:pPr>
      <w:r>
        <w:t>If local Gemma inference takes longer than expected, do not risk the entire submission. Finish local deterministic mode plus the Vertex AI path, then treat local model inference as an explicitly optional capability until tested.</w:t>
      </w:r>
    </w:p>
    <w:p>
      <w:pPr>
        <w:pStyle w:val="Heading1"/>
      </w:pPr>
      <w:r>
        <w:t>17. Three-minute demo script</w:t>
      </w:r>
    </w:p>
    <w:tbl>
      <w:tblPr>
        <w:tblStyle w:val="TableGrid"/>
        <w:tblW w:type="auto" w:w="0"/>
        <w:tblLook w:firstColumn="1" w:firstRow="1" w:lastColumn="0" w:lastRow="0" w:noHBand="0" w:noVBand="1" w:val="04A0"/>
      </w:tblPr>
      <w:tblGrid>
        <w:gridCol w:w="5083"/>
        <w:gridCol w:w="5083"/>
      </w:tblGrid>
      <w:tr>
        <w:tc>
          <w:tcPr>
            <w:tcW w:type="dxa" w:w="5083"/>
            <w:shd w:fill="DCEAF4"/>
          </w:tcPr>
          <w:p>
            <w:r>
              <w:rPr>
                <w:b/>
                <w:sz w:val="16"/>
              </w:rPr>
              <w:t>Time</w:t>
            </w:r>
          </w:p>
        </w:tc>
        <w:tc>
          <w:tcPr>
            <w:tcW w:type="dxa" w:w="5083"/>
            <w:shd w:fill="DCEAF4"/>
          </w:tcPr>
          <w:p>
            <w:r>
              <w:rPr>
                <w:b/>
                <w:sz w:val="16"/>
              </w:rPr>
              <w:t>Demo</w:t>
            </w:r>
          </w:p>
        </w:tc>
      </w:tr>
      <w:tr>
        <w:tc>
          <w:tcPr>
            <w:tcW w:type="dxa" w:w="5083"/>
          </w:tcPr>
          <w:p>
            <w:pPr>
              <w:spacing w:after="0"/>
            </w:pPr>
            <w:r>
              <w:rPr>
                <w:sz w:val="16"/>
              </w:rPr>
              <w:t>0:00–0:25</w:t>
            </w:r>
          </w:p>
        </w:tc>
        <w:tc>
          <w:tcPr>
            <w:tcW w:type="dxa" w:w="5083"/>
          </w:tcPr>
          <w:p>
            <w:pPr>
              <w:spacing w:after="0"/>
            </w:pPr>
            <w:r>
              <w:rPr>
                <w:sz w:val="16"/>
              </w:rPr>
              <w:t>Open plant overview. Explain that this is synthetic CNC production data and show the selected incident.</w:t>
            </w:r>
          </w:p>
        </w:tc>
      </w:tr>
      <w:tr>
        <w:tc>
          <w:tcPr>
            <w:tcW w:type="dxa" w:w="5083"/>
          </w:tcPr>
          <w:p>
            <w:pPr>
              <w:spacing w:after="0"/>
            </w:pPr>
            <w:r>
              <w:rPr>
                <w:sz w:val="16"/>
              </w:rPr>
              <w:t>0:25–1:00</w:t>
            </w:r>
          </w:p>
        </w:tc>
        <w:tc>
          <w:tcPr>
            <w:tcW w:type="dxa" w:w="5083"/>
          </w:tcPr>
          <w:p>
            <w:pPr>
              <w:spacing w:after="0"/>
            </w:pPr>
            <w:r>
              <w:rPr>
                <w:sz w:val="16"/>
              </w:rPr>
              <w:t>Open CNC-03 incident. Show actual vs expected power, vibration, dimensional tolerance and the event timeline.</w:t>
            </w:r>
          </w:p>
        </w:tc>
      </w:tr>
      <w:tr>
        <w:tc>
          <w:tcPr>
            <w:tcW w:type="dxa" w:w="5083"/>
          </w:tcPr>
          <w:p>
            <w:pPr>
              <w:spacing w:after="0"/>
            </w:pPr>
            <w:r>
              <w:rPr>
                <w:sz w:val="16"/>
              </w:rPr>
              <w:t>1:00–1:45</w:t>
            </w:r>
          </w:p>
        </w:tc>
        <w:tc>
          <w:tcPr>
            <w:tcW w:type="dxa" w:w="5083"/>
          </w:tcPr>
          <w:p>
            <w:pPr>
              <w:spacing w:after="0"/>
            </w:pPr>
            <w:r>
              <w:rPr>
                <w:sz w:val="16"/>
              </w:rPr>
              <w:t>Run investigation. Show hypotheses with evidence for and against, uncertainty, SOP references and the next check. State that the cause is not yet confirmed.</w:t>
            </w:r>
          </w:p>
        </w:tc>
      </w:tr>
      <w:tr>
        <w:tc>
          <w:tcPr>
            <w:tcW w:type="dxa" w:w="5083"/>
          </w:tcPr>
          <w:p>
            <w:pPr>
              <w:spacing w:after="0"/>
            </w:pPr>
            <w:r>
              <w:rPr>
                <w:sz w:val="16"/>
              </w:rPr>
              <w:t>1:45–2:20</w:t>
            </w:r>
          </w:p>
        </w:tc>
        <w:tc>
          <w:tcPr>
            <w:tcW w:type="dxa" w:w="5083"/>
          </w:tcPr>
          <w:p>
            <w:pPr>
              <w:spacing w:after="0"/>
            </w:pPr>
            <w:r>
              <w:rPr>
                <w:sz w:val="16"/>
              </w:rPr>
              <w:t>Compare two simulated interventions. Open the calculation assumptions and approve one.</w:t>
            </w:r>
          </w:p>
        </w:tc>
      </w:tr>
      <w:tr>
        <w:tc>
          <w:tcPr>
            <w:tcW w:type="dxa" w:w="5083"/>
          </w:tcPr>
          <w:p>
            <w:pPr>
              <w:spacing w:after="0"/>
            </w:pPr>
            <w:r>
              <w:rPr>
                <w:sz w:val="16"/>
              </w:rPr>
              <w:t>2:20–2:50</w:t>
            </w:r>
          </w:p>
        </w:tc>
        <w:tc>
          <w:tcPr>
            <w:tcW w:type="dxa" w:w="5083"/>
          </w:tcPr>
          <w:p>
            <w:pPr>
              <w:spacing w:after="0"/>
            </w:pPr>
            <w:r>
              <w:rPr>
                <w:sz w:val="16"/>
              </w:rPr>
              <w:t>Run verification. Show whether the same checks passed. If unresolved, say so rather than pretending success.</w:t>
            </w:r>
          </w:p>
        </w:tc>
      </w:tr>
      <w:tr>
        <w:tc>
          <w:tcPr>
            <w:tcW w:type="dxa" w:w="5083"/>
          </w:tcPr>
          <w:p>
            <w:pPr>
              <w:spacing w:after="0"/>
            </w:pPr>
            <w:r>
              <w:rPr>
                <w:sz w:val="16"/>
              </w:rPr>
              <w:t>2:50–3:00</w:t>
            </w:r>
          </w:p>
        </w:tc>
        <w:tc>
          <w:tcPr>
            <w:tcW w:type="dxa" w:w="5083"/>
          </w:tcPr>
          <w:p>
            <w:pPr>
              <w:spacing w:after="0"/>
            </w:pPr>
            <w:r>
              <w:rPr>
                <w:sz w:val="16"/>
              </w:rPr>
              <w:t>Close: 'AshvaTrace turns energy waste into an early quality signal, helps engineers investigate with evidence, and verifies whether an approved action improved the process.'</w:t>
            </w:r>
          </w:p>
        </w:tc>
      </w:tr>
    </w:tbl>
    <w:p>
      <w:pPr>
        <w:spacing w:after="0"/>
      </w:pPr>
    </w:p>
    <w:p>
      <w:pPr>
        <w:pStyle w:val="Heading1"/>
      </w:pPr>
      <w:r>
        <w:t>18. Submission and operational checklist</w:t>
      </w:r>
    </w:p>
    <w:p>
      <w:pPr>
        <w:pStyle w:val="ListBullet"/>
        <w:spacing w:after="40"/>
      </w:pPr>
      <w:r>
        <w:t>Use AshvaTrace by Team Ashvamedh consistently in UI, metadata, repo, slides and video.</w:t>
      </w:r>
    </w:p>
    <w:p>
      <w:pPr>
        <w:pStyle w:val="ListBullet"/>
        <w:spacing w:after="40"/>
      </w:pPr>
      <w:r>
        <w:t>Deploy the cloud demo on Google Cloud Run, as required by the competition, while retaining a local-first runnable path.</w:t>
      </w:r>
    </w:p>
    <w:p>
      <w:pPr>
        <w:pStyle w:val="ListBullet"/>
        <w:spacing w:after="40"/>
      </w:pPr>
      <w:r>
        <w:t>Provide a README with local run, offline limitations, Gemma setup, Vertex AI setup and Cloud Run deployment.</w:t>
      </w:r>
    </w:p>
    <w:p>
      <w:pPr>
        <w:pStyle w:val="ListBullet"/>
        <w:spacing w:after="40"/>
      </w:pPr>
      <w:r>
        <w:t>Include synthetic dataset generator, separate ground truth, SOPs, event log and tests.</w:t>
      </w:r>
    </w:p>
    <w:p>
      <w:pPr>
        <w:pStyle w:val="ListBullet"/>
        <w:spacing w:after="40"/>
      </w:pPr>
      <w:r>
        <w:t>Export proposal PDF and publish the three-minute video with the requested access.</w:t>
      </w:r>
    </w:p>
    <w:p>
      <w:pPr>
        <w:pStyle w:val="ListBullet"/>
        <w:spacing w:after="40"/>
      </w:pPr>
      <w:r>
        <w:t>Show a visible disclaimer: 'Synthetic demonstration only. Impact figures are estimates based on stated assumptions. No real equipment is connected or controlled.'</w:t>
      </w:r>
    </w:p>
    <w:p>
      <w:pPr>
        <w:pStyle w:val="ListBullet"/>
        <w:spacing w:after="40"/>
      </w:pPr>
      <w:r>
        <w:t>Verify current submission rules and deadlines on the official portal before submitting.</w:t>
      </w:r>
    </w:p>
    <w:p>
      <w:pPr>
        <w:pStyle w:val="Heading1"/>
      </w:pPr>
      <w:r>
        <w:t>19. Glossary</w:t>
      </w:r>
    </w:p>
    <w:tbl>
      <w:tblPr>
        <w:tblStyle w:val="TableGrid"/>
        <w:tblW w:type="auto" w:w="0"/>
        <w:tblLook w:firstColumn="1" w:firstRow="1" w:lastColumn="0" w:lastRow="0" w:noHBand="0" w:noVBand="1" w:val="04A0"/>
      </w:tblPr>
      <w:tblGrid>
        <w:gridCol w:w="5083"/>
        <w:gridCol w:w="5083"/>
      </w:tblGrid>
      <w:tr>
        <w:tc>
          <w:tcPr>
            <w:tcW w:type="dxa" w:w="5083"/>
            <w:shd w:fill="DCEAF4"/>
          </w:tcPr>
          <w:p>
            <w:r>
              <w:rPr>
                <w:b/>
                <w:sz w:val="16"/>
              </w:rPr>
              <w:t>Term</w:t>
            </w:r>
          </w:p>
        </w:tc>
        <w:tc>
          <w:tcPr>
            <w:tcW w:type="dxa" w:w="5083"/>
            <w:shd w:fill="DCEAF4"/>
          </w:tcPr>
          <w:p>
            <w:r>
              <w:rPr>
                <w:b/>
                <w:sz w:val="16"/>
              </w:rPr>
              <w:t>Plain-language meaning</w:t>
            </w:r>
          </w:p>
        </w:tc>
      </w:tr>
      <w:tr>
        <w:tc>
          <w:tcPr>
            <w:tcW w:type="dxa" w:w="5083"/>
          </w:tcPr>
          <w:p>
            <w:pPr>
              <w:spacing w:after="0"/>
            </w:pPr>
            <w:r>
              <w:rPr>
                <w:sz w:val="16"/>
              </w:rPr>
              <w:t>Baseline</w:t>
            </w:r>
          </w:p>
        </w:tc>
        <w:tc>
          <w:tcPr>
            <w:tcW w:type="dxa" w:w="5083"/>
          </w:tcPr>
          <w:p>
            <w:pPr>
              <w:spacing w:after="0"/>
            </w:pPr>
            <w:r>
              <w:rPr>
                <w:sz w:val="16"/>
              </w:rPr>
              <w:t>What the machine should normally use under comparable conditions.</w:t>
            </w:r>
          </w:p>
        </w:tc>
      </w:tr>
      <w:tr>
        <w:tc>
          <w:tcPr>
            <w:tcW w:type="dxa" w:w="5083"/>
          </w:tcPr>
          <w:p>
            <w:pPr>
              <w:spacing w:after="0"/>
            </w:pPr>
            <w:r>
              <w:rPr>
                <w:sz w:val="16"/>
              </w:rPr>
              <w:t>Power (kW)</w:t>
            </w:r>
          </w:p>
        </w:tc>
        <w:tc>
          <w:tcPr>
            <w:tcW w:type="dxa" w:w="5083"/>
          </w:tcPr>
          <w:p>
            <w:pPr>
              <w:spacing w:after="0"/>
            </w:pPr>
            <w:r>
              <w:rPr>
                <w:sz w:val="16"/>
              </w:rPr>
              <w:t>Rate of energy use at a moment.</w:t>
            </w:r>
          </w:p>
        </w:tc>
      </w:tr>
      <w:tr>
        <w:tc>
          <w:tcPr>
            <w:tcW w:type="dxa" w:w="5083"/>
          </w:tcPr>
          <w:p>
            <w:pPr>
              <w:spacing w:after="0"/>
            </w:pPr>
            <w:r>
              <w:rPr>
                <w:sz w:val="16"/>
              </w:rPr>
              <w:t>Energy (kWh)</w:t>
            </w:r>
          </w:p>
        </w:tc>
        <w:tc>
          <w:tcPr>
            <w:tcW w:type="dxa" w:w="5083"/>
          </w:tcPr>
          <w:p>
            <w:pPr>
              <w:spacing w:after="0"/>
            </w:pPr>
            <w:r>
              <w:rPr>
                <w:sz w:val="16"/>
              </w:rPr>
              <w:t>Amount of energy used over a period.</w:t>
            </w:r>
          </w:p>
        </w:tc>
      </w:tr>
      <w:tr>
        <w:tc>
          <w:tcPr>
            <w:tcW w:type="dxa" w:w="5083"/>
          </w:tcPr>
          <w:p>
            <w:pPr>
              <w:spacing w:after="0"/>
            </w:pPr>
            <w:r>
              <w:rPr>
                <w:sz w:val="16"/>
              </w:rPr>
              <w:t>Energy per good part</w:t>
            </w:r>
          </w:p>
        </w:tc>
        <w:tc>
          <w:tcPr>
            <w:tcW w:type="dxa" w:w="5083"/>
          </w:tcPr>
          <w:p>
            <w:pPr>
              <w:spacing w:after="0"/>
            </w:pPr>
            <w:r>
              <w:rPr>
                <w:sz w:val="16"/>
              </w:rPr>
              <w:t>Energy used divided by the number of in-spec parts produced.</w:t>
            </w:r>
          </w:p>
        </w:tc>
      </w:tr>
      <w:tr>
        <w:tc>
          <w:tcPr>
            <w:tcW w:type="dxa" w:w="5083"/>
          </w:tcPr>
          <w:p>
            <w:pPr>
              <w:spacing w:after="0"/>
            </w:pPr>
            <w:r>
              <w:rPr>
                <w:sz w:val="16"/>
              </w:rPr>
              <w:t>Quality drift</w:t>
            </w:r>
          </w:p>
        </w:tc>
        <w:tc>
          <w:tcPr>
            <w:tcW w:type="dxa" w:w="5083"/>
          </w:tcPr>
          <w:p>
            <w:pPr>
              <w:spacing w:after="0"/>
            </w:pPr>
            <w:r>
              <w:rPr>
                <w:sz w:val="16"/>
              </w:rPr>
              <w:t>Part measurements gradually moving away from allowed limits.</w:t>
            </w:r>
          </w:p>
        </w:tc>
      </w:tr>
      <w:tr>
        <w:tc>
          <w:tcPr>
            <w:tcW w:type="dxa" w:w="5083"/>
          </w:tcPr>
          <w:p>
            <w:pPr>
              <w:spacing w:after="0"/>
            </w:pPr>
            <w:r>
              <w:rPr>
                <w:sz w:val="16"/>
              </w:rPr>
              <w:t>SOP</w:t>
            </w:r>
          </w:p>
        </w:tc>
        <w:tc>
          <w:tcPr>
            <w:tcW w:type="dxa" w:w="5083"/>
          </w:tcPr>
          <w:p>
            <w:pPr>
              <w:spacing w:after="0"/>
            </w:pPr>
            <w:r>
              <w:rPr>
                <w:sz w:val="16"/>
              </w:rPr>
              <w:t>Standard operating procedure: written instructions for a task.</w:t>
            </w:r>
          </w:p>
        </w:tc>
      </w:tr>
      <w:tr>
        <w:tc>
          <w:tcPr>
            <w:tcW w:type="dxa" w:w="5083"/>
          </w:tcPr>
          <w:p>
            <w:pPr>
              <w:spacing w:after="0"/>
            </w:pPr>
            <w:r>
              <w:rPr>
                <w:sz w:val="16"/>
              </w:rPr>
              <w:t>Hypothesis</w:t>
            </w:r>
          </w:p>
        </w:tc>
        <w:tc>
          <w:tcPr>
            <w:tcW w:type="dxa" w:w="5083"/>
          </w:tcPr>
          <w:p>
            <w:pPr>
              <w:spacing w:after="0"/>
            </w:pPr>
            <w:r>
              <w:rPr>
                <w:sz w:val="16"/>
              </w:rPr>
              <w:t>A possible explanation that still needs checking.</w:t>
            </w:r>
          </w:p>
        </w:tc>
      </w:tr>
      <w:tr>
        <w:tc>
          <w:tcPr>
            <w:tcW w:type="dxa" w:w="5083"/>
          </w:tcPr>
          <w:p>
            <w:pPr>
              <w:spacing w:after="0"/>
            </w:pPr>
            <w:r>
              <w:rPr>
                <w:sz w:val="16"/>
              </w:rPr>
              <w:t>Evidence pack</w:t>
            </w:r>
          </w:p>
        </w:tc>
        <w:tc>
          <w:tcPr>
            <w:tcW w:type="dxa" w:w="5083"/>
          </w:tcPr>
          <w:p>
            <w:pPr>
              <w:spacing w:after="0"/>
            </w:pPr>
            <w:r>
              <w:rPr>
                <w:sz w:val="16"/>
              </w:rPr>
              <w:t>Structured facts and source IDs used to investigate the incident.</w:t>
            </w:r>
          </w:p>
        </w:tc>
      </w:tr>
      <w:tr>
        <w:tc>
          <w:tcPr>
            <w:tcW w:type="dxa" w:w="5083"/>
          </w:tcPr>
          <w:p>
            <w:pPr>
              <w:spacing w:after="0"/>
            </w:pPr>
            <w:r>
              <w:rPr>
                <w:sz w:val="16"/>
              </w:rPr>
              <w:t>Local-first</w:t>
            </w:r>
          </w:p>
        </w:tc>
        <w:tc>
          <w:tcPr>
            <w:tcW w:type="dxa" w:w="5083"/>
          </w:tcPr>
          <w:p>
            <w:pPr>
              <w:spacing w:after="0"/>
            </w:pPr>
            <w:r>
              <w:rPr>
                <w:sz w:val="16"/>
              </w:rPr>
              <w:t>Core features work on the local machine/network; cloud is optional.</w:t>
            </w:r>
          </w:p>
        </w:tc>
      </w:tr>
      <w:tr>
        <w:tc>
          <w:tcPr>
            <w:tcW w:type="dxa" w:w="5083"/>
          </w:tcPr>
          <w:p>
            <w:pPr>
              <w:spacing w:after="0"/>
            </w:pPr>
            <w:r>
              <w:rPr>
                <w:sz w:val="16"/>
              </w:rPr>
              <w:t>Open-weight model</w:t>
            </w:r>
          </w:p>
        </w:tc>
        <w:tc>
          <w:tcPr>
            <w:tcW w:type="dxa" w:w="5083"/>
          </w:tcPr>
          <w:p>
            <w:pPr>
              <w:spacing w:after="0"/>
            </w:pPr>
            <w:r>
              <w:rPr>
                <w:sz w:val="16"/>
              </w:rPr>
              <w:t>A model whose weights are available under specified terms; not automatically OSI-certified open source.</w:t>
            </w:r>
          </w:p>
        </w:tc>
      </w:tr>
      <w:tr>
        <w:tc>
          <w:tcPr>
            <w:tcW w:type="dxa" w:w="5083"/>
          </w:tcPr>
          <w:p>
            <w:pPr>
              <w:spacing w:after="0"/>
            </w:pPr>
            <w:r>
              <w:rPr>
                <w:sz w:val="16"/>
              </w:rPr>
              <w:t>Human-in-the-loop</w:t>
            </w:r>
          </w:p>
        </w:tc>
        <w:tc>
          <w:tcPr>
            <w:tcW w:type="dxa" w:w="5083"/>
          </w:tcPr>
          <w:p>
            <w:pPr>
              <w:spacing w:after="0"/>
            </w:pPr>
            <w:r>
              <w:rPr>
                <w:sz w:val="16"/>
              </w:rPr>
              <w:t>A person reviews and approves an action.</w:t>
            </w:r>
          </w:p>
        </w:tc>
      </w:tr>
      <w:tr>
        <w:tc>
          <w:tcPr>
            <w:tcW w:type="dxa" w:w="5083"/>
          </w:tcPr>
          <w:p>
            <w:pPr>
              <w:spacing w:after="0"/>
            </w:pPr>
            <w:r>
              <w:rPr>
                <w:sz w:val="16"/>
              </w:rPr>
              <w:t>Verification</w:t>
            </w:r>
          </w:p>
        </w:tc>
        <w:tc>
          <w:tcPr>
            <w:tcW w:type="dxa" w:w="5083"/>
          </w:tcPr>
          <w:p>
            <w:pPr>
              <w:spacing w:after="0"/>
            </w:pPr>
            <w:r>
              <w:rPr>
                <w:sz w:val="16"/>
              </w:rPr>
              <w:t>Checking measurements after an action to see whether it helped.</w:t>
            </w:r>
          </w:p>
        </w:tc>
      </w:tr>
    </w:tbl>
    <w:p>
      <w:pPr>
        <w:spacing w:after="0"/>
      </w:pPr>
    </w:p>
    <w:p>
      <w:pPr>
        <w:pStyle w:val="Heading1"/>
      </w:pPr>
      <w:r>
        <w:t>20. Final product principle</w:t>
      </w:r>
    </w:p>
    <w:p>
      <w:pPr>
        <w:spacing w:after="80"/>
      </w:pPr>
      <w:r>
        <w:t>Build for the engineer who must make a decision, not for a judge looking at a collection of AI features. AshvaTrace should work without cloud for its core measurements, be honest when AI is unavailable, keep the AI grounded in traceable evidence, and verify outcomes using deterministic calculations.</w:t>
      </w:r>
    </w:p>
    <w:p>
      <w:pPr>
        <w:spacing w:after="80"/>
      </w:pPr>
      <w:r>
        <w:t>Competition references: https://aibuildercup.com/ and https://aibuildercup.com/themes.html</w:t>
      </w:r>
    </w:p>
    <w:p>
      <w:pPr>
        <w:spacing w:after="80"/>
      </w:pPr>
      <w:r>
        <w:t>Google Gemma references: https://ai.google.dev/gemma/docs ; https://ai.google.dev/gemma/docs/integrations/web ; https://ai.google.dev/gemma/docs/run</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7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356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