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62F2" w14:textId="3C57D044" w:rsidR="00792546" w:rsidRPr="002E796D" w:rsidRDefault="00CD6E58" w:rsidP="00792546">
      <w:pPr>
        <w:pStyle w:val="Title"/>
        <w:spacing w:before="720" w:line="276" w:lineRule="auto"/>
        <w:rPr>
          <w:sz w:val="68"/>
        </w:rPr>
      </w:pPr>
      <w:r>
        <w:rPr>
          <w:sz w:val="68"/>
        </w:rPr>
        <w:t xml:space="preserve">Analysing the </w:t>
      </w:r>
      <w:r w:rsidR="00832C65">
        <w:rPr>
          <w:sz w:val="68"/>
        </w:rPr>
        <w:t>Transition away from Coal</w:t>
      </w:r>
      <w:r>
        <w:rPr>
          <w:sz w:val="68"/>
        </w:rPr>
        <w:t xml:space="preserve"> in South Africa using a </w:t>
      </w:r>
      <w:r w:rsidR="009D1319">
        <w:rPr>
          <w:sz w:val="68"/>
        </w:rPr>
        <w:t>L</w:t>
      </w:r>
      <w:r>
        <w:rPr>
          <w:sz w:val="68"/>
        </w:rPr>
        <w:t xml:space="preserve">inked </w:t>
      </w:r>
      <w:r w:rsidR="009D1319">
        <w:rPr>
          <w:sz w:val="68"/>
        </w:rPr>
        <w:t>E</w:t>
      </w:r>
      <w:r>
        <w:rPr>
          <w:sz w:val="68"/>
        </w:rPr>
        <w:t>nergy-</w:t>
      </w:r>
      <w:r w:rsidR="009D1319">
        <w:rPr>
          <w:sz w:val="68"/>
        </w:rPr>
        <w:t>E</w:t>
      </w:r>
      <w:r>
        <w:rPr>
          <w:sz w:val="68"/>
        </w:rPr>
        <w:t xml:space="preserve">conomic </w:t>
      </w:r>
      <w:r w:rsidR="009D1319">
        <w:rPr>
          <w:sz w:val="68"/>
        </w:rPr>
        <w:t>M</w:t>
      </w:r>
      <w:bookmarkStart w:id="0" w:name="_GoBack"/>
      <w:bookmarkEnd w:id="0"/>
      <w:r>
        <w:rPr>
          <w:sz w:val="68"/>
        </w:rPr>
        <w:t>odel</w:t>
      </w:r>
    </w:p>
    <w:p w14:paraId="4A1905FA" w14:textId="18ADF5F3" w:rsidR="00792546" w:rsidRPr="00792546" w:rsidRDefault="00716DC9" w:rsidP="00792546">
      <w:pPr>
        <w:pStyle w:val="AuthorNames"/>
        <w:rPr>
          <w:b/>
        </w:rPr>
      </w:pPr>
      <w:bookmarkStart w:id="1" w:name="_Toc508797956"/>
      <w:r w:rsidRPr="00716DC9">
        <w:rPr>
          <w:b/>
        </w:rPr>
        <w:t>Bruno Merven, Faaiqa Hartley, Bryce McCall, Jesse Burton and Jules Schers</w:t>
      </w:r>
    </w:p>
    <w:p w14:paraId="409E806A" w14:textId="77777777" w:rsidR="00203371" w:rsidRPr="001B5F12" w:rsidRDefault="00203371" w:rsidP="001B5C26">
      <w:pPr>
        <w:pStyle w:val="Heading1"/>
        <w:numPr>
          <w:ilvl w:val="0"/>
          <w:numId w:val="0"/>
        </w:numPr>
        <w:rPr>
          <w:lang w:val="en-GB"/>
        </w:rPr>
      </w:pPr>
      <w:r w:rsidRPr="001B5F12">
        <w:rPr>
          <w:lang w:val="en-GB"/>
        </w:rPr>
        <w:t>Abstract</w:t>
      </w:r>
      <w:bookmarkEnd w:id="1"/>
    </w:p>
    <w:p w14:paraId="3D6F636E" w14:textId="0EBC2324" w:rsidR="00203371" w:rsidRPr="00203371" w:rsidRDefault="002461D6" w:rsidP="00403748">
      <w:pPr>
        <w:sectPr w:rsidR="00203371" w:rsidRPr="00203371" w:rsidSect="0022732C">
          <w:headerReference w:type="first" r:id="rId8"/>
          <w:pgSz w:w="11907" w:h="16840" w:code="9"/>
          <w:pgMar w:top="1701" w:right="1418" w:bottom="1440" w:left="1418" w:header="720" w:footer="720" w:gutter="0"/>
          <w:cols w:space="720"/>
          <w:titlePg/>
          <w:docGrid w:linePitch="360"/>
        </w:sectPr>
      </w:pPr>
      <w:r w:rsidRPr="002461D6">
        <w:rPr>
          <w:rFonts w:ascii="Calibri" w:eastAsia="Calibri" w:hAnsi="Calibri" w:cs="Calibri"/>
        </w:rPr>
        <w:t xml:space="preserve">In this paper an improved energy-economic model is used to analyse the transition away from coal and toward renewable energy in South Africa. The model enhancements presented in this paper allow for a more accurate assessment of changing coal costs on potential energy and emissions pathways for South Africa. The better representation of the coal sector provides insights on the timing and magnitude of coal mine and power plant retirements, which are a crucial part of information in developing policies required to ameliorate any negative impacts resulting from the energy transition. These negative impacts currently form a social obstacle to change in energy policy. </w:t>
      </w:r>
      <w:r w:rsidR="004C15F3">
        <w:rPr>
          <w:rFonts w:ascii="Calibri" w:eastAsia="Calibri" w:hAnsi="Calibri" w:cs="Calibri"/>
        </w:rPr>
        <w:t xml:space="preserve">To illustrate the model advances two potential power generation </w:t>
      </w:r>
      <w:r w:rsidR="007F5589">
        <w:rPr>
          <w:rFonts w:ascii="Calibri" w:eastAsia="Calibri" w:hAnsi="Calibri" w:cs="Calibri"/>
        </w:rPr>
        <w:t>pathways</w:t>
      </w:r>
      <w:r w:rsidR="004C15F3">
        <w:rPr>
          <w:rFonts w:ascii="Calibri" w:eastAsia="Calibri" w:hAnsi="Calibri" w:cs="Calibri"/>
        </w:rPr>
        <w:t xml:space="preserve"> for South Africa</w:t>
      </w:r>
      <w:r w:rsidR="00C0605A">
        <w:rPr>
          <w:rFonts w:ascii="Calibri" w:eastAsia="Calibri" w:hAnsi="Calibri" w:cs="Calibri"/>
        </w:rPr>
        <w:t xml:space="preserve"> are compared</w:t>
      </w:r>
      <w:r w:rsidR="004C15F3">
        <w:rPr>
          <w:rFonts w:ascii="Calibri" w:eastAsia="Calibri" w:hAnsi="Calibri" w:cs="Calibri"/>
        </w:rPr>
        <w:t>: a least-cost energy mix</w:t>
      </w:r>
      <w:r w:rsidR="007F5589">
        <w:rPr>
          <w:rFonts w:ascii="Calibri" w:eastAsia="Calibri" w:hAnsi="Calibri" w:cs="Calibri"/>
        </w:rPr>
        <w:t xml:space="preserve"> which does not include new coal power plants;</w:t>
      </w:r>
      <w:r w:rsidR="004C15F3">
        <w:rPr>
          <w:rFonts w:ascii="Calibri" w:eastAsia="Calibri" w:hAnsi="Calibri" w:cs="Calibri"/>
        </w:rPr>
        <w:t xml:space="preserve"> and one where renewable capacity in the power sector is constrained</w:t>
      </w:r>
      <w:r w:rsidR="00C0605A">
        <w:rPr>
          <w:rFonts w:ascii="Calibri" w:eastAsia="Calibri" w:hAnsi="Calibri" w:cs="Calibri"/>
        </w:rPr>
        <w:t>,</w:t>
      </w:r>
      <w:r w:rsidR="007F5589">
        <w:rPr>
          <w:rFonts w:ascii="Calibri" w:eastAsia="Calibri" w:hAnsi="Calibri" w:cs="Calibri"/>
        </w:rPr>
        <w:t xml:space="preserve"> resulting in ~25GW new coal</w:t>
      </w:r>
      <w:r w:rsidR="00C0605A">
        <w:rPr>
          <w:rFonts w:ascii="Calibri" w:eastAsia="Calibri" w:hAnsi="Calibri" w:cs="Calibri"/>
        </w:rPr>
        <w:t>-fired</w:t>
      </w:r>
      <w:r w:rsidR="007F5589">
        <w:rPr>
          <w:rFonts w:ascii="Calibri" w:eastAsia="Calibri" w:hAnsi="Calibri" w:cs="Calibri"/>
        </w:rPr>
        <w:t xml:space="preserve"> power plant capacity</w:t>
      </w:r>
      <w:r w:rsidR="004C15F3">
        <w:rPr>
          <w:rFonts w:ascii="Calibri" w:eastAsia="Calibri" w:hAnsi="Calibri" w:cs="Calibri"/>
        </w:rPr>
        <w:t xml:space="preserve">. </w:t>
      </w:r>
      <w:r w:rsidR="007F5589">
        <w:rPr>
          <w:rFonts w:ascii="Calibri" w:eastAsia="Calibri" w:hAnsi="Calibri" w:cs="Calibri"/>
        </w:rPr>
        <w:t>A comparison of these scenarios show</w:t>
      </w:r>
      <w:r w:rsidR="00C0605A">
        <w:rPr>
          <w:rFonts w:ascii="Calibri" w:eastAsia="Calibri" w:hAnsi="Calibri" w:cs="Calibri"/>
        </w:rPr>
        <w:t>s</w:t>
      </w:r>
      <w:r w:rsidR="007F5589">
        <w:rPr>
          <w:rFonts w:ascii="Calibri" w:eastAsia="Calibri" w:hAnsi="Calibri" w:cs="Calibri"/>
        </w:rPr>
        <w:t xml:space="preserve"> that</w:t>
      </w:r>
      <w:r w:rsidR="00C0605A">
        <w:rPr>
          <w:rFonts w:ascii="Calibri" w:eastAsia="Calibri" w:hAnsi="Calibri" w:cs="Calibri"/>
        </w:rPr>
        <w:t>,</w:t>
      </w:r>
      <w:r w:rsidR="007F5589">
        <w:rPr>
          <w:rFonts w:ascii="Calibri" w:eastAsia="Calibri" w:hAnsi="Calibri" w:cs="Calibri"/>
        </w:rPr>
        <w:t xml:space="preserve"> </w:t>
      </w:r>
      <w:r w:rsidR="007F5589" w:rsidRPr="004C15F3">
        <w:rPr>
          <w:rFonts w:ascii="Calibri" w:eastAsia="Calibri" w:hAnsi="Calibri" w:cs="Calibri"/>
        </w:rPr>
        <w:t>with rising coal costs and lower coal export demand, persisting with coal-based power generation does not “save jobs” in South Africa at the aggregate level</w:t>
      </w:r>
      <w:r w:rsidR="00C0605A">
        <w:rPr>
          <w:rFonts w:ascii="Calibri" w:eastAsia="Calibri" w:hAnsi="Calibri" w:cs="Calibri"/>
        </w:rPr>
        <w:t>,</w:t>
      </w:r>
      <w:r w:rsidR="007F5589">
        <w:rPr>
          <w:rFonts w:ascii="Calibri" w:eastAsia="Calibri" w:hAnsi="Calibri" w:cs="Calibri"/>
        </w:rPr>
        <w:t xml:space="preserve"> as higher power investment is required in the constrained scenario. This</w:t>
      </w:r>
      <w:r w:rsidR="00C0605A">
        <w:rPr>
          <w:rFonts w:ascii="Calibri" w:eastAsia="Calibri" w:hAnsi="Calibri" w:cs="Calibri"/>
        </w:rPr>
        <w:t>,</w:t>
      </w:r>
      <w:r w:rsidR="007F5589">
        <w:rPr>
          <w:rFonts w:ascii="Calibri" w:eastAsia="Calibri" w:hAnsi="Calibri" w:cs="Calibri"/>
        </w:rPr>
        <w:t xml:space="preserve"> combined with the higher electricity price experienced in the constrained scenario</w:t>
      </w:r>
      <w:r w:rsidR="00C0605A">
        <w:rPr>
          <w:rFonts w:ascii="Calibri" w:eastAsia="Calibri" w:hAnsi="Calibri" w:cs="Calibri"/>
        </w:rPr>
        <w:t>,</w:t>
      </w:r>
      <w:r w:rsidR="007F5589">
        <w:rPr>
          <w:rFonts w:ascii="Calibri" w:eastAsia="Calibri" w:hAnsi="Calibri" w:cs="Calibri"/>
        </w:rPr>
        <w:t xml:space="preserve"> </w:t>
      </w:r>
      <w:r w:rsidR="004C15F3" w:rsidRPr="004C15F3">
        <w:rPr>
          <w:rFonts w:ascii="Calibri" w:eastAsia="Calibri" w:hAnsi="Calibri" w:cs="Calibri"/>
        </w:rPr>
        <w:t>negatively affect</w:t>
      </w:r>
      <w:r w:rsidR="007F5589">
        <w:rPr>
          <w:rFonts w:ascii="Calibri" w:eastAsia="Calibri" w:hAnsi="Calibri" w:cs="Calibri"/>
        </w:rPr>
        <w:t>s the rest of the economy</w:t>
      </w:r>
      <w:r w:rsidR="00C0605A">
        <w:rPr>
          <w:rFonts w:ascii="Calibri" w:eastAsia="Calibri" w:hAnsi="Calibri" w:cs="Calibri"/>
        </w:rPr>
        <w:t>,</w:t>
      </w:r>
      <w:r w:rsidR="007F5589">
        <w:rPr>
          <w:rFonts w:ascii="Calibri" w:eastAsia="Calibri" w:hAnsi="Calibri" w:cs="Calibri"/>
        </w:rPr>
        <w:t xml:space="preserve"> offsetting any positive gains from continued coal-based power generation.</w:t>
      </w:r>
    </w:p>
    <w:p w14:paraId="593A3E21" w14:textId="59723C3A" w:rsidR="001255FD" w:rsidRPr="00202EE7" w:rsidRDefault="001255FD" w:rsidP="00202EE7">
      <w:pPr>
        <w:pStyle w:val="Heading1"/>
        <w:spacing w:line="276" w:lineRule="auto"/>
      </w:pPr>
      <w:r w:rsidRPr="00202EE7">
        <w:lastRenderedPageBreak/>
        <w:t>Introduction</w:t>
      </w:r>
    </w:p>
    <w:p w14:paraId="78B562D9" w14:textId="40E8CAE8" w:rsidR="00716DC9" w:rsidRPr="00AA42A0" w:rsidRDefault="00716DC9" w:rsidP="00716DC9">
      <w:pPr>
        <w:spacing w:after="160"/>
        <w:rPr>
          <w:rFonts w:ascii="Calibri" w:eastAsia="Calibri" w:hAnsi="Calibri" w:cs="Calibri"/>
        </w:rPr>
      </w:pPr>
      <w:r>
        <w:rPr>
          <w:rFonts w:ascii="Calibri" w:eastAsia="Calibri" w:hAnsi="Calibri" w:cs="Calibri"/>
        </w:rPr>
        <w:t>Least</w:t>
      </w:r>
      <w:r w:rsidR="00C0605A">
        <w:rPr>
          <w:rFonts w:ascii="Calibri" w:eastAsia="Calibri" w:hAnsi="Calibri" w:cs="Calibri"/>
        </w:rPr>
        <w:t>-</w:t>
      </w:r>
      <w:r>
        <w:rPr>
          <w:rFonts w:ascii="Calibri" w:eastAsia="Calibri" w:hAnsi="Calibri" w:cs="Calibri"/>
        </w:rPr>
        <w:t xml:space="preserve">cost power and energy system </w:t>
      </w:r>
      <w:r w:rsidR="00C0605A">
        <w:rPr>
          <w:rFonts w:ascii="Calibri" w:eastAsia="Calibri" w:hAnsi="Calibri" w:cs="Calibri"/>
        </w:rPr>
        <w:t xml:space="preserve">optimization </w:t>
      </w:r>
      <w:r>
        <w:rPr>
          <w:rFonts w:ascii="Calibri" w:eastAsia="Calibri" w:hAnsi="Calibri" w:cs="Calibri"/>
        </w:rPr>
        <w:t xml:space="preserve">models are useful for </w:t>
      </w:r>
      <w:r w:rsidR="00BD1738">
        <w:rPr>
          <w:rFonts w:ascii="Calibri" w:eastAsia="Calibri" w:hAnsi="Calibri" w:cs="Calibri"/>
        </w:rPr>
        <w:t>energy</w:t>
      </w:r>
      <w:r>
        <w:rPr>
          <w:rFonts w:ascii="Calibri" w:eastAsia="Calibri" w:hAnsi="Calibri" w:cs="Calibri"/>
        </w:rPr>
        <w:t xml:space="preserve"> planning needs</w:t>
      </w:r>
      <w:r w:rsidR="00C0605A">
        <w:rPr>
          <w:rFonts w:ascii="Calibri" w:eastAsia="Calibri" w:hAnsi="Calibri" w:cs="Calibri"/>
        </w:rPr>
        <w:t>,</w:t>
      </w:r>
      <w:r>
        <w:rPr>
          <w:rFonts w:ascii="Calibri" w:eastAsia="Calibri" w:hAnsi="Calibri" w:cs="Calibri"/>
        </w:rPr>
        <w:t xml:space="preserve"> as </w:t>
      </w:r>
      <w:r w:rsidR="00C0605A">
        <w:rPr>
          <w:rFonts w:ascii="Calibri" w:eastAsia="Calibri" w:hAnsi="Calibri" w:cs="Calibri"/>
        </w:rPr>
        <w:t>they</w:t>
      </w:r>
      <w:r>
        <w:rPr>
          <w:rFonts w:ascii="Calibri" w:eastAsia="Calibri" w:hAnsi="Calibri" w:cs="Calibri"/>
        </w:rPr>
        <w:t xml:space="preserve"> trade off the costs and benefits of various energy technologies such that a least-cost solution for energy production to meet demand can be obtained. Generally, these models include a single price for coal or coal type which captures the average cost of coal. In South Africa, coal is used by various sectors including the power and refiner</w:t>
      </w:r>
      <w:r w:rsidR="00C0605A">
        <w:rPr>
          <w:rFonts w:ascii="Calibri" w:eastAsia="Calibri" w:hAnsi="Calibri" w:cs="Calibri"/>
        </w:rPr>
        <w:t>y</w:t>
      </w:r>
      <w:r>
        <w:rPr>
          <w:rFonts w:ascii="Calibri" w:eastAsia="Calibri" w:hAnsi="Calibri" w:cs="Calibri"/>
        </w:rPr>
        <w:t xml:space="preserve"> sectors as well as </w:t>
      </w:r>
      <w:proofErr w:type="gramStart"/>
      <w:r>
        <w:rPr>
          <w:rFonts w:ascii="Calibri" w:eastAsia="Calibri" w:hAnsi="Calibri" w:cs="Calibri"/>
        </w:rPr>
        <w:t>industry</w:t>
      </w:r>
      <w:r w:rsidR="00E941DB">
        <w:rPr>
          <w:rFonts w:ascii="Calibri" w:eastAsia="Calibri" w:hAnsi="Calibri" w:cs="Calibri"/>
        </w:rPr>
        <w:t>,</w:t>
      </w:r>
      <w:r>
        <w:rPr>
          <w:rFonts w:ascii="Calibri" w:eastAsia="Calibri" w:hAnsi="Calibri" w:cs="Calibri"/>
        </w:rPr>
        <w:t xml:space="preserve"> and</w:t>
      </w:r>
      <w:proofErr w:type="gramEnd"/>
      <w:r>
        <w:rPr>
          <w:rFonts w:ascii="Calibri" w:eastAsia="Calibri" w:hAnsi="Calibri" w:cs="Calibri"/>
        </w:rPr>
        <w:t xml:space="preserve"> is also sold </w:t>
      </w:r>
      <w:r w:rsidR="00C0605A">
        <w:rPr>
          <w:rFonts w:ascii="Calibri" w:eastAsia="Calibri" w:hAnsi="Calibri" w:cs="Calibri"/>
        </w:rPr>
        <w:t>in</w:t>
      </w:r>
      <w:r>
        <w:rPr>
          <w:rFonts w:ascii="Calibri" w:eastAsia="Calibri" w:hAnsi="Calibri" w:cs="Calibri"/>
        </w:rPr>
        <w:t xml:space="preserve"> the international market. Studies using these models to obtain energy pathways for South Africa, and which concur on the shift away from coal toward renewable energy, have therefore considered average costs to various users</w:t>
      </w:r>
      <w:r w:rsidR="00C0605A">
        <w:rPr>
          <w:rFonts w:ascii="Calibri" w:eastAsia="Calibri" w:hAnsi="Calibri" w:cs="Calibri"/>
        </w:rPr>
        <w:t>,</w:t>
      </w:r>
      <w:r>
        <w:rPr>
          <w:rFonts w:ascii="Calibri" w:eastAsia="Calibri" w:hAnsi="Calibri" w:cs="Calibri"/>
        </w:rPr>
        <w:t xml:space="preserve"> including the power sector</w:t>
      </w:r>
      <w:r w:rsidR="00C0605A">
        <w:rPr>
          <w:rFonts w:ascii="Calibri" w:eastAsia="Calibri" w:hAnsi="Calibri" w:cs="Calibri"/>
        </w:rPr>
        <w:t>,</w:t>
      </w:r>
      <w:r>
        <w:rPr>
          <w:rFonts w:ascii="Calibri" w:eastAsia="Calibri" w:hAnsi="Calibri" w:cs="Calibri"/>
        </w:rPr>
        <w:t xml:space="preserve"> in their analysis of potential energy pathways </w:t>
      </w:r>
      <w:r w:rsidRPr="00AA42A0">
        <w:rPr>
          <w:rFonts w:ascii="Calibri" w:eastAsia="Calibri" w:hAnsi="Calibri" w:cs="Calibri"/>
        </w:rPr>
        <w:t xml:space="preserve">for the country (see </w:t>
      </w:r>
      <w:r w:rsidR="00F34D7B" w:rsidRPr="00AA42A0">
        <w:rPr>
          <w:rFonts w:ascii="Calibri" w:eastAsia="Calibri" w:hAnsi="Calibri" w:cs="Calibri"/>
        </w:rPr>
        <w:t xml:space="preserve">Merven et al., 2018; Wright et al., </w:t>
      </w:r>
      <w:r w:rsidR="00AA42A0" w:rsidRPr="00AA42A0">
        <w:rPr>
          <w:rFonts w:ascii="Calibri" w:eastAsia="Calibri" w:hAnsi="Calibri" w:cs="Calibri"/>
        </w:rPr>
        <w:t>2017</w:t>
      </w:r>
      <w:r w:rsidR="00F34D7B" w:rsidRPr="00AA42A0">
        <w:rPr>
          <w:rFonts w:ascii="Calibri" w:eastAsia="Calibri" w:hAnsi="Calibri" w:cs="Calibri"/>
        </w:rPr>
        <w:t>; Reber et al., 2018</w:t>
      </w:r>
      <w:r w:rsidRPr="00AA42A0">
        <w:rPr>
          <w:rFonts w:ascii="Calibri" w:eastAsia="Calibri" w:hAnsi="Calibri" w:cs="Calibri"/>
        </w:rPr>
        <w:t>).</w:t>
      </w:r>
    </w:p>
    <w:p w14:paraId="08B7DDDA" w14:textId="156C5A2A" w:rsidR="00716DC9" w:rsidRDefault="00716DC9" w:rsidP="00BB0B7E">
      <w:pPr>
        <w:spacing w:after="160"/>
        <w:rPr>
          <w:rFonts w:ascii="Calibri" w:eastAsia="Calibri" w:hAnsi="Calibri" w:cs="Calibri"/>
        </w:rPr>
      </w:pPr>
      <w:r>
        <w:rPr>
          <w:rFonts w:ascii="Calibri" w:eastAsia="Calibri" w:hAnsi="Calibri" w:cs="Calibri"/>
        </w:rPr>
        <w:t xml:space="preserve">While this type of analysis is useful </w:t>
      </w:r>
      <w:r w:rsidR="00D16C1F">
        <w:rPr>
          <w:rFonts w:ascii="Calibri" w:eastAsia="Calibri" w:hAnsi="Calibri" w:cs="Calibri"/>
        </w:rPr>
        <w:t>in demonstrat</w:t>
      </w:r>
      <w:r w:rsidR="00C0605A">
        <w:rPr>
          <w:rFonts w:ascii="Calibri" w:eastAsia="Calibri" w:hAnsi="Calibri" w:cs="Calibri"/>
        </w:rPr>
        <w:t>ing</w:t>
      </w:r>
      <w:r>
        <w:rPr>
          <w:rFonts w:ascii="Calibri" w:eastAsia="Calibri" w:hAnsi="Calibri" w:cs="Calibri"/>
        </w:rPr>
        <w:t xml:space="preserve"> </w:t>
      </w:r>
      <w:r w:rsidR="00D16C1F">
        <w:rPr>
          <w:rFonts w:ascii="Calibri" w:eastAsia="Calibri" w:hAnsi="Calibri" w:cs="Calibri"/>
        </w:rPr>
        <w:t xml:space="preserve">the </w:t>
      </w:r>
      <w:r>
        <w:rPr>
          <w:rFonts w:ascii="Calibri" w:eastAsia="Calibri" w:hAnsi="Calibri" w:cs="Calibri"/>
        </w:rPr>
        <w:t xml:space="preserve">impact of changing costs for coal-based power production technologies that can be compared to other technologies, </w:t>
      </w:r>
      <w:r w:rsidR="00C0605A">
        <w:rPr>
          <w:rFonts w:ascii="Calibri" w:eastAsia="Calibri" w:hAnsi="Calibri" w:cs="Calibri"/>
        </w:rPr>
        <w:t>it</w:t>
      </w:r>
      <w:r>
        <w:rPr>
          <w:rFonts w:ascii="Calibri" w:eastAsia="Calibri" w:hAnsi="Calibri" w:cs="Calibri"/>
        </w:rPr>
        <w:t xml:space="preserve"> may over- or under-estimate the costs attributed to different </w:t>
      </w:r>
      <w:r w:rsidR="00D16C1F">
        <w:rPr>
          <w:rFonts w:ascii="Calibri" w:eastAsia="Calibri" w:hAnsi="Calibri" w:cs="Calibri"/>
        </w:rPr>
        <w:t xml:space="preserve">end-users, including </w:t>
      </w:r>
      <w:r>
        <w:rPr>
          <w:rFonts w:ascii="Calibri" w:eastAsia="Calibri" w:hAnsi="Calibri" w:cs="Calibri"/>
        </w:rPr>
        <w:t xml:space="preserve">power stations. </w:t>
      </w:r>
      <w:r w:rsidR="00D16C1F">
        <w:rPr>
          <w:rFonts w:ascii="Calibri" w:eastAsia="Calibri" w:hAnsi="Calibri" w:cs="Calibri"/>
        </w:rPr>
        <w:t>C</w:t>
      </w:r>
      <w:r>
        <w:rPr>
          <w:rFonts w:ascii="Calibri" w:eastAsia="Calibri" w:hAnsi="Calibri" w:cs="Calibri"/>
        </w:rPr>
        <w:t>oal costs differ based on the</w:t>
      </w:r>
      <w:r w:rsidR="00D16C1F">
        <w:rPr>
          <w:rFonts w:ascii="Calibri" w:eastAsia="Calibri" w:hAnsi="Calibri" w:cs="Calibri"/>
        </w:rPr>
        <w:t xml:space="preserve"> product </w:t>
      </w:r>
      <w:r>
        <w:rPr>
          <w:rFonts w:ascii="Calibri" w:eastAsia="Calibri" w:hAnsi="Calibri" w:cs="Calibri"/>
        </w:rPr>
        <w:t>source (costs of production of various mines), the types of contracting arrangements</w:t>
      </w:r>
      <w:r w:rsidR="00D16C1F">
        <w:rPr>
          <w:rFonts w:ascii="Calibri" w:eastAsia="Calibri" w:hAnsi="Calibri" w:cs="Calibri"/>
        </w:rPr>
        <w:t xml:space="preserve"> in place,</w:t>
      </w:r>
      <w:r>
        <w:rPr>
          <w:rFonts w:ascii="Calibri" w:eastAsia="Calibri" w:hAnsi="Calibri" w:cs="Calibri"/>
        </w:rPr>
        <w:t xml:space="preserve"> and </w:t>
      </w:r>
      <w:r w:rsidR="00D16C1F">
        <w:rPr>
          <w:rFonts w:ascii="Calibri" w:eastAsia="Calibri" w:hAnsi="Calibri" w:cs="Calibri"/>
        </w:rPr>
        <w:t xml:space="preserve">mode and distance of transport </w:t>
      </w:r>
      <w:r>
        <w:rPr>
          <w:rFonts w:ascii="Calibri" w:eastAsia="Calibri" w:hAnsi="Calibri" w:cs="Calibri"/>
        </w:rPr>
        <w:t>to the</w:t>
      </w:r>
      <w:r w:rsidR="00D16C1F">
        <w:rPr>
          <w:rFonts w:ascii="Calibri" w:eastAsia="Calibri" w:hAnsi="Calibri" w:cs="Calibri"/>
        </w:rPr>
        <w:t xml:space="preserve"> end-user</w:t>
      </w:r>
      <w:r>
        <w:rPr>
          <w:rFonts w:ascii="Calibri" w:eastAsia="Calibri" w:hAnsi="Calibri" w:cs="Calibri"/>
        </w:rPr>
        <w:t xml:space="preserve">. Differences in coal costs may affect which existing or new power stations are included in </w:t>
      </w:r>
      <w:r w:rsidR="00636F9D">
        <w:rPr>
          <w:rFonts w:ascii="Calibri" w:eastAsia="Calibri" w:hAnsi="Calibri" w:cs="Calibri"/>
        </w:rPr>
        <w:t xml:space="preserve">future </w:t>
      </w:r>
      <w:r>
        <w:rPr>
          <w:rFonts w:ascii="Calibri" w:eastAsia="Calibri" w:hAnsi="Calibri" w:cs="Calibri"/>
        </w:rPr>
        <w:t>energy pathway</w:t>
      </w:r>
      <w:r w:rsidR="00636F9D">
        <w:rPr>
          <w:rFonts w:ascii="Calibri" w:eastAsia="Calibri" w:hAnsi="Calibri" w:cs="Calibri"/>
        </w:rPr>
        <w:t>s</w:t>
      </w:r>
      <w:r>
        <w:rPr>
          <w:rFonts w:ascii="Calibri" w:eastAsia="Calibri" w:hAnsi="Calibri" w:cs="Calibri"/>
        </w:rPr>
        <w:t xml:space="preserve"> and</w:t>
      </w:r>
      <w:r w:rsidR="00636F9D">
        <w:rPr>
          <w:rFonts w:ascii="Calibri" w:eastAsia="Calibri" w:hAnsi="Calibri" w:cs="Calibri"/>
        </w:rPr>
        <w:t xml:space="preserve"> impact</w:t>
      </w:r>
      <w:r w:rsidR="00D16C1F">
        <w:rPr>
          <w:rFonts w:ascii="Calibri" w:eastAsia="Calibri" w:hAnsi="Calibri" w:cs="Calibri"/>
        </w:rPr>
        <w:t xml:space="preserve"> their lifetime</w:t>
      </w:r>
      <w:r w:rsidR="00636F9D">
        <w:rPr>
          <w:rFonts w:ascii="Calibri" w:eastAsia="Calibri" w:hAnsi="Calibri" w:cs="Calibri"/>
        </w:rPr>
        <w:t xml:space="preserve"> and load factors</w:t>
      </w:r>
      <w:r>
        <w:rPr>
          <w:rFonts w:ascii="Calibri" w:eastAsia="Calibri" w:hAnsi="Calibri" w:cs="Calibri"/>
        </w:rPr>
        <w:t xml:space="preserve">. Similarly, the economic impacts </w:t>
      </w:r>
      <w:r w:rsidR="008E2A61">
        <w:rPr>
          <w:rFonts w:ascii="Calibri" w:eastAsia="Calibri" w:hAnsi="Calibri" w:cs="Calibri"/>
        </w:rPr>
        <w:t xml:space="preserve">of </w:t>
      </w:r>
      <w:r>
        <w:rPr>
          <w:rFonts w:ascii="Calibri" w:eastAsia="Calibri" w:hAnsi="Calibri" w:cs="Calibri"/>
        </w:rPr>
        <w:t>different energy pathways for South Africa that do not account</w:t>
      </w:r>
      <w:r w:rsidR="00C0605A">
        <w:rPr>
          <w:rFonts w:ascii="Calibri" w:eastAsia="Calibri" w:hAnsi="Calibri" w:cs="Calibri"/>
        </w:rPr>
        <w:t xml:space="preserve"> for</w:t>
      </w:r>
      <w:r>
        <w:rPr>
          <w:rFonts w:ascii="Calibri" w:eastAsia="Calibri" w:hAnsi="Calibri" w:cs="Calibri"/>
        </w:rPr>
        <w:t xml:space="preserve"> the differences between mines may over- or under-estimat</w:t>
      </w:r>
      <w:r w:rsidR="008E2A61">
        <w:rPr>
          <w:rFonts w:ascii="Calibri" w:eastAsia="Calibri" w:hAnsi="Calibri" w:cs="Calibri"/>
        </w:rPr>
        <w:t>e</w:t>
      </w:r>
      <w:r>
        <w:rPr>
          <w:rFonts w:ascii="Calibri" w:eastAsia="Calibri" w:hAnsi="Calibri" w:cs="Calibri"/>
        </w:rPr>
        <w:t xml:space="preserve"> the costs to the economy and employment as well as the timing of these impacts.</w:t>
      </w:r>
      <w:r w:rsidR="00BB0B7E">
        <w:rPr>
          <w:rFonts w:ascii="Calibri" w:eastAsia="Calibri" w:hAnsi="Calibri" w:cs="Calibri"/>
        </w:rPr>
        <w:t xml:space="preserve"> </w:t>
      </w:r>
      <w:r>
        <w:rPr>
          <w:rFonts w:ascii="Calibri" w:eastAsia="Calibri" w:hAnsi="Calibri" w:cs="Calibri"/>
        </w:rPr>
        <w:t>A more detailed inclusion of the link between coal</w:t>
      </w:r>
      <w:r w:rsidR="0097181C">
        <w:rPr>
          <w:rFonts w:ascii="Calibri" w:eastAsia="Calibri" w:hAnsi="Calibri" w:cs="Calibri"/>
        </w:rPr>
        <w:t>-</w:t>
      </w:r>
      <w:r>
        <w:rPr>
          <w:rFonts w:ascii="Calibri" w:eastAsia="Calibri" w:hAnsi="Calibri" w:cs="Calibri"/>
        </w:rPr>
        <w:t xml:space="preserve">mines and </w:t>
      </w:r>
      <w:r w:rsidR="00BD1738">
        <w:rPr>
          <w:rFonts w:ascii="Calibri" w:eastAsia="Calibri" w:hAnsi="Calibri" w:cs="Calibri"/>
        </w:rPr>
        <w:t xml:space="preserve">power plants </w:t>
      </w:r>
      <w:r>
        <w:rPr>
          <w:rFonts w:ascii="Calibri" w:eastAsia="Calibri" w:hAnsi="Calibri" w:cs="Calibri"/>
        </w:rPr>
        <w:t xml:space="preserve">in an energy planning analysis </w:t>
      </w:r>
      <w:r w:rsidR="00BB0B7E">
        <w:rPr>
          <w:rFonts w:ascii="Calibri" w:eastAsia="Calibri" w:hAnsi="Calibri" w:cs="Calibri"/>
        </w:rPr>
        <w:t>strengthens the basis for decisions around the operation, refurbishment and retirement of existing coal plants.</w:t>
      </w:r>
    </w:p>
    <w:p w14:paraId="3CDC4EC2" w14:textId="72CE0F48" w:rsidR="00BB0B7E" w:rsidRDefault="00716DC9" w:rsidP="00716DC9">
      <w:pPr>
        <w:spacing w:after="160"/>
        <w:rPr>
          <w:rFonts w:ascii="Calibri" w:eastAsia="Calibri" w:hAnsi="Calibri" w:cs="Calibri"/>
        </w:rPr>
      </w:pPr>
      <w:r>
        <w:rPr>
          <w:rFonts w:ascii="Calibri" w:eastAsia="Calibri" w:hAnsi="Calibri" w:cs="Calibri"/>
        </w:rPr>
        <w:t>In this paper, the energy and economic models used in the linked modelling approach</w:t>
      </w:r>
      <w:r w:rsidR="0097181C">
        <w:rPr>
          <w:rFonts w:ascii="Calibri" w:eastAsia="Calibri" w:hAnsi="Calibri" w:cs="Calibri"/>
        </w:rPr>
        <w:t>,</w:t>
      </w:r>
      <w:r>
        <w:rPr>
          <w:rFonts w:ascii="Calibri" w:eastAsia="Calibri" w:hAnsi="Calibri" w:cs="Calibri"/>
        </w:rPr>
        <w:t xml:space="preserve"> initially developed for South Africa </w:t>
      </w:r>
      <w:r w:rsidR="003F4082">
        <w:rPr>
          <w:rFonts w:ascii="Calibri" w:eastAsia="Calibri" w:hAnsi="Calibri" w:cs="Calibri"/>
        </w:rPr>
        <w:t>in</w:t>
      </w:r>
      <w:r>
        <w:rPr>
          <w:rFonts w:ascii="Calibri" w:eastAsia="Calibri" w:hAnsi="Calibri" w:cs="Calibri"/>
        </w:rPr>
        <w:t xml:space="preserve"> </w:t>
      </w:r>
      <w:r w:rsidR="003F4082">
        <w:rPr>
          <w:rFonts w:ascii="Calibri" w:eastAsia="Calibri" w:hAnsi="Calibri" w:cs="Calibri"/>
        </w:rPr>
        <w:t xml:space="preserve">Arndt et al. (2016) </w:t>
      </w:r>
      <w:r>
        <w:rPr>
          <w:rFonts w:ascii="Calibri" w:eastAsia="Calibri" w:hAnsi="Calibri" w:cs="Calibri"/>
        </w:rPr>
        <w:t xml:space="preserve">and continuously advanced </w:t>
      </w:r>
      <w:r w:rsidR="003F4082">
        <w:rPr>
          <w:rFonts w:ascii="Calibri" w:eastAsia="Calibri" w:hAnsi="Calibri" w:cs="Calibri"/>
        </w:rPr>
        <w:t>in Merven et al. (2017</w:t>
      </w:r>
      <w:r w:rsidR="0097181C">
        <w:rPr>
          <w:rFonts w:ascii="Calibri" w:eastAsia="Calibri" w:hAnsi="Calibri" w:cs="Calibri"/>
        </w:rPr>
        <w:t>;</w:t>
      </w:r>
      <w:r w:rsidR="003F4082">
        <w:rPr>
          <w:rFonts w:ascii="Calibri" w:eastAsia="Calibri" w:hAnsi="Calibri" w:cs="Calibri"/>
        </w:rPr>
        <w:t xml:space="preserve"> 2018</w:t>
      </w:r>
      <w:r w:rsidR="0097181C">
        <w:rPr>
          <w:rFonts w:ascii="Calibri" w:eastAsia="Calibri" w:hAnsi="Calibri" w:cs="Calibri"/>
        </w:rPr>
        <w:t>;</w:t>
      </w:r>
      <w:r w:rsidR="003F4082">
        <w:rPr>
          <w:rFonts w:ascii="Calibri" w:eastAsia="Calibri" w:hAnsi="Calibri" w:cs="Calibri"/>
        </w:rPr>
        <w:t xml:space="preserve"> 2019)</w:t>
      </w:r>
      <w:r w:rsidR="0097181C">
        <w:rPr>
          <w:rFonts w:ascii="Calibri" w:eastAsia="Calibri" w:hAnsi="Calibri" w:cs="Calibri"/>
        </w:rPr>
        <w:t>,</w:t>
      </w:r>
      <w:r>
        <w:rPr>
          <w:rFonts w:ascii="Calibri" w:eastAsia="Calibri" w:hAnsi="Calibri" w:cs="Calibri"/>
        </w:rPr>
        <w:t xml:space="preserve"> is further refined such that (i) the link between coal</w:t>
      </w:r>
      <w:r w:rsidR="0097181C">
        <w:rPr>
          <w:rFonts w:ascii="Calibri" w:eastAsia="Calibri" w:hAnsi="Calibri" w:cs="Calibri"/>
        </w:rPr>
        <w:t>-</w:t>
      </w:r>
      <w:r>
        <w:rPr>
          <w:rFonts w:ascii="Calibri" w:eastAsia="Calibri" w:hAnsi="Calibri" w:cs="Calibri"/>
        </w:rPr>
        <w:t xml:space="preserve">mines and </w:t>
      </w:r>
      <w:r w:rsidR="005A4B52">
        <w:rPr>
          <w:rFonts w:ascii="Calibri" w:eastAsia="Calibri" w:hAnsi="Calibri" w:cs="Calibri"/>
        </w:rPr>
        <w:t xml:space="preserve">users </w:t>
      </w:r>
      <w:r w:rsidR="0097181C">
        <w:rPr>
          <w:rFonts w:ascii="Calibri" w:eastAsia="Calibri" w:hAnsi="Calibri" w:cs="Calibri"/>
        </w:rPr>
        <w:t>is</w:t>
      </w:r>
      <w:r>
        <w:rPr>
          <w:rFonts w:ascii="Calibri" w:eastAsia="Calibri" w:hAnsi="Calibri" w:cs="Calibri"/>
        </w:rPr>
        <w:t xml:space="preserve"> included; (ii) the economic and energy data related to coal and coal mining is better aligned;</w:t>
      </w:r>
      <w:r w:rsidR="008E2A61">
        <w:rPr>
          <w:rFonts w:ascii="Calibri" w:eastAsia="Calibri" w:hAnsi="Calibri" w:cs="Calibri"/>
        </w:rPr>
        <w:t xml:space="preserve"> and</w:t>
      </w:r>
      <w:r>
        <w:rPr>
          <w:rFonts w:ascii="Calibri" w:eastAsia="Calibri" w:hAnsi="Calibri" w:cs="Calibri"/>
        </w:rPr>
        <w:t xml:space="preserve"> (iii) the link between coal demand and production is improved between the energy and economic models.</w:t>
      </w:r>
      <w:r w:rsidR="00BB0B7E">
        <w:rPr>
          <w:rFonts w:ascii="Calibri" w:eastAsia="Calibri" w:hAnsi="Calibri" w:cs="Calibri"/>
        </w:rPr>
        <w:t xml:space="preserve"> The objective of these advances is twofold. First, to capture </w:t>
      </w:r>
      <w:r w:rsidR="00BB0B7E" w:rsidRPr="009A78D2">
        <w:rPr>
          <w:rFonts w:ascii="Calibri" w:eastAsia="Calibri" w:hAnsi="Calibri" w:cs="Calibri"/>
        </w:rPr>
        <w:t xml:space="preserve">more accurately </w:t>
      </w:r>
      <w:r w:rsidR="00BB0B7E">
        <w:rPr>
          <w:rFonts w:ascii="Calibri" w:eastAsia="Calibri" w:hAnsi="Calibri" w:cs="Calibri"/>
        </w:rPr>
        <w:t>the impacts of changing coal costs on potential energy and emissions pathways for South Africa through the impacts of higher coal prices on the economy and on employment. Second, better representation of the coal sector provides insights on the timing and magnitude of coal</w:t>
      </w:r>
      <w:r w:rsidR="0097181C">
        <w:rPr>
          <w:rFonts w:ascii="Calibri" w:eastAsia="Calibri" w:hAnsi="Calibri" w:cs="Calibri"/>
        </w:rPr>
        <w:t>-</w:t>
      </w:r>
      <w:r w:rsidR="00BB0B7E">
        <w:rPr>
          <w:rFonts w:ascii="Calibri" w:eastAsia="Calibri" w:hAnsi="Calibri" w:cs="Calibri"/>
        </w:rPr>
        <w:t>mine and power plant retirements</w:t>
      </w:r>
      <w:r w:rsidR="0097181C">
        <w:rPr>
          <w:rFonts w:ascii="Calibri" w:eastAsia="Calibri" w:hAnsi="Calibri" w:cs="Calibri"/>
        </w:rPr>
        <w:t>,</w:t>
      </w:r>
      <w:r w:rsidR="00BB0B7E">
        <w:rPr>
          <w:rFonts w:ascii="Calibri" w:eastAsia="Calibri" w:hAnsi="Calibri" w:cs="Calibri"/>
        </w:rPr>
        <w:t xml:space="preserve"> which are crucial to developing policies required to ameliorate any negative impacts resulting from the energy transition.</w:t>
      </w:r>
    </w:p>
    <w:p w14:paraId="50B4CD26" w14:textId="173BCA19" w:rsidR="00792546" w:rsidRDefault="00716DC9" w:rsidP="00716DC9">
      <w:r>
        <w:rPr>
          <w:rFonts w:ascii="Calibri" w:eastAsia="Calibri" w:hAnsi="Calibri" w:cs="Calibri"/>
        </w:rPr>
        <w:t xml:space="preserve">The paper </w:t>
      </w:r>
      <w:r w:rsidR="0097181C">
        <w:rPr>
          <w:rFonts w:ascii="Calibri" w:eastAsia="Calibri" w:hAnsi="Calibri" w:cs="Calibri"/>
        </w:rPr>
        <w:t>proceeds</w:t>
      </w:r>
      <w:r>
        <w:rPr>
          <w:rFonts w:ascii="Calibri" w:eastAsia="Calibri" w:hAnsi="Calibri" w:cs="Calibri"/>
        </w:rPr>
        <w:t xml:space="preserve"> as follows</w:t>
      </w:r>
      <w:r w:rsidRPr="008E2A61">
        <w:rPr>
          <w:rFonts w:ascii="Calibri" w:eastAsia="Calibri" w:hAnsi="Calibri" w:cs="Calibri"/>
        </w:rPr>
        <w:t xml:space="preserve">. </w:t>
      </w:r>
      <w:r w:rsidR="008E2A61" w:rsidRPr="008E2A61">
        <w:rPr>
          <w:rFonts w:ascii="Calibri" w:eastAsia="Calibri" w:hAnsi="Calibri" w:cs="Calibri"/>
        </w:rPr>
        <w:t>Section 2</w:t>
      </w:r>
      <w:r w:rsidRPr="008E2A61">
        <w:rPr>
          <w:rFonts w:ascii="Calibri" w:eastAsia="Calibri" w:hAnsi="Calibri" w:cs="Calibri"/>
        </w:rPr>
        <w:t xml:space="preserve"> </w:t>
      </w:r>
      <w:r w:rsidR="008E2A61" w:rsidRPr="008E2A61">
        <w:rPr>
          <w:rFonts w:ascii="Calibri" w:eastAsia="Calibri" w:hAnsi="Calibri" w:cs="Calibri"/>
        </w:rPr>
        <w:t>provides an overview of the modelling methodology and data and model adjustments to account for a more detail</w:t>
      </w:r>
      <w:r w:rsidR="0097181C">
        <w:rPr>
          <w:rFonts w:ascii="Calibri" w:eastAsia="Calibri" w:hAnsi="Calibri" w:cs="Calibri"/>
        </w:rPr>
        <w:t>ed</w:t>
      </w:r>
      <w:r w:rsidR="008E2A61" w:rsidRPr="008E2A61">
        <w:rPr>
          <w:rFonts w:ascii="Calibri" w:eastAsia="Calibri" w:hAnsi="Calibri" w:cs="Calibri"/>
        </w:rPr>
        <w:t xml:space="preserve"> coal characteri</w:t>
      </w:r>
      <w:r w:rsidR="0097181C">
        <w:rPr>
          <w:rFonts w:ascii="Calibri" w:eastAsia="Calibri" w:hAnsi="Calibri" w:cs="Calibri"/>
        </w:rPr>
        <w:t>z</w:t>
      </w:r>
      <w:r w:rsidR="008E2A61" w:rsidRPr="008E2A61">
        <w:rPr>
          <w:rFonts w:ascii="Calibri" w:eastAsia="Calibri" w:hAnsi="Calibri" w:cs="Calibri"/>
        </w:rPr>
        <w:t xml:space="preserve">ation in the energy model as well as improved alignment in data between the energy and economic models. Section 3 describes the scenarios considered in this paper as well as </w:t>
      </w:r>
      <w:r w:rsidR="0097181C">
        <w:rPr>
          <w:rFonts w:ascii="Calibri" w:eastAsia="Calibri" w:hAnsi="Calibri" w:cs="Calibri"/>
        </w:rPr>
        <w:t>its</w:t>
      </w:r>
      <w:r w:rsidR="008E2A61" w:rsidRPr="008E2A61">
        <w:rPr>
          <w:rFonts w:ascii="Calibri" w:eastAsia="Calibri" w:hAnsi="Calibri" w:cs="Calibri"/>
        </w:rPr>
        <w:t xml:space="preserve"> key assumptions. Section 4 presents the results and Section 5 concludes.</w:t>
      </w:r>
    </w:p>
    <w:p w14:paraId="44ECF815" w14:textId="77777777" w:rsidR="00121708" w:rsidRDefault="00121708">
      <w:pPr>
        <w:spacing w:after="160" w:line="259" w:lineRule="auto"/>
        <w:jc w:val="left"/>
        <w:rPr>
          <w:rFonts w:eastAsia="Times New Roman" w:cs="Times New Roman"/>
          <w:b/>
          <w:bCs/>
          <w:caps/>
          <w:color w:val="538135" w:themeColor="accent6" w:themeShade="BF"/>
          <w:sz w:val="28"/>
          <w:szCs w:val="28"/>
        </w:rPr>
      </w:pPr>
      <w:r>
        <w:br w:type="page"/>
      </w:r>
    </w:p>
    <w:p w14:paraId="432F0BD6" w14:textId="2DFC58F2" w:rsidR="00792546" w:rsidRDefault="00792546" w:rsidP="00792546">
      <w:pPr>
        <w:pStyle w:val="Heading1"/>
        <w:spacing w:line="276" w:lineRule="auto"/>
      </w:pPr>
      <w:r>
        <w:t>Methodology</w:t>
      </w:r>
    </w:p>
    <w:p w14:paraId="0EDB4FB1" w14:textId="1063F170" w:rsidR="00716DC9" w:rsidRPr="00716DC9" w:rsidRDefault="00716DC9" w:rsidP="00716DC9">
      <w:r>
        <w:rPr>
          <w:rFonts w:ascii="Calibri" w:eastAsia="Calibri" w:hAnsi="Calibri" w:cs="Calibri"/>
        </w:rPr>
        <w:t xml:space="preserve">The hard-linked energy-economic model called SATIMGE (see Arndt et. al, 2016; Merven et al., 2017, Merven et al., 2018; Merven et al., 2019) is used in this analysis to explore the least-cost optimal energy plan for South Africa to 2050. SATIMGE combines an energy </w:t>
      </w:r>
      <w:r w:rsidR="00C05BEC">
        <w:rPr>
          <w:rFonts w:ascii="Calibri" w:eastAsia="Calibri" w:hAnsi="Calibri" w:cs="Calibri"/>
        </w:rPr>
        <w:t xml:space="preserve">optimization </w:t>
      </w:r>
      <w:r>
        <w:rPr>
          <w:rFonts w:ascii="Calibri" w:eastAsia="Calibri" w:hAnsi="Calibri" w:cs="Calibri"/>
        </w:rPr>
        <w:t xml:space="preserve">model for South Africa, called SATIM (for further details see Hughes et al., 2019), with a recursive dynamic computable general equilibrium (CGE) model of the country, called </w:t>
      </w:r>
      <w:r w:rsidR="00CE7201">
        <w:rPr>
          <w:rFonts w:ascii="Calibri" w:eastAsia="Calibri" w:hAnsi="Calibri" w:cs="Calibri"/>
        </w:rPr>
        <w:t>e</w:t>
      </w:r>
      <w:r>
        <w:rPr>
          <w:rFonts w:ascii="Calibri" w:eastAsia="Calibri" w:hAnsi="Calibri" w:cs="Calibri"/>
        </w:rPr>
        <w:t>SAGE (for further details see Alton et al., 2014). SATIM is a full sector energy systems optimization model based on the</w:t>
      </w:r>
      <w:r>
        <w:rPr>
          <w:rFonts w:ascii="Calibri" w:eastAsia="Calibri" w:hAnsi="Calibri" w:cs="Calibri"/>
          <w:highlight w:val="white"/>
        </w:rPr>
        <w:t xml:space="preserve"> MARKAL-TIMES family of models, </w:t>
      </w:r>
      <w:r>
        <w:rPr>
          <w:rFonts w:ascii="Calibri" w:eastAsia="Calibri" w:hAnsi="Calibri" w:cs="Calibri"/>
        </w:rPr>
        <w:t xml:space="preserve">developed in a collaborative effort under the International Energy Agency’s Energy Technology Systems Analysis Programme (Tosato, 2008); while </w:t>
      </w:r>
      <w:r w:rsidR="00CE7201">
        <w:rPr>
          <w:rFonts w:ascii="Calibri" w:eastAsia="Calibri" w:hAnsi="Calibri" w:cs="Calibri"/>
        </w:rPr>
        <w:t>e</w:t>
      </w:r>
      <w:r>
        <w:rPr>
          <w:rFonts w:ascii="Calibri" w:eastAsia="Calibri" w:hAnsi="Calibri" w:cs="Calibri"/>
        </w:rPr>
        <w:t xml:space="preserve">SAGE is a CGE model based on the generic static and dynamic models described in Lofgren et al. (2002) and Diao and Thurlow (2012), and is a descendant of the class of CGE models introduced by Dervis et al. (1982). The hard-linked modelling approach is designed to simultaneously address the shortcomings and maintain the attractive features of each model, including the retention of a higher resolution depiction of the economy that is useful for simulating policies and measuring socioeconomic outcomes useful for </w:t>
      </w:r>
      <w:r w:rsidR="008541D2">
        <w:rPr>
          <w:rFonts w:ascii="Calibri" w:eastAsia="Calibri" w:hAnsi="Calibri" w:cs="Calibri"/>
        </w:rPr>
        <w:t>policymakers</w:t>
      </w:r>
      <w:r>
        <w:rPr>
          <w:rFonts w:ascii="Calibri" w:eastAsia="Calibri" w:hAnsi="Calibri" w:cs="Calibri"/>
        </w:rPr>
        <w:t xml:space="preserve">. The sections below discuss the changes made to the models, underlying data and model links to include a more detailed representation of the </w:t>
      </w:r>
      <w:r w:rsidR="00C05BEC">
        <w:rPr>
          <w:rFonts w:ascii="Calibri" w:eastAsia="Calibri" w:hAnsi="Calibri" w:cs="Calibri"/>
        </w:rPr>
        <w:t>coal-</w:t>
      </w:r>
      <w:r>
        <w:rPr>
          <w:rFonts w:ascii="Calibri" w:eastAsia="Calibri" w:hAnsi="Calibri" w:cs="Calibri"/>
        </w:rPr>
        <w:t>mining sector.</w:t>
      </w:r>
    </w:p>
    <w:p w14:paraId="1987FD0F" w14:textId="4E6DA136" w:rsidR="002B0DD6" w:rsidRDefault="002B0DD6" w:rsidP="00F60833">
      <w:pPr>
        <w:pStyle w:val="Heading2"/>
        <w:spacing w:before="0" w:line="276" w:lineRule="auto"/>
      </w:pPr>
      <w:bookmarkStart w:id="2" w:name="_x7gbytw9oqsr" w:colFirst="0" w:colLast="0"/>
      <w:bookmarkEnd w:id="2"/>
      <w:r>
        <w:t>Data preparation</w:t>
      </w:r>
      <w:r w:rsidR="00C05BEC">
        <w:t xml:space="preserve"> –</w:t>
      </w:r>
      <w:r w:rsidR="00716DC9" w:rsidRPr="00716DC9">
        <w:t xml:space="preserve"> improving the match on energy and economic coal data</w:t>
      </w:r>
    </w:p>
    <w:p w14:paraId="4ADE0FF0" w14:textId="2C5FF20C" w:rsidR="003F008C" w:rsidRDefault="003F008C" w:rsidP="003F008C">
      <w:pPr>
        <w:spacing w:after="160"/>
        <w:rPr>
          <w:rFonts w:ascii="Calibri" w:eastAsia="Calibri" w:hAnsi="Calibri" w:cs="Calibri"/>
        </w:rPr>
      </w:pPr>
      <w:r>
        <w:rPr>
          <w:rFonts w:ascii="Calibri" w:eastAsia="Calibri" w:hAnsi="Calibri" w:cs="Calibri"/>
        </w:rPr>
        <w:t>The SATIM model is calibrated with the 2012 Department of Energy balance</w:t>
      </w:r>
      <w:r w:rsidR="00C05BEC">
        <w:rPr>
          <w:rFonts w:ascii="Calibri" w:eastAsia="Calibri" w:hAnsi="Calibri" w:cs="Calibri"/>
        </w:rPr>
        <w:t>,</w:t>
      </w:r>
      <w:r>
        <w:rPr>
          <w:rFonts w:ascii="Calibri" w:eastAsia="Calibri" w:hAnsi="Calibri" w:cs="Calibri"/>
        </w:rPr>
        <w:t xml:space="preserve"> with some adjustments made to better match actual primary energy data (Hartley et al., 2019</w:t>
      </w:r>
      <w:r w:rsidR="00DC3A14">
        <w:rPr>
          <w:rFonts w:ascii="Calibri" w:eastAsia="Calibri" w:hAnsi="Calibri" w:cs="Calibri"/>
        </w:rPr>
        <w:t>a</w:t>
      </w:r>
      <w:r>
        <w:rPr>
          <w:rFonts w:ascii="Calibri" w:eastAsia="Calibri" w:hAnsi="Calibri" w:cs="Calibri"/>
        </w:rPr>
        <w:t xml:space="preserve">). The eSAGE model is calibrated using the 2012 social accounting matrix (SAM) developed by van Seventer et al. (2012). To link the SATIM and eSAGE models as done in the linked energy-economic model, SATIMGE, we need to ensure that the two sets of data are consistent with respect to energy production and energy consumption in South Africa. In this paper a concerted effort is made to improve the match on coal use and supply between the two datasets. </w:t>
      </w:r>
    </w:p>
    <w:p w14:paraId="40F3DC0C" w14:textId="1D9891E6" w:rsidR="002677CF" w:rsidRDefault="003F008C" w:rsidP="002677CF">
      <w:pPr>
        <w:spacing w:after="160"/>
        <w:rPr>
          <w:rFonts w:ascii="Calibri" w:eastAsia="Calibri" w:hAnsi="Calibri" w:cs="Calibri"/>
        </w:rPr>
      </w:pPr>
      <w:r>
        <w:rPr>
          <w:rFonts w:ascii="Calibri" w:eastAsia="Calibri" w:hAnsi="Calibri" w:cs="Calibri"/>
        </w:rPr>
        <w:t xml:space="preserve">The first step to doing this is to create two coal commodities in the SAM such that we distinguish between </w:t>
      </w:r>
      <w:r w:rsidR="00C05BEC">
        <w:rPr>
          <w:rFonts w:ascii="Calibri" w:eastAsia="Calibri" w:hAnsi="Calibri" w:cs="Calibri"/>
        </w:rPr>
        <w:t>low-</w:t>
      </w:r>
      <w:r>
        <w:rPr>
          <w:rFonts w:ascii="Calibri" w:eastAsia="Calibri" w:hAnsi="Calibri" w:cs="Calibri"/>
        </w:rPr>
        <w:t xml:space="preserve">grade and </w:t>
      </w:r>
      <w:r w:rsidR="008541D2">
        <w:rPr>
          <w:rFonts w:ascii="Calibri" w:eastAsia="Calibri" w:hAnsi="Calibri" w:cs="Calibri"/>
        </w:rPr>
        <w:t>high-grade</w:t>
      </w:r>
      <w:r>
        <w:rPr>
          <w:rFonts w:ascii="Calibri" w:eastAsia="Calibri" w:hAnsi="Calibri" w:cs="Calibri"/>
        </w:rPr>
        <w:t xml:space="preserve"> coal. The SAM </w:t>
      </w:r>
      <w:r w:rsidR="00C05BEC">
        <w:rPr>
          <w:rFonts w:ascii="Calibri" w:eastAsia="Calibri" w:hAnsi="Calibri" w:cs="Calibri"/>
        </w:rPr>
        <w:t xml:space="preserve">has </w:t>
      </w:r>
      <w:r>
        <w:rPr>
          <w:rFonts w:ascii="Calibri" w:eastAsia="Calibri" w:hAnsi="Calibri" w:cs="Calibri"/>
        </w:rPr>
        <w:t>only one commodity</w:t>
      </w:r>
      <w:r w:rsidR="00C05BEC">
        <w:rPr>
          <w:rFonts w:ascii="Calibri" w:eastAsia="Calibri" w:hAnsi="Calibri" w:cs="Calibri"/>
        </w:rPr>
        <w:t xml:space="preserve"> –</w:t>
      </w:r>
      <w:r>
        <w:rPr>
          <w:rFonts w:ascii="Calibri" w:eastAsia="Calibri" w:hAnsi="Calibri" w:cs="Calibri"/>
        </w:rPr>
        <w:t xml:space="preserve"> coal. The use of </w:t>
      </w:r>
      <w:r w:rsidR="008541D2">
        <w:rPr>
          <w:rFonts w:ascii="Calibri" w:eastAsia="Calibri" w:hAnsi="Calibri" w:cs="Calibri"/>
        </w:rPr>
        <w:t>low-grade</w:t>
      </w:r>
      <w:r>
        <w:rPr>
          <w:rFonts w:ascii="Calibri" w:eastAsia="Calibri" w:hAnsi="Calibri" w:cs="Calibri"/>
        </w:rPr>
        <w:t xml:space="preserve"> coal is sector</w:t>
      </w:r>
      <w:r w:rsidR="00C05BEC">
        <w:rPr>
          <w:rFonts w:ascii="Calibri" w:eastAsia="Calibri" w:hAnsi="Calibri" w:cs="Calibri"/>
        </w:rPr>
        <w:t>-</w:t>
      </w:r>
      <w:r>
        <w:rPr>
          <w:rFonts w:ascii="Calibri" w:eastAsia="Calibri" w:hAnsi="Calibri" w:cs="Calibri"/>
        </w:rPr>
        <w:t>dependent in South Africa</w:t>
      </w:r>
      <w:r w:rsidR="00C05BEC">
        <w:rPr>
          <w:rFonts w:ascii="Calibri" w:eastAsia="Calibri" w:hAnsi="Calibri" w:cs="Calibri"/>
        </w:rPr>
        <w:t>,</w:t>
      </w:r>
      <w:r>
        <w:rPr>
          <w:rFonts w:ascii="Calibri" w:eastAsia="Calibri" w:hAnsi="Calibri" w:cs="Calibri"/>
        </w:rPr>
        <w:t xml:space="preserve"> with the power, refinery and chemicals sectors </w:t>
      </w:r>
      <w:r w:rsidR="00C05BEC">
        <w:rPr>
          <w:rFonts w:ascii="Calibri" w:eastAsia="Calibri" w:hAnsi="Calibri" w:cs="Calibri"/>
        </w:rPr>
        <w:t xml:space="preserve">using </w:t>
      </w:r>
      <w:r>
        <w:rPr>
          <w:rFonts w:ascii="Calibri" w:eastAsia="Calibri" w:hAnsi="Calibri" w:cs="Calibri"/>
        </w:rPr>
        <w:t xml:space="preserve">only </w:t>
      </w:r>
      <w:r w:rsidR="00C05BEC">
        <w:rPr>
          <w:rFonts w:ascii="Calibri" w:eastAsia="Calibri" w:hAnsi="Calibri" w:cs="Calibri"/>
        </w:rPr>
        <w:t>this</w:t>
      </w:r>
      <w:r>
        <w:rPr>
          <w:rFonts w:ascii="Calibri" w:eastAsia="Calibri" w:hAnsi="Calibri" w:cs="Calibri"/>
        </w:rPr>
        <w:t>. Low</w:t>
      </w:r>
      <w:r w:rsidR="00C05BEC">
        <w:rPr>
          <w:rFonts w:ascii="Calibri" w:eastAsia="Calibri" w:hAnsi="Calibri" w:cs="Calibri"/>
        </w:rPr>
        <w:t>-</w:t>
      </w:r>
      <w:r>
        <w:rPr>
          <w:rFonts w:ascii="Calibri" w:eastAsia="Calibri" w:hAnsi="Calibri" w:cs="Calibri"/>
        </w:rPr>
        <w:t>grade coal is also used in the coal</w:t>
      </w:r>
      <w:r w:rsidR="00C05BEC">
        <w:rPr>
          <w:rFonts w:ascii="Calibri" w:eastAsia="Calibri" w:hAnsi="Calibri" w:cs="Calibri"/>
        </w:rPr>
        <w:t>-</w:t>
      </w:r>
      <w:r>
        <w:rPr>
          <w:rFonts w:ascii="Calibri" w:eastAsia="Calibri" w:hAnsi="Calibri" w:cs="Calibri"/>
        </w:rPr>
        <w:t>mining sector for coal</w:t>
      </w:r>
      <w:r w:rsidR="00C05BEC">
        <w:rPr>
          <w:rFonts w:ascii="Calibri" w:eastAsia="Calibri" w:hAnsi="Calibri" w:cs="Calibri"/>
        </w:rPr>
        <w:t>-</w:t>
      </w:r>
      <w:r>
        <w:rPr>
          <w:rFonts w:ascii="Calibri" w:eastAsia="Calibri" w:hAnsi="Calibri" w:cs="Calibri"/>
        </w:rPr>
        <w:t>washing</w:t>
      </w:r>
      <w:r w:rsidR="00C05BEC">
        <w:rPr>
          <w:rFonts w:ascii="Calibri" w:eastAsia="Calibri" w:hAnsi="Calibri" w:cs="Calibri"/>
        </w:rPr>
        <w:t>,</w:t>
      </w:r>
      <w:r>
        <w:rPr>
          <w:rFonts w:ascii="Calibri" w:eastAsia="Calibri" w:hAnsi="Calibri" w:cs="Calibri"/>
        </w:rPr>
        <w:t xml:space="preserve"> transforming the </w:t>
      </w:r>
      <w:r w:rsidR="008541D2">
        <w:rPr>
          <w:rFonts w:ascii="Calibri" w:eastAsia="Calibri" w:hAnsi="Calibri" w:cs="Calibri"/>
        </w:rPr>
        <w:t>low-grade</w:t>
      </w:r>
      <w:r>
        <w:rPr>
          <w:rFonts w:ascii="Calibri" w:eastAsia="Calibri" w:hAnsi="Calibri" w:cs="Calibri"/>
        </w:rPr>
        <w:t xml:space="preserve"> coal into higher grades for exports and industr</w:t>
      </w:r>
      <w:r w:rsidR="00C05BEC">
        <w:rPr>
          <w:rFonts w:ascii="Calibri" w:eastAsia="Calibri" w:hAnsi="Calibri" w:cs="Calibri"/>
        </w:rPr>
        <w:t>ial use</w:t>
      </w:r>
      <w:r>
        <w:rPr>
          <w:rFonts w:ascii="Calibri" w:eastAsia="Calibri" w:hAnsi="Calibri" w:cs="Calibri"/>
        </w:rPr>
        <w:t xml:space="preserve">. Information needed to distinguish the use of </w:t>
      </w:r>
      <w:r w:rsidR="008541D2">
        <w:rPr>
          <w:rFonts w:ascii="Calibri" w:eastAsia="Calibri" w:hAnsi="Calibri" w:cs="Calibri"/>
        </w:rPr>
        <w:t>low- and high-grade</w:t>
      </w:r>
      <w:r>
        <w:rPr>
          <w:rFonts w:ascii="Calibri" w:eastAsia="Calibri" w:hAnsi="Calibri" w:cs="Calibri"/>
        </w:rPr>
        <w:t xml:space="preserve"> coal in the SAM is taken from the energy balance. All other use of coal is high</w:t>
      </w:r>
      <w:r w:rsidR="00C05BEC">
        <w:rPr>
          <w:rFonts w:ascii="Calibri" w:eastAsia="Calibri" w:hAnsi="Calibri" w:cs="Calibri"/>
        </w:rPr>
        <w:t>-</w:t>
      </w:r>
      <w:r>
        <w:rPr>
          <w:rFonts w:ascii="Calibri" w:eastAsia="Calibri" w:hAnsi="Calibri" w:cs="Calibri"/>
        </w:rPr>
        <w:t>grade. Of the total coal demanded, ~40% is for high</w:t>
      </w:r>
      <w:r w:rsidR="00C05BEC">
        <w:rPr>
          <w:rFonts w:ascii="Calibri" w:eastAsia="Calibri" w:hAnsi="Calibri" w:cs="Calibri"/>
        </w:rPr>
        <w:t>-</w:t>
      </w:r>
      <w:r>
        <w:rPr>
          <w:rFonts w:ascii="Calibri" w:eastAsia="Calibri" w:hAnsi="Calibri" w:cs="Calibri"/>
        </w:rPr>
        <w:t>grade coal and ~60% for low</w:t>
      </w:r>
      <w:r w:rsidR="00C05BEC">
        <w:rPr>
          <w:rFonts w:ascii="Calibri" w:eastAsia="Calibri" w:hAnsi="Calibri" w:cs="Calibri"/>
        </w:rPr>
        <w:t>-</w:t>
      </w:r>
      <w:r>
        <w:rPr>
          <w:rFonts w:ascii="Calibri" w:eastAsia="Calibri" w:hAnsi="Calibri" w:cs="Calibri"/>
        </w:rPr>
        <w:t>grade.</w:t>
      </w:r>
      <w:r w:rsidR="002677CF">
        <w:rPr>
          <w:rFonts w:ascii="Calibri" w:eastAsia="Calibri" w:hAnsi="Calibri" w:cs="Calibri"/>
        </w:rPr>
        <w:t xml:space="preserve"> </w:t>
      </w:r>
    </w:p>
    <w:p w14:paraId="5B892B3C" w14:textId="15FF9050" w:rsidR="002B0DD6" w:rsidRPr="002677CF" w:rsidRDefault="003F008C" w:rsidP="002677CF">
      <w:pPr>
        <w:spacing w:after="160"/>
        <w:rPr>
          <w:rFonts w:ascii="Calibri" w:eastAsia="Calibri" w:hAnsi="Calibri" w:cs="Calibri"/>
        </w:rPr>
      </w:pPr>
      <w:r w:rsidRPr="002677CF">
        <w:rPr>
          <w:rFonts w:ascii="Calibri" w:eastAsia="Calibri" w:hAnsi="Calibri" w:cs="Calibri"/>
        </w:rPr>
        <w:t xml:space="preserve">Figure </w:t>
      </w:r>
      <w:r w:rsidR="007630AB" w:rsidRPr="002677CF">
        <w:rPr>
          <w:rFonts w:ascii="Calibri" w:eastAsia="Calibri" w:hAnsi="Calibri" w:cs="Calibri"/>
        </w:rPr>
        <w:t>1</w:t>
      </w:r>
      <w:r w:rsidRPr="002677CF">
        <w:rPr>
          <w:rFonts w:ascii="Calibri" w:eastAsia="Calibri" w:hAnsi="Calibri" w:cs="Calibri"/>
        </w:rPr>
        <w:t xml:space="preserve"> below presents the volume and value of coal demanded and supplied in South Africa as per the energy balance and national accounts statistics</w:t>
      </w:r>
      <w:r w:rsidR="00FB3861">
        <w:rPr>
          <w:rFonts w:ascii="Calibri" w:eastAsia="Calibri" w:hAnsi="Calibri" w:cs="Calibri"/>
        </w:rPr>
        <w:t xml:space="preserve"> in 2012</w:t>
      </w:r>
      <w:r w:rsidRPr="002677CF">
        <w:rPr>
          <w:rFonts w:ascii="Calibri" w:eastAsia="Calibri" w:hAnsi="Calibri" w:cs="Calibri"/>
        </w:rPr>
        <w:t>. The largest users of coal in volumes are the electricity, export, refinery and mining markets. Other users are primarily in the industry sector, largely iron and steel and non-metallic minerals, although this accounts for</w:t>
      </w:r>
      <w:r w:rsidR="00C05BEC">
        <w:rPr>
          <w:rFonts w:ascii="Calibri" w:eastAsia="Calibri" w:hAnsi="Calibri" w:cs="Calibri"/>
        </w:rPr>
        <w:t xml:space="preserve"> just</w:t>
      </w:r>
      <w:r w:rsidRPr="002677CF">
        <w:rPr>
          <w:rFonts w:ascii="Calibri" w:eastAsia="Calibri" w:hAnsi="Calibri" w:cs="Calibri"/>
        </w:rPr>
        <w:t xml:space="preserve"> ~10% of total coal available.  In value terms, the largest users </w:t>
      </w:r>
      <w:r w:rsidR="00C05BEC">
        <w:rPr>
          <w:rFonts w:ascii="Calibri" w:eastAsia="Calibri" w:hAnsi="Calibri" w:cs="Calibri"/>
        </w:rPr>
        <w:t>are</w:t>
      </w:r>
      <w:r w:rsidRPr="002677CF">
        <w:rPr>
          <w:rFonts w:ascii="Calibri" w:eastAsia="Calibri" w:hAnsi="Calibri" w:cs="Calibri"/>
        </w:rPr>
        <w:t xml:space="preserve"> the same</w:t>
      </w:r>
      <w:r w:rsidR="00C05BEC">
        <w:rPr>
          <w:rFonts w:ascii="Calibri" w:eastAsia="Calibri" w:hAnsi="Calibri" w:cs="Calibri"/>
        </w:rPr>
        <w:t>,</w:t>
      </w:r>
      <w:r w:rsidRPr="002677CF">
        <w:rPr>
          <w:rFonts w:ascii="Calibri" w:eastAsia="Calibri" w:hAnsi="Calibri" w:cs="Calibri"/>
        </w:rPr>
        <w:t xml:space="preserve"> although exports are </w:t>
      </w:r>
      <w:proofErr w:type="gramStart"/>
      <w:r w:rsidR="00C05BEC">
        <w:rPr>
          <w:rFonts w:ascii="Calibri" w:eastAsia="Calibri" w:hAnsi="Calibri" w:cs="Calibri"/>
        </w:rPr>
        <w:t>predominate</w:t>
      </w:r>
      <w:proofErr w:type="gramEnd"/>
      <w:r w:rsidR="00C05BEC">
        <w:rPr>
          <w:rFonts w:ascii="Calibri" w:eastAsia="Calibri" w:hAnsi="Calibri" w:cs="Calibri"/>
        </w:rPr>
        <w:t xml:space="preserve"> here,</w:t>
      </w:r>
      <w:r w:rsidRPr="002677CF">
        <w:rPr>
          <w:rFonts w:ascii="Calibri" w:eastAsia="Calibri" w:hAnsi="Calibri" w:cs="Calibri"/>
        </w:rPr>
        <w:t xml:space="preserve"> as </w:t>
      </w:r>
      <w:r w:rsidR="00C05BEC" w:rsidRPr="002677CF">
        <w:rPr>
          <w:rFonts w:ascii="Calibri" w:eastAsia="Calibri" w:hAnsi="Calibri" w:cs="Calibri"/>
        </w:rPr>
        <w:t>high</w:t>
      </w:r>
      <w:r w:rsidR="00C05BEC">
        <w:rPr>
          <w:rFonts w:ascii="Calibri" w:eastAsia="Calibri" w:hAnsi="Calibri" w:cs="Calibri"/>
        </w:rPr>
        <w:t>-</w:t>
      </w:r>
      <w:r w:rsidRPr="002677CF">
        <w:rPr>
          <w:rFonts w:ascii="Calibri" w:eastAsia="Calibri" w:hAnsi="Calibri" w:cs="Calibri"/>
        </w:rPr>
        <w:t>grade coal is more expensive than low</w:t>
      </w:r>
      <w:r w:rsidR="00C05BEC">
        <w:rPr>
          <w:rFonts w:ascii="Calibri" w:eastAsia="Calibri" w:hAnsi="Calibri" w:cs="Calibri"/>
        </w:rPr>
        <w:t>-</w:t>
      </w:r>
      <w:r w:rsidRPr="002677CF">
        <w:rPr>
          <w:rFonts w:ascii="Calibri" w:eastAsia="Calibri" w:hAnsi="Calibri" w:cs="Calibri"/>
        </w:rPr>
        <w:t>grade. Coal supplied to the electricity sector accounts for 30% of total value compared to nearly 50% of total volume. In terms of contribution to real GDP</w:t>
      </w:r>
      <w:r w:rsidR="00C05BEC">
        <w:rPr>
          <w:rFonts w:ascii="Calibri" w:eastAsia="Calibri" w:hAnsi="Calibri" w:cs="Calibri"/>
        </w:rPr>
        <w:t>,</w:t>
      </w:r>
      <w:r w:rsidRPr="002677CF">
        <w:rPr>
          <w:rFonts w:ascii="Calibri" w:eastAsia="Calibri" w:hAnsi="Calibri" w:cs="Calibri"/>
        </w:rPr>
        <w:t xml:space="preserve"> the </w:t>
      </w:r>
      <w:r w:rsidR="00483E12" w:rsidRPr="002677CF">
        <w:rPr>
          <w:rFonts w:ascii="Calibri" w:eastAsia="Calibri" w:hAnsi="Calibri" w:cs="Calibri"/>
        </w:rPr>
        <w:t>high-grade</w:t>
      </w:r>
      <w:r w:rsidRPr="002677CF">
        <w:rPr>
          <w:rFonts w:ascii="Calibri" w:eastAsia="Calibri" w:hAnsi="Calibri" w:cs="Calibri"/>
        </w:rPr>
        <w:t xml:space="preserve"> coal</w:t>
      </w:r>
      <w:r w:rsidR="00C05BEC">
        <w:rPr>
          <w:rFonts w:ascii="Calibri" w:eastAsia="Calibri" w:hAnsi="Calibri" w:cs="Calibri"/>
        </w:rPr>
        <w:t>-</w:t>
      </w:r>
      <w:r w:rsidRPr="002677CF">
        <w:rPr>
          <w:rFonts w:ascii="Calibri" w:eastAsia="Calibri" w:hAnsi="Calibri" w:cs="Calibri"/>
        </w:rPr>
        <w:t xml:space="preserve">mining sector accounts for more than 60% of the </w:t>
      </w:r>
      <w:r w:rsidR="00C05BEC">
        <w:rPr>
          <w:rFonts w:ascii="Calibri" w:eastAsia="Calibri" w:hAnsi="Calibri" w:cs="Calibri"/>
        </w:rPr>
        <w:t xml:space="preserve">whole </w:t>
      </w:r>
      <w:r w:rsidRPr="002677CF">
        <w:rPr>
          <w:rFonts w:ascii="Calibri" w:eastAsia="Calibri" w:hAnsi="Calibri" w:cs="Calibri"/>
        </w:rPr>
        <w:t>coal</w:t>
      </w:r>
      <w:r w:rsidR="00C05BEC">
        <w:rPr>
          <w:rFonts w:ascii="Calibri" w:eastAsia="Calibri" w:hAnsi="Calibri" w:cs="Calibri"/>
        </w:rPr>
        <w:t>-</w:t>
      </w:r>
      <w:r w:rsidRPr="002677CF">
        <w:rPr>
          <w:rFonts w:ascii="Calibri" w:eastAsia="Calibri" w:hAnsi="Calibri" w:cs="Calibri"/>
        </w:rPr>
        <w:t>mining sector</w:t>
      </w:r>
      <w:r w:rsidR="00C05BEC">
        <w:rPr>
          <w:rFonts w:ascii="Calibri" w:eastAsia="Calibri" w:hAnsi="Calibri" w:cs="Calibri"/>
        </w:rPr>
        <w:t>’</w:t>
      </w:r>
      <w:r w:rsidRPr="002677CF">
        <w:rPr>
          <w:rFonts w:ascii="Calibri" w:eastAsia="Calibri" w:hAnsi="Calibri" w:cs="Calibri"/>
        </w:rPr>
        <w:t>s contribution (assuming a share proportionate to sales value).</w:t>
      </w:r>
    </w:p>
    <w:p w14:paraId="5ADAC091" w14:textId="77777777" w:rsidR="003F008C" w:rsidRDefault="003F008C" w:rsidP="007630AB">
      <w:pPr>
        <w:pStyle w:val="Caption-figure"/>
        <w:keepNext/>
        <w:jc w:val="center"/>
      </w:pPr>
      <w:r>
        <w:rPr>
          <w:rFonts w:ascii="Calibri" w:eastAsia="Calibri" w:hAnsi="Calibri" w:cs="Calibri"/>
          <w:noProof/>
        </w:rPr>
        <w:drawing>
          <wp:inline distT="114300" distB="114300" distL="114300" distR="114300" wp14:anchorId="3846FE48" wp14:editId="34B667E2">
            <wp:extent cx="5022377" cy="2975212"/>
            <wp:effectExtent l="0" t="0" r="6985"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66544" cy="3001376"/>
                    </a:xfrm>
                    <a:prstGeom prst="rect">
                      <a:avLst/>
                    </a:prstGeom>
                    <a:ln/>
                  </pic:spPr>
                </pic:pic>
              </a:graphicData>
            </a:graphic>
          </wp:inline>
        </w:drawing>
      </w:r>
    </w:p>
    <w:p w14:paraId="51D74D8E" w14:textId="750A18B9" w:rsidR="00792546" w:rsidRDefault="003F008C" w:rsidP="00A12FA0">
      <w:pPr>
        <w:pStyle w:val="Caption"/>
        <w:spacing w:before="0" w:after="240"/>
        <w:jc w:val="center"/>
        <w:rPr>
          <w:b w:val="0"/>
          <w:i w:val="0"/>
          <w:highlight w:val="magenta"/>
        </w:rPr>
      </w:pPr>
      <w:r>
        <w:t xml:space="preserve">Figure </w:t>
      </w:r>
      <w:r>
        <w:fldChar w:fldCharType="begin"/>
      </w:r>
      <w:r>
        <w:instrText xml:space="preserve"> SEQ Figure \* ARABIC </w:instrText>
      </w:r>
      <w:r>
        <w:fldChar w:fldCharType="separate"/>
      </w:r>
      <w:r w:rsidR="00CD6E58">
        <w:rPr>
          <w:noProof/>
        </w:rPr>
        <w:t>1</w:t>
      </w:r>
      <w:r>
        <w:fldChar w:fldCharType="end"/>
      </w:r>
      <w:r w:rsidR="00071A54">
        <w:t>:</w:t>
      </w:r>
      <w:r>
        <w:t xml:space="preserve"> Volume and value of coal demand and supply by sector, 2012</w:t>
      </w:r>
    </w:p>
    <w:p w14:paraId="24B9AC03" w14:textId="030B9EF6" w:rsidR="007630AB" w:rsidRPr="00A12FA0" w:rsidRDefault="003F008C" w:rsidP="00A12FA0">
      <w:pPr>
        <w:pStyle w:val="Caption-figure"/>
        <w:jc w:val="both"/>
        <w:rPr>
          <w:rFonts w:ascii="Calibri" w:eastAsia="Calibri" w:hAnsi="Calibri" w:cs="Calibri"/>
          <w:b w:val="0"/>
          <w:i w:val="0"/>
          <w:color w:val="auto"/>
        </w:rPr>
      </w:pPr>
      <w:r w:rsidRPr="00A12FA0">
        <w:rPr>
          <w:rFonts w:ascii="Calibri" w:eastAsia="Calibri" w:hAnsi="Calibri" w:cs="Calibri"/>
          <w:b w:val="0"/>
          <w:i w:val="0"/>
          <w:color w:val="auto"/>
        </w:rPr>
        <w:t>Accounting for the recorded price of anthracite and bituminous coal (</w:t>
      </w:r>
      <w:r w:rsidR="00483E12" w:rsidRPr="00A12FA0">
        <w:rPr>
          <w:rFonts w:ascii="Calibri" w:eastAsia="Calibri" w:hAnsi="Calibri" w:cs="Calibri"/>
          <w:b w:val="0"/>
          <w:i w:val="0"/>
          <w:color w:val="auto"/>
        </w:rPr>
        <w:t xml:space="preserve">i.e. </w:t>
      </w:r>
      <w:r w:rsidRPr="00A12FA0">
        <w:rPr>
          <w:rFonts w:ascii="Calibri" w:eastAsia="Calibri" w:hAnsi="Calibri" w:cs="Calibri"/>
          <w:b w:val="0"/>
          <w:i w:val="0"/>
          <w:color w:val="auto"/>
        </w:rPr>
        <w:t>R957 and R222 per ton</w:t>
      </w:r>
      <w:r w:rsidR="00483E12" w:rsidRPr="00A12FA0">
        <w:rPr>
          <w:rFonts w:ascii="Calibri" w:eastAsia="Calibri" w:hAnsi="Calibri" w:cs="Calibri"/>
          <w:b w:val="0"/>
          <w:i w:val="0"/>
          <w:color w:val="auto"/>
        </w:rPr>
        <w:t xml:space="preserve"> as per</w:t>
      </w:r>
      <w:r w:rsidRPr="00A12FA0">
        <w:rPr>
          <w:rFonts w:ascii="Calibri" w:eastAsia="Calibri" w:hAnsi="Calibri" w:cs="Calibri"/>
          <w:b w:val="0"/>
          <w:i w:val="0"/>
          <w:color w:val="auto"/>
        </w:rPr>
        <w:t xml:space="preserve"> DoE </w:t>
      </w:r>
      <w:r w:rsidR="009103B5" w:rsidRPr="00A12FA0">
        <w:rPr>
          <w:rFonts w:ascii="Calibri" w:eastAsia="Calibri" w:hAnsi="Calibri" w:cs="Calibri"/>
          <w:b w:val="0"/>
          <w:i w:val="0"/>
          <w:color w:val="auto"/>
        </w:rPr>
        <w:t>(</w:t>
      </w:r>
      <w:r w:rsidRPr="00A12FA0">
        <w:rPr>
          <w:rFonts w:ascii="Calibri" w:eastAsia="Calibri" w:hAnsi="Calibri" w:cs="Calibri"/>
          <w:b w:val="0"/>
          <w:i w:val="0"/>
          <w:color w:val="auto"/>
        </w:rPr>
        <w:t>2012</w:t>
      </w:r>
      <w:r w:rsidR="009103B5" w:rsidRPr="00A12FA0">
        <w:rPr>
          <w:rFonts w:ascii="Calibri" w:eastAsia="Calibri" w:hAnsi="Calibri" w:cs="Calibri"/>
          <w:b w:val="0"/>
          <w:i w:val="0"/>
          <w:color w:val="auto"/>
        </w:rPr>
        <w:t>)</w:t>
      </w:r>
      <w:r w:rsidRPr="00A12FA0">
        <w:rPr>
          <w:rFonts w:ascii="Calibri" w:eastAsia="Calibri" w:hAnsi="Calibri" w:cs="Calibri"/>
          <w:b w:val="0"/>
          <w:i w:val="0"/>
          <w:color w:val="auto"/>
        </w:rPr>
        <w:t>) as well as the respective calorific factors for coal used in the various sectors, the value of coal demanded according to the energy balance is 17% higher than that reported in the SAM</w:t>
      </w:r>
      <w:r w:rsidR="00071A54">
        <w:rPr>
          <w:rFonts w:ascii="Calibri" w:eastAsia="Calibri" w:hAnsi="Calibri" w:cs="Calibri"/>
          <w:b w:val="0"/>
          <w:i w:val="0"/>
          <w:color w:val="auto"/>
        </w:rPr>
        <w:t>,</w:t>
      </w:r>
      <w:r w:rsidRPr="00A12FA0">
        <w:rPr>
          <w:rFonts w:ascii="Calibri" w:eastAsia="Calibri" w:hAnsi="Calibri" w:cs="Calibri"/>
          <w:b w:val="0"/>
          <w:i w:val="0"/>
          <w:color w:val="auto"/>
        </w:rPr>
        <w:t xml:space="preserve"> which is based on the 2012 </w:t>
      </w:r>
      <w:r w:rsidR="00071A54">
        <w:rPr>
          <w:rFonts w:ascii="Calibri" w:eastAsia="Calibri" w:hAnsi="Calibri" w:cs="Calibri"/>
          <w:b w:val="0"/>
          <w:i w:val="0"/>
          <w:color w:val="auto"/>
        </w:rPr>
        <w:t>s</w:t>
      </w:r>
      <w:r w:rsidR="00071A54" w:rsidRPr="00A12FA0">
        <w:rPr>
          <w:rFonts w:ascii="Calibri" w:eastAsia="Calibri" w:hAnsi="Calibri" w:cs="Calibri"/>
          <w:b w:val="0"/>
          <w:i w:val="0"/>
          <w:color w:val="auto"/>
        </w:rPr>
        <w:t xml:space="preserve">upply </w:t>
      </w:r>
      <w:r w:rsidRPr="00A12FA0">
        <w:rPr>
          <w:rFonts w:ascii="Calibri" w:eastAsia="Calibri" w:hAnsi="Calibri" w:cs="Calibri"/>
          <w:b w:val="0"/>
          <w:i w:val="0"/>
          <w:color w:val="auto"/>
        </w:rPr>
        <w:t xml:space="preserve">and </w:t>
      </w:r>
      <w:r w:rsidR="00071A54">
        <w:rPr>
          <w:rFonts w:ascii="Calibri" w:eastAsia="Calibri" w:hAnsi="Calibri" w:cs="Calibri"/>
          <w:b w:val="0"/>
          <w:i w:val="0"/>
          <w:color w:val="auto"/>
        </w:rPr>
        <w:t>u</w:t>
      </w:r>
      <w:r w:rsidR="00071A54" w:rsidRPr="00A12FA0">
        <w:rPr>
          <w:rFonts w:ascii="Calibri" w:eastAsia="Calibri" w:hAnsi="Calibri" w:cs="Calibri"/>
          <w:b w:val="0"/>
          <w:i w:val="0"/>
          <w:color w:val="auto"/>
        </w:rPr>
        <w:t xml:space="preserve">se </w:t>
      </w:r>
      <w:r w:rsidRPr="00A12FA0">
        <w:rPr>
          <w:rFonts w:ascii="Calibri" w:eastAsia="Calibri" w:hAnsi="Calibri" w:cs="Calibri"/>
          <w:b w:val="0"/>
          <w:i w:val="0"/>
          <w:color w:val="auto"/>
        </w:rPr>
        <w:t>tables. In addition, dividing the SAM consumption values by the energy balance volumes, shows differential pricing between sectors</w:t>
      </w:r>
      <w:r w:rsidR="00202EE7">
        <w:rPr>
          <w:rFonts w:ascii="Calibri" w:eastAsia="Calibri" w:hAnsi="Calibri" w:cs="Calibri"/>
          <w:b w:val="0"/>
          <w:i w:val="0"/>
          <w:color w:val="auto"/>
        </w:rPr>
        <w:t xml:space="preserve"> (see </w:t>
      </w:r>
      <w:r w:rsidRPr="00A12FA0">
        <w:rPr>
          <w:rFonts w:ascii="Calibri" w:eastAsia="Calibri" w:hAnsi="Calibri" w:cs="Calibri"/>
          <w:b w:val="0"/>
          <w:i w:val="0"/>
          <w:color w:val="auto"/>
        </w:rPr>
        <w:t xml:space="preserve">Figure </w:t>
      </w:r>
      <w:r w:rsidR="007630AB" w:rsidRPr="00A12FA0">
        <w:rPr>
          <w:rFonts w:ascii="Calibri" w:eastAsia="Calibri" w:hAnsi="Calibri" w:cs="Calibri"/>
          <w:b w:val="0"/>
          <w:i w:val="0"/>
          <w:color w:val="auto"/>
        </w:rPr>
        <w:t>2</w:t>
      </w:r>
      <w:r w:rsidR="00202EE7">
        <w:rPr>
          <w:rFonts w:ascii="Calibri" w:eastAsia="Calibri" w:hAnsi="Calibri" w:cs="Calibri"/>
          <w:b w:val="0"/>
          <w:i w:val="0"/>
          <w:color w:val="auto"/>
        </w:rPr>
        <w:t>)</w:t>
      </w:r>
      <w:r w:rsidRPr="00A12FA0">
        <w:rPr>
          <w:rFonts w:ascii="Calibri" w:eastAsia="Calibri" w:hAnsi="Calibri" w:cs="Calibri"/>
          <w:b w:val="0"/>
          <w:i w:val="0"/>
          <w:color w:val="auto"/>
        </w:rPr>
        <w:t>.</w:t>
      </w:r>
    </w:p>
    <w:p w14:paraId="6F1AE285" w14:textId="21EF68B9" w:rsidR="003F008C" w:rsidRPr="002677CF" w:rsidRDefault="003F008C" w:rsidP="002677CF">
      <w:pPr>
        <w:pStyle w:val="Caption-figure"/>
        <w:jc w:val="center"/>
        <w:rPr>
          <w:rFonts w:ascii="Calibri" w:eastAsia="Calibri" w:hAnsi="Calibri" w:cs="Calibri"/>
          <w:b w:val="0"/>
          <w:i w:val="0"/>
          <w:color w:val="auto"/>
        </w:rPr>
      </w:pPr>
      <w:r>
        <w:rPr>
          <w:rFonts w:ascii="Calibri" w:eastAsia="Calibri" w:hAnsi="Calibri" w:cs="Calibri"/>
          <w:noProof/>
        </w:rPr>
        <w:drawing>
          <wp:inline distT="114300" distB="114300" distL="114300" distR="114300" wp14:anchorId="3EA4D8AD" wp14:editId="574234C6">
            <wp:extent cx="4176215" cy="2702257"/>
            <wp:effectExtent l="0" t="0" r="0" b="3175"/>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277694" cy="2767920"/>
                    </a:xfrm>
                    <a:prstGeom prst="rect">
                      <a:avLst/>
                    </a:prstGeom>
                    <a:ln/>
                  </pic:spPr>
                </pic:pic>
              </a:graphicData>
            </a:graphic>
          </wp:inline>
        </w:drawing>
      </w:r>
    </w:p>
    <w:p w14:paraId="695C3A8C" w14:textId="132CD5FC" w:rsidR="003F008C" w:rsidRDefault="003F008C" w:rsidP="00A12FA0">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2</w:t>
      </w:r>
      <w:r>
        <w:fldChar w:fldCharType="end"/>
      </w:r>
      <w:r w:rsidR="00071A54">
        <w:t>:</w:t>
      </w:r>
      <w:r>
        <w:t xml:space="preserve"> </w:t>
      </w:r>
      <w:r w:rsidRPr="002A0110">
        <w:t>Implied price of coal paid by sector, 2012</w:t>
      </w:r>
    </w:p>
    <w:p w14:paraId="26893373" w14:textId="21977127" w:rsidR="00202EE7" w:rsidRPr="00202EE7" w:rsidRDefault="00202EE7" w:rsidP="00202EE7">
      <w:pPr>
        <w:pStyle w:val="Caption-figure"/>
        <w:jc w:val="both"/>
        <w:rPr>
          <w:rFonts w:ascii="Calibri" w:eastAsia="Calibri" w:hAnsi="Calibri" w:cs="Calibri"/>
          <w:b w:val="0"/>
          <w:i w:val="0"/>
          <w:color w:val="auto"/>
        </w:rPr>
      </w:pPr>
      <w:r w:rsidRPr="00A12FA0">
        <w:rPr>
          <w:rFonts w:ascii="Calibri" w:eastAsia="Calibri" w:hAnsi="Calibri" w:cs="Calibri"/>
          <w:b w:val="0"/>
          <w:i w:val="0"/>
          <w:color w:val="auto"/>
        </w:rPr>
        <w:t>CGE models generally use economy-wide prices. As such</w:t>
      </w:r>
      <w:r w:rsidR="00071A54">
        <w:rPr>
          <w:rFonts w:ascii="Calibri" w:eastAsia="Calibri" w:hAnsi="Calibri" w:cs="Calibri"/>
          <w:b w:val="0"/>
          <w:i w:val="0"/>
          <w:color w:val="auto"/>
        </w:rPr>
        <w:t>,</w:t>
      </w:r>
      <w:r w:rsidRPr="00A12FA0">
        <w:rPr>
          <w:rFonts w:ascii="Calibri" w:eastAsia="Calibri" w:hAnsi="Calibri" w:cs="Calibri"/>
          <w:b w:val="0"/>
          <w:i w:val="0"/>
          <w:color w:val="auto"/>
        </w:rPr>
        <w:t xml:space="preserve"> each commodity has a single price which is faced by all users. To account for the differential prices in the coal market, a distortion variable is included in the CGE model to capture the premium or subsidy faced by each sector. This is calculated such that the sum of the premiums and subsidies applied net to zero. Imposing such a condition results in the SAM volumes matching more closely to those reported in the energy balance (see Figure 3).</w:t>
      </w:r>
    </w:p>
    <w:p w14:paraId="552429A0" w14:textId="335A33FD" w:rsidR="003F008C" w:rsidRDefault="003F008C" w:rsidP="007630AB">
      <w:pPr>
        <w:keepNext/>
        <w:jc w:val="center"/>
      </w:pPr>
      <w:r>
        <w:rPr>
          <w:rFonts w:ascii="Calibri" w:eastAsia="Calibri" w:hAnsi="Calibri" w:cs="Calibri"/>
          <w:noProof/>
        </w:rPr>
        <w:drawing>
          <wp:inline distT="114300" distB="114300" distL="114300" distR="114300" wp14:anchorId="51CB822A" wp14:editId="39D545B4">
            <wp:extent cx="4667535" cy="2947917"/>
            <wp:effectExtent l="0" t="0" r="0" b="508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00834" cy="2968948"/>
                    </a:xfrm>
                    <a:prstGeom prst="rect">
                      <a:avLst/>
                    </a:prstGeom>
                    <a:ln/>
                  </pic:spPr>
                </pic:pic>
              </a:graphicData>
            </a:graphic>
          </wp:inline>
        </w:drawing>
      </w:r>
    </w:p>
    <w:p w14:paraId="6BF4A2A1" w14:textId="54F0B98F" w:rsidR="003F008C" w:rsidRPr="00A12FA0" w:rsidRDefault="003F008C" w:rsidP="00A12FA0">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3</w:t>
      </w:r>
      <w:r>
        <w:fldChar w:fldCharType="end"/>
      </w:r>
      <w:r w:rsidR="00071A54">
        <w:t>:</w:t>
      </w:r>
      <w:r>
        <w:t xml:space="preserve"> </w:t>
      </w:r>
      <w:r w:rsidRPr="00906294">
        <w:t>Calibrated CGE model base year volumes compared to the energy balance, 2012</w:t>
      </w:r>
    </w:p>
    <w:p w14:paraId="075BCDED" w14:textId="66F1E20A" w:rsidR="003F008C" w:rsidRDefault="003F008C" w:rsidP="003F008C">
      <w:pPr>
        <w:spacing w:after="160"/>
        <w:rPr>
          <w:rFonts w:ascii="Calibri" w:eastAsia="Calibri" w:hAnsi="Calibri" w:cs="Calibri"/>
        </w:rPr>
      </w:pPr>
      <w:r>
        <w:rPr>
          <w:rFonts w:ascii="Calibri" w:eastAsia="Calibri" w:hAnsi="Calibri" w:cs="Calibri"/>
        </w:rPr>
        <w:t>In addition to the changes mentioned above</w:t>
      </w:r>
      <w:r w:rsidR="009103B5">
        <w:rPr>
          <w:rFonts w:ascii="Calibri" w:eastAsia="Calibri" w:hAnsi="Calibri" w:cs="Calibri"/>
        </w:rPr>
        <w:t xml:space="preserve">, the </w:t>
      </w:r>
      <w:r>
        <w:rPr>
          <w:rFonts w:ascii="Calibri" w:eastAsia="Calibri" w:hAnsi="Calibri" w:cs="Calibri"/>
        </w:rPr>
        <w:t>changes</w:t>
      </w:r>
      <w:r w:rsidR="009103B5">
        <w:rPr>
          <w:rFonts w:ascii="Calibri" w:eastAsia="Calibri" w:hAnsi="Calibri" w:cs="Calibri"/>
        </w:rPr>
        <w:t xml:space="preserve"> below</w:t>
      </w:r>
      <w:r>
        <w:rPr>
          <w:rFonts w:ascii="Calibri" w:eastAsia="Calibri" w:hAnsi="Calibri" w:cs="Calibri"/>
        </w:rPr>
        <w:t xml:space="preserve"> were also made to the SAM to account for differences in statistics and simplify model adjustments over time. </w:t>
      </w:r>
    </w:p>
    <w:p w14:paraId="67F7B48B" w14:textId="27D00093" w:rsidR="003F008C" w:rsidRPr="00BB0B7E" w:rsidRDefault="003F008C" w:rsidP="002E796D">
      <w:pPr>
        <w:numPr>
          <w:ilvl w:val="0"/>
          <w:numId w:val="10"/>
        </w:numPr>
        <w:spacing w:line="276" w:lineRule="auto"/>
        <w:ind w:left="357" w:hanging="357"/>
        <w:rPr>
          <w:rFonts w:ascii="Calibri" w:eastAsia="Calibri" w:hAnsi="Calibri" w:cs="Calibri"/>
        </w:rPr>
      </w:pPr>
      <w:r w:rsidRPr="00BB0B7E">
        <w:rPr>
          <w:rFonts w:ascii="Calibri" w:eastAsia="Calibri" w:hAnsi="Calibri" w:cs="Calibri"/>
        </w:rPr>
        <w:t xml:space="preserve">The trade and transport margins for </w:t>
      </w:r>
      <w:r w:rsidR="00071A54" w:rsidRPr="00BB0B7E">
        <w:rPr>
          <w:rFonts w:ascii="Calibri" w:eastAsia="Calibri" w:hAnsi="Calibri" w:cs="Calibri"/>
        </w:rPr>
        <w:t>low</w:t>
      </w:r>
      <w:r w:rsidR="00071A54">
        <w:rPr>
          <w:rFonts w:ascii="Calibri" w:eastAsia="Calibri" w:hAnsi="Calibri" w:cs="Calibri"/>
        </w:rPr>
        <w:t>-</w:t>
      </w:r>
      <w:r w:rsidRPr="00BB0B7E">
        <w:rPr>
          <w:rFonts w:ascii="Calibri" w:eastAsia="Calibri" w:hAnsi="Calibri" w:cs="Calibri"/>
        </w:rPr>
        <w:t xml:space="preserve">grade coal </w:t>
      </w:r>
      <w:r w:rsidR="00071A54" w:rsidRPr="00BB0B7E">
        <w:rPr>
          <w:rFonts w:ascii="Calibri" w:eastAsia="Calibri" w:hAnsi="Calibri" w:cs="Calibri"/>
        </w:rPr>
        <w:t>w</w:t>
      </w:r>
      <w:r w:rsidR="00071A54">
        <w:rPr>
          <w:rFonts w:ascii="Calibri" w:eastAsia="Calibri" w:hAnsi="Calibri" w:cs="Calibri"/>
        </w:rPr>
        <w:t>ere</w:t>
      </w:r>
      <w:r w:rsidR="00071A54" w:rsidRPr="00BB0B7E">
        <w:rPr>
          <w:rFonts w:ascii="Calibri" w:eastAsia="Calibri" w:hAnsi="Calibri" w:cs="Calibri"/>
        </w:rPr>
        <w:t xml:space="preserve"> </w:t>
      </w:r>
      <w:r w:rsidRPr="00BB0B7E">
        <w:rPr>
          <w:rFonts w:ascii="Calibri" w:eastAsia="Calibri" w:hAnsi="Calibri" w:cs="Calibri"/>
        </w:rPr>
        <w:t xml:space="preserve">shifted into the production vector of the electricity sector such that transport expenditure by the sector is equivalent to that reported by Eskom for 2012. Eskom purchases coal from different mines in South Africa. Coal contracts have traditionally been </w:t>
      </w:r>
      <w:r w:rsidR="00071A54" w:rsidRPr="00BB0B7E">
        <w:rPr>
          <w:rFonts w:ascii="Calibri" w:eastAsia="Calibri" w:hAnsi="Calibri" w:cs="Calibri"/>
        </w:rPr>
        <w:t>long</w:t>
      </w:r>
      <w:r w:rsidR="00071A54">
        <w:rPr>
          <w:rFonts w:ascii="Calibri" w:eastAsia="Calibri" w:hAnsi="Calibri" w:cs="Calibri"/>
        </w:rPr>
        <w:t>-</w:t>
      </w:r>
      <w:r w:rsidRPr="00BB0B7E">
        <w:rPr>
          <w:rFonts w:ascii="Calibri" w:eastAsia="Calibri" w:hAnsi="Calibri" w:cs="Calibri"/>
        </w:rPr>
        <w:t>term contracts</w:t>
      </w:r>
      <w:r w:rsidR="00071A54">
        <w:rPr>
          <w:rFonts w:ascii="Calibri" w:eastAsia="Calibri" w:hAnsi="Calibri" w:cs="Calibri"/>
        </w:rPr>
        <w:t>,</w:t>
      </w:r>
      <w:r w:rsidRPr="00BB0B7E">
        <w:rPr>
          <w:rFonts w:ascii="Calibri" w:eastAsia="Calibri" w:hAnsi="Calibri" w:cs="Calibri"/>
        </w:rPr>
        <w:t xml:space="preserve"> but more recently an increasing number of shorter-term contracts, with smaller mines, have</w:t>
      </w:r>
      <w:r w:rsidR="00BB0B7E" w:rsidRPr="00BB0B7E">
        <w:rPr>
          <w:rFonts w:ascii="Calibri" w:eastAsia="Calibri" w:hAnsi="Calibri" w:cs="Calibri"/>
        </w:rPr>
        <w:t xml:space="preserve"> been in place</w:t>
      </w:r>
      <w:r w:rsidRPr="00BB0B7E">
        <w:rPr>
          <w:rFonts w:ascii="Calibri" w:eastAsia="Calibri" w:hAnsi="Calibri" w:cs="Calibri"/>
        </w:rPr>
        <w:t>. The transportation of coal to power plants occur</w:t>
      </w:r>
      <w:r w:rsidR="00071A54">
        <w:rPr>
          <w:rFonts w:ascii="Calibri" w:eastAsia="Calibri" w:hAnsi="Calibri" w:cs="Calibri"/>
        </w:rPr>
        <w:t>s</w:t>
      </w:r>
      <w:r w:rsidRPr="00BB0B7E">
        <w:rPr>
          <w:rFonts w:ascii="Calibri" w:eastAsia="Calibri" w:hAnsi="Calibri" w:cs="Calibri"/>
        </w:rPr>
        <w:t xml:space="preserve"> in a number of ways, includ</w:t>
      </w:r>
      <w:r w:rsidR="00202EE7" w:rsidRPr="00BB0B7E">
        <w:rPr>
          <w:rFonts w:ascii="Calibri" w:eastAsia="Calibri" w:hAnsi="Calibri" w:cs="Calibri"/>
        </w:rPr>
        <w:t>ing</w:t>
      </w:r>
      <w:r w:rsidRPr="00BB0B7E">
        <w:rPr>
          <w:rFonts w:ascii="Calibri" w:eastAsia="Calibri" w:hAnsi="Calibri" w:cs="Calibri"/>
        </w:rPr>
        <w:t xml:space="preserve"> conveyor belt, </w:t>
      </w:r>
      <w:r w:rsidR="00071A54" w:rsidRPr="00BB0B7E">
        <w:rPr>
          <w:rFonts w:ascii="Calibri" w:eastAsia="Calibri" w:hAnsi="Calibri" w:cs="Calibri"/>
        </w:rPr>
        <w:t>coal</w:t>
      </w:r>
      <w:r w:rsidR="00071A54">
        <w:rPr>
          <w:rFonts w:ascii="Calibri" w:eastAsia="Calibri" w:hAnsi="Calibri" w:cs="Calibri"/>
        </w:rPr>
        <w:t>-</w:t>
      </w:r>
      <w:r w:rsidRPr="00BB0B7E">
        <w:rPr>
          <w:rFonts w:ascii="Calibri" w:eastAsia="Calibri" w:hAnsi="Calibri" w:cs="Calibri"/>
        </w:rPr>
        <w:t xml:space="preserve">mine delivery using </w:t>
      </w:r>
      <w:r w:rsidR="00202EE7" w:rsidRPr="00BB0B7E">
        <w:rPr>
          <w:rFonts w:ascii="Calibri" w:eastAsia="Calibri" w:hAnsi="Calibri" w:cs="Calibri"/>
        </w:rPr>
        <w:t>own or third-party</w:t>
      </w:r>
      <w:r w:rsidRPr="00BB0B7E">
        <w:rPr>
          <w:rFonts w:ascii="Calibri" w:eastAsia="Calibri" w:hAnsi="Calibri" w:cs="Calibri"/>
        </w:rPr>
        <w:t xml:space="preserve"> transport;</w:t>
      </w:r>
      <w:r w:rsidR="00202EE7" w:rsidRPr="00BB0B7E">
        <w:rPr>
          <w:rFonts w:ascii="Calibri" w:eastAsia="Calibri" w:hAnsi="Calibri" w:cs="Calibri"/>
        </w:rPr>
        <w:t xml:space="preserve"> and</w:t>
      </w:r>
      <w:r w:rsidRPr="00BB0B7E">
        <w:rPr>
          <w:rFonts w:ascii="Calibri" w:eastAsia="Calibri" w:hAnsi="Calibri" w:cs="Calibri"/>
        </w:rPr>
        <w:t xml:space="preserve"> Eskom transport using </w:t>
      </w:r>
      <w:proofErr w:type="gramStart"/>
      <w:r w:rsidRPr="00BB0B7E">
        <w:rPr>
          <w:rFonts w:ascii="Calibri" w:eastAsia="Calibri" w:hAnsi="Calibri" w:cs="Calibri"/>
        </w:rPr>
        <w:t>own or third party</w:t>
      </w:r>
      <w:proofErr w:type="gramEnd"/>
      <w:r w:rsidRPr="00BB0B7E">
        <w:rPr>
          <w:rFonts w:ascii="Calibri" w:eastAsia="Calibri" w:hAnsi="Calibri" w:cs="Calibri"/>
        </w:rPr>
        <w:t xml:space="preserve"> services</w:t>
      </w:r>
      <w:r w:rsidR="00071A54">
        <w:rPr>
          <w:rFonts w:ascii="Calibri" w:eastAsia="Calibri" w:hAnsi="Calibri" w:cs="Calibri"/>
        </w:rPr>
        <w:t xml:space="preserve"> paid for by Eskom</w:t>
      </w:r>
      <w:r w:rsidRPr="00BB0B7E">
        <w:rPr>
          <w:rFonts w:ascii="Calibri" w:eastAsia="Calibri" w:hAnsi="Calibri" w:cs="Calibri"/>
        </w:rPr>
        <w:t>. Based on these differences, the cost of delivery from the coal</w:t>
      </w:r>
      <w:r w:rsidR="00071A54">
        <w:rPr>
          <w:rFonts w:ascii="Calibri" w:eastAsia="Calibri" w:hAnsi="Calibri" w:cs="Calibri"/>
        </w:rPr>
        <w:t>-</w:t>
      </w:r>
      <w:r w:rsidRPr="00BB0B7E">
        <w:rPr>
          <w:rFonts w:ascii="Calibri" w:eastAsia="Calibri" w:hAnsi="Calibri" w:cs="Calibri"/>
        </w:rPr>
        <w:t xml:space="preserve">mine to Eskom is captured in different parts of the supply and use tables and hence social accounting matrix (EC, 2009). The price of coal purchased for power generation is expected to increase over time as a result of </w:t>
      </w:r>
      <w:r w:rsidR="00BB0B7E" w:rsidRPr="00BB0B7E">
        <w:rPr>
          <w:rFonts w:ascii="Calibri" w:eastAsia="Calibri" w:hAnsi="Calibri" w:cs="Calibri"/>
        </w:rPr>
        <w:t>declining resource qualities, increas</w:t>
      </w:r>
      <w:r w:rsidR="00BB0B7E">
        <w:rPr>
          <w:rFonts w:ascii="Calibri" w:eastAsia="Calibri" w:hAnsi="Calibri" w:cs="Calibri"/>
        </w:rPr>
        <w:t>ing</w:t>
      </w:r>
      <w:r w:rsidR="00BB0B7E" w:rsidRPr="00BB0B7E">
        <w:rPr>
          <w:rFonts w:ascii="Calibri" w:eastAsia="Calibri" w:hAnsi="Calibri" w:cs="Calibri"/>
        </w:rPr>
        <w:t xml:space="preserve"> </w:t>
      </w:r>
      <w:r w:rsidR="00BB0B7E">
        <w:rPr>
          <w:rFonts w:ascii="Calibri" w:eastAsia="Calibri" w:hAnsi="Calibri" w:cs="Calibri"/>
        </w:rPr>
        <w:t>operation</w:t>
      </w:r>
      <w:r w:rsidR="00BB0B7E" w:rsidRPr="00BB0B7E">
        <w:rPr>
          <w:rFonts w:ascii="Calibri" w:eastAsia="Calibri" w:hAnsi="Calibri" w:cs="Calibri"/>
        </w:rPr>
        <w:t xml:space="preserve"> costs</w:t>
      </w:r>
      <w:r w:rsidR="00BB0B7E">
        <w:rPr>
          <w:rFonts w:ascii="Calibri" w:eastAsia="Calibri" w:hAnsi="Calibri" w:cs="Calibri"/>
        </w:rPr>
        <w:t>,</w:t>
      </w:r>
      <w:r w:rsidR="00BB0B7E" w:rsidRPr="00BB0B7E">
        <w:rPr>
          <w:rFonts w:ascii="Calibri" w:eastAsia="Calibri" w:hAnsi="Calibri" w:cs="Calibri"/>
        </w:rPr>
        <w:t xml:space="preserve"> </w:t>
      </w:r>
      <w:r w:rsidR="00BB0B7E">
        <w:rPr>
          <w:rFonts w:ascii="Calibri" w:eastAsia="Calibri" w:hAnsi="Calibri" w:cs="Calibri"/>
        </w:rPr>
        <w:t xml:space="preserve">the </w:t>
      </w:r>
      <w:r w:rsidR="00BB0B7E" w:rsidRPr="00BB0B7E">
        <w:rPr>
          <w:rFonts w:ascii="Calibri" w:eastAsia="Calibri" w:hAnsi="Calibri" w:cs="Calibri"/>
        </w:rPr>
        <w:t>need for new capital</w:t>
      </w:r>
      <w:r w:rsidR="00BB0B7E">
        <w:rPr>
          <w:rFonts w:ascii="Calibri" w:eastAsia="Calibri" w:hAnsi="Calibri" w:cs="Calibri"/>
        </w:rPr>
        <w:t>, and</w:t>
      </w:r>
      <w:r w:rsidR="00BB0B7E" w:rsidRPr="00BB0B7E">
        <w:rPr>
          <w:rFonts w:ascii="Calibri" w:eastAsia="Calibri" w:hAnsi="Calibri" w:cs="Calibri"/>
        </w:rPr>
        <w:t xml:space="preserve"> </w:t>
      </w:r>
      <w:r w:rsidRPr="00BB0B7E">
        <w:rPr>
          <w:rFonts w:ascii="Calibri" w:eastAsia="Calibri" w:hAnsi="Calibri" w:cs="Calibri"/>
        </w:rPr>
        <w:t>higher transport costs</w:t>
      </w:r>
      <w:r w:rsidR="008A7A0F" w:rsidRPr="00BB0B7E">
        <w:rPr>
          <w:rFonts w:ascii="Calibri" w:eastAsia="Calibri" w:hAnsi="Calibri" w:cs="Calibri"/>
        </w:rPr>
        <w:t xml:space="preserve"> (see Burton et al., 2018)</w:t>
      </w:r>
      <w:r w:rsidRPr="00BB0B7E">
        <w:rPr>
          <w:rFonts w:ascii="Calibri" w:eastAsia="Calibri" w:hAnsi="Calibri" w:cs="Calibri"/>
        </w:rPr>
        <w:t xml:space="preserve">. To account for </w:t>
      </w:r>
      <w:r w:rsidR="008A7A0F" w:rsidRPr="00BB0B7E">
        <w:rPr>
          <w:rFonts w:ascii="Calibri" w:eastAsia="Calibri" w:hAnsi="Calibri" w:cs="Calibri"/>
        </w:rPr>
        <w:t>this,</w:t>
      </w:r>
      <w:r w:rsidRPr="00BB0B7E">
        <w:rPr>
          <w:rFonts w:ascii="Calibri" w:eastAsia="Calibri" w:hAnsi="Calibri" w:cs="Calibri"/>
        </w:rPr>
        <w:t xml:space="preserve"> this adjustment is made. In the case of refineries, low</w:t>
      </w:r>
      <w:r w:rsidR="00071A54">
        <w:rPr>
          <w:rFonts w:ascii="Calibri" w:eastAsia="Calibri" w:hAnsi="Calibri" w:cs="Calibri"/>
        </w:rPr>
        <w:t>-</w:t>
      </w:r>
      <w:r w:rsidRPr="00BB0B7E">
        <w:rPr>
          <w:rFonts w:ascii="Calibri" w:eastAsia="Calibri" w:hAnsi="Calibri" w:cs="Calibri"/>
        </w:rPr>
        <w:t xml:space="preserve">grade coal is transported from Sasol’s mines to process facilities via conveyor belt. This cost is captured within Sasol’s expenditure. </w:t>
      </w:r>
    </w:p>
    <w:p w14:paraId="24D62239" w14:textId="7ABDE018" w:rsidR="003F008C" w:rsidRDefault="003F008C" w:rsidP="002E796D">
      <w:pPr>
        <w:numPr>
          <w:ilvl w:val="0"/>
          <w:numId w:val="10"/>
        </w:numPr>
        <w:spacing w:line="276" w:lineRule="auto"/>
        <w:ind w:left="357" w:hanging="357"/>
        <w:rPr>
          <w:rFonts w:ascii="Calibri" w:eastAsia="Calibri" w:hAnsi="Calibri" w:cs="Calibri"/>
        </w:rPr>
      </w:pPr>
      <w:r>
        <w:rPr>
          <w:rFonts w:ascii="Calibri" w:eastAsia="Calibri" w:hAnsi="Calibri" w:cs="Calibri"/>
        </w:rPr>
        <w:t>In comparing the SAM to the energy balance</w:t>
      </w:r>
      <w:r w:rsidR="00071A54">
        <w:rPr>
          <w:rFonts w:ascii="Calibri" w:eastAsia="Calibri" w:hAnsi="Calibri" w:cs="Calibri"/>
        </w:rPr>
        <w:t>,</w:t>
      </w:r>
      <w:r>
        <w:rPr>
          <w:rFonts w:ascii="Calibri" w:eastAsia="Calibri" w:hAnsi="Calibri" w:cs="Calibri"/>
        </w:rPr>
        <w:t xml:space="preserve"> a larger than expected amount of coal was used in the mining sector in the SAM relative to the energy balance. Similarly, the value consumed by the power sector was too low. These were adjusted in line with the energy balance.</w:t>
      </w:r>
    </w:p>
    <w:p w14:paraId="45EBA37F" w14:textId="614AE690" w:rsidR="003F008C" w:rsidRDefault="003F008C" w:rsidP="002E796D">
      <w:pPr>
        <w:numPr>
          <w:ilvl w:val="0"/>
          <w:numId w:val="10"/>
        </w:numPr>
        <w:spacing w:line="276" w:lineRule="auto"/>
        <w:ind w:left="357" w:hanging="357"/>
        <w:rPr>
          <w:rFonts w:ascii="Calibri" w:eastAsia="Calibri" w:hAnsi="Calibri" w:cs="Calibri"/>
        </w:rPr>
      </w:pPr>
      <w:r>
        <w:rPr>
          <w:rFonts w:ascii="Calibri" w:eastAsia="Calibri" w:hAnsi="Calibri" w:cs="Calibri"/>
        </w:rPr>
        <w:t xml:space="preserve">The SAM reports that coal is consumed by freight and passenger transport services. This does not reflect in the energy balance. The consumption of coal, which accounts for </w:t>
      </w:r>
      <w:r w:rsidR="00A00F32">
        <w:rPr>
          <w:rFonts w:ascii="Calibri" w:eastAsia="Calibri" w:hAnsi="Calibri" w:cs="Calibri"/>
        </w:rPr>
        <w:t>0.06</w:t>
      </w:r>
      <w:r>
        <w:rPr>
          <w:rFonts w:ascii="Calibri" w:eastAsia="Calibri" w:hAnsi="Calibri" w:cs="Calibri"/>
        </w:rPr>
        <w:t xml:space="preserve">% of freight and passenger transport </w:t>
      </w:r>
      <w:r w:rsidR="00A00F32">
        <w:rPr>
          <w:rFonts w:ascii="Calibri" w:eastAsia="Calibri" w:hAnsi="Calibri" w:cs="Calibri"/>
        </w:rPr>
        <w:t xml:space="preserve">intermediate </w:t>
      </w:r>
      <w:r>
        <w:rPr>
          <w:rFonts w:ascii="Calibri" w:eastAsia="Calibri" w:hAnsi="Calibri" w:cs="Calibri"/>
        </w:rPr>
        <w:t>consumption, is shifted out of the sector and into the other transport services sector</w:t>
      </w:r>
      <w:r w:rsidR="00071A54">
        <w:rPr>
          <w:rFonts w:ascii="Calibri" w:eastAsia="Calibri" w:hAnsi="Calibri" w:cs="Calibri"/>
        </w:rPr>
        <w:t>,</w:t>
      </w:r>
      <w:r>
        <w:rPr>
          <w:rFonts w:ascii="Calibri" w:eastAsia="Calibri" w:hAnsi="Calibri" w:cs="Calibri"/>
        </w:rPr>
        <w:t xml:space="preserve"> which comprises ancillary services that support the transport sector. The freight and passenger transport sectors consume more of these support services in return.</w:t>
      </w:r>
    </w:p>
    <w:p w14:paraId="2C4EA571" w14:textId="71B2C032" w:rsidR="00A12FA0" w:rsidRPr="00A12FA0" w:rsidRDefault="003F008C" w:rsidP="002E796D">
      <w:pPr>
        <w:numPr>
          <w:ilvl w:val="0"/>
          <w:numId w:val="10"/>
        </w:numPr>
        <w:spacing w:line="276" w:lineRule="auto"/>
        <w:ind w:left="357" w:hanging="357"/>
        <w:rPr>
          <w:rFonts w:ascii="Calibri" w:eastAsia="Calibri" w:hAnsi="Calibri" w:cs="Calibri"/>
        </w:rPr>
      </w:pPr>
      <w:r>
        <w:rPr>
          <w:rFonts w:ascii="Calibri" w:eastAsia="Calibri" w:hAnsi="Calibri" w:cs="Calibri"/>
        </w:rPr>
        <w:t xml:space="preserve">The ability to export </w:t>
      </w:r>
      <w:r w:rsidR="00071A54">
        <w:rPr>
          <w:rFonts w:ascii="Calibri" w:eastAsia="Calibri" w:hAnsi="Calibri" w:cs="Calibri"/>
        </w:rPr>
        <w:t>low-</w:t>
      </w:r>
      <w:r>
        <w:rPr>
          <w:rFonts w:ascii="Calibri" w:eastAsia="Calibri" w:hAnsi="Calibri" w:cs="Calibri"/>
        </w:rPr>
        <w:t>grade coal is added to the SAM by including a negligible value. This is needed for the economic model to solve while matching the volumes of the energy balance.</w:t>
      </w:r>
      <w:bookmarkStart w:id="3" w:name="_npiifdvl9shf" w:colFirst="0" w:colLast="0"/>
      <w:bookmarkEnd w:id="3"/>
    </w:p>
    <w:p w14:paraId="4BC71BB3" w14:textId="4493EF98" w:rsidR="00792546" w:rsidRDefault="005C4885" w:rsidP="00792546">
      <w:pPr>
        <w:pStyle w:val="Heading2"/>
        <w:spacing w:line="276" w:lineRule="auto"/>
      </w:pPr>
      <w:r w:rsidRPr="005C4885">
        <w:t>Characterization of the coal and power sectors in SATIM</w:t>
      </w:r>
    </w:p>
    <w:p w14:paraId="2C7B5B6C" w14:textId="05F46C6E" w:rsidR="005C4885" w:rsidRDefault="005C4885" w:rsidP="005C4885">
      <w:pPr>
        <w:rPr>
          <w:rFonts w:ascii="Calibri" w:eastAsia="Calibri" w:hAnsi="Calibri" w:cs="Calibri"/>
        </w:rPr>
      </w:pPr>
      <w:r>
        <w:rPr>
          <w:rFonts w:ascii="Calibri" w:eastAsia="Calibri" w:hAnsi="Calibri" w:cs="Calibri"/>
        </w:rPr>
        <w:t xml:space="preserve">Figure </w:t>
      </w:r>
      <w:r w:rsidR="00A12FA0">
        <w:rPr>
          <w:rFonts w:ascii="Calibri" w:eastAsia="Calibri" w:hAnsi="Calibri" w:cs="Calibri"/>
        </w:rPr>
        <w:t>4</w:t>
      </w:r>
      <w:r>
        <w:rPr>
          <w:rFonts w:ascii="Calibri" w:eastAsia="Calibri" w:hAnsi="Calibri" w:cs="Calibri"/>
        </w:rPr>
        <w:t xml:space="preserve"> shows an illustrative diagram of </w:t>
      </w:r>
      <w:r w:rsidR="009D0DAC">
        <w:rPr>
          <w:rFonts w:ascii="Calibri" w:eastAsia="Calibri" w:hAnsi="Calibri" w:cs="Calibri"/>
        </w:rPr>
        <w:t>the link between coal</w:t>
      </w:r>
      <w:r w:rsidR="00071A54">
        <w:rPr>
          <w:rFonts w:ascii="Calibri" w:eastAsia="Calibri" w:hAnsi="Calibri" w:cs="Calibri"/>
        </w:rPr>
        <w:t>-</w:t>
      </w:r>
      <w:r w:rsidR="009D0DAC">
        <w:rPr>
          <w:rFonts w:ascii="Calibri" w:eastAsia="Calibri" w:hAnsi="Calibri" w:cs="Calibri"/>
        </w:rPr>
        <w:t>mines and power plants</w:t>
      </w:r>
      <w:r>
        <w:rPr>
          <w:rFonts w:ascii="Calibri" w:eastAsia="Calibri" w:hAnsi="Calibri" w:cs="Calibri"/>
        </w:rPr>
        <w:t>. Some coal</w:t>
      </w:r>
      <w:r w:rsidR="00071A54">
        <w:rPr>
          <w:rFonts w:ascii="Calibri" w:eastAsia="Calibri" w:hAnsi="Calibri" w:cs="Calibri"/>
        </w:rPr>
        <w:t>-</w:t>
      </w:r>
      <w:r>
        <w:rPr>
          <w:rFonts w:ascii="Calibri" w:eastAsia="Calibri" w:hAnsi="Calibri" w:cs="Calibri"/>
        </w:rPr>
        <w:t>mines supply multiple power plants, and in some cases power plants are supplied from multiple mines, via different transport options, which include conveyor belts, rail and road.</w:t>
      </w:r>
    </w:p>
    <w:p w14:paraId="136F1647" w14:textId="5EB08B10" w:rsidR="005C4885" w:rsidRDefault="005C4885" w:rsidP="005C4885">
      <w:pPr>
        <w:rPr>
          <w:rFonts w:ascii="Calibri" w:eastAsia="Calibri" w:hAnsi="Calibri" w:cs="Calibri"/>
        </w:rPr>
      </w:pPr>
      <w:r>
        <w:rPr>
          <w:rFonts w:ascii="Calibri" w:eastAsia="Calibri" w:hAnsi="Calibri" w:cs="Calibri"/>
        </w:rPr>
        <w:t>Specific data about existing and new coal contracts found in Dentons</w:t>
      </w:r>
      <w:r w:rsidR="009103B5">
        <w:rPr>
          <w:rFonts w:ascii="Calibri" w:eastAsia="Calibri" w:hAnsi="Calibri" w:cs="Calibri"/>
        </w:rPr>
        <w:t xml:space="preserve"> (</w:t>
      </w:r>
      <w:r>
        <w:rPr>
          <w:rFonts w:ascii="Calibri" w:eastAsia="Calibri" w:hAnsi="Calibri" w:cs="Calibri"/>
        </w:rPr>
        <w:t>2015) and Steyn</w:t>
      </w:r>
      <w:r w:rsidR="00D91DD2">
        <w:rPr>
          <w:rFonts w:ascii="Calibri" w:eastAsia="Calibri" w:hAnsi="Calibri" w:cs="Calibri"/>
        </w:rPr>
        <w:t xml:space="preserve"> et al.</w:t>
      </w:r>
      <w:r>
        <w:rPr>
          <w:rFonts w:ascii="Calibri" w:eastAsia="Calibri" w:hAnsi="Calibri" w:cs="Calibri"/>
        </w:rPr>
        <w:t xml:space="preserve"> </w:t>
      </w:r>
      <w:r w:rsidR="009103B5">
        <w:rPr>
          <w:rFonts w:ascii="Calibri" w:eastAsia="Calibri" w:hAnsi="Calibri" w:cs="Calibri"/>
        </w:rPr>
        <w:t>(</w:t>
      </w:r>
      <w:r>
        <w:rPr>
          <w:rFonts w:ascii="Calibri" w:eastAsia="Calibri" w:hAnsi="Calibri" w:cs="Calibri"/>
        </w:rPr>
        <w:t>201</w:t>
      </w:r>
      <w:r w:rsidR="00D91DD2">
        <w:rPr>
          <w:rFonts w:ascii="Calibri" w:eastAsia="Calibri" w:hAnsi="Calibri" w:cs="Calibri"/>
        </w:rPr>
        <w:t>7</w:t>
      </w:r>
      <w:r>
        <w:rPr>
          <w:rFonts w:ascii="Calibri" w:eastAsia="Calibri" w:hAnsi="Calibri" w:cs="Calibri"/>
        </w:rPr>
        <w:t xml:space="preserve">) are specified as part of the topology. Transport costs are modelled as a </w:t>
      </w:r>
      <w:r w:rsidR="009103B5">
        <w:rPr>
          <w:rFonts w:ascii="Calibri" w:eastAsia="Calibri" w:hAnsi="Calibri" w:cs="Calibri"/>
        </w:rPr>
        <w:t>variable cost</w:t>
      </w:r>
      <w:r>
        <w:rPr>
          <w:rFonts w:ascii="Calibri" w:eastAsia="Calibri" w:hAnsi="Calibri" w:cs="Calibri"/>
        </w:rPr>
        <w:t>. Take or pay contracts are specified with fixed annual costs. The optimization algorithm can choose the level of supply from each mine up to the specified maximum annual supply volumes associated with each contract. Contract information was not available for the full coal supply and all contracts run out before the end of the horizon. Generic coal supply options based on Merven et al.</w:t>
      </w:r>
      <w:r w:rsidR="009103B5">
        <w:rPr>
          <w:rFonts w:ascii="Calibri" w:eastAsia="Calibri" w:hAnsi="Calibri" w:cs="Calibri"/>
        </w:rPr>
        <w:t xml:space="preserve"> (</w:t>
      </w:r>
      <w:r>
        <w:rPr>
          <w:rFonts w:ascii="Calibri" w:eastAsia="Calibri" w:hAnsi="Calibri" w:cs="Calibri"/>
        </w:rPr>
        <w:t xml:space="preserve">2016) provide the balance. See Burton et al. </w:t>
      </w:r>
      <w:r w:rsidR="009103B5">
        <w:rPr>
          <w:rFonts w:ascii="Calibri" w:eastAsia="Calibri" w:hAnsi="Calibri" w:cs="Calibri"/>
        </w:rPr>
        <w:t>(</w:t>
      </w:r>
      <w:r>
        <w:rPr>
          <w:rFonts w:ascii="Calibri" w:eastAsia="Calibri" w:hAnsi="Calibri" w:cs="Calibri"/>
        </w:rPr>
        <w:t>2018) for more details.</w:t>
      </w:r>
    </w:p>
    <w:p w14:paraId="27B665AE" w14:textId="4023B052" w:rsidR="005C4885" w:rsidRDefault="005C4885" w:rsidP="005C4885">
      <w:pPr>
        <w:rPr>
          <w:rFonts w:ascii="Calibri" w:eastAsia="Calibri" w:hAnsi="Calibri" w:cs="Calibri"/>
        </w:rPr>
      </w:pPr>
      <w:r>
        <w:rPr>
          <w:rFonts w:ascii="Calibri" w:eastAsia="Calibri" w:hAnsi="Calibri" w:cs="Calibri"/>
        </w:rPr>
        <w:t>The characterization of the power sector follows the specifications described in Mc</w:t>
      </w:r>
      <w:r w:rsidR="00CE7201">
        <w:rPr>
          <w:rFonts w:ascii="Calibri" w:eastAsia="Calibri" w:hAnsi="Calibri" w:cs="Calibri"/>
        </w:rPr>
        <w:t>C</w:t>
      </w:r>
      <w:r>
        <w:rPr>
          <w:rFonts w:ascii="Calibri" w:eastAsia="Calibri" w:hAnsi="Calibri" w:cs="Calibri"/>
        </w:rPr>
        <w:t>all et al</w:t>
      </w:r>
      <w:r w:rsidR="009103B5">
        <w:rPr>
          <w:rFonts w:ascii="Calibri" w:eastAsia="Calibri" w:hAnsi="Calibri" w:cs="Calibri"/>
        </w:rPr>
        <w:t>. (</w:t>
      </w:r>
      <w:r>
        <w:rPr>
          <w:rFonts w:ascii="Calibri" w:eastAsia="Calibri" w:hAnsi="Calibri" w:cs="Calibri"/>
        </w:rPr>
        <w:t>2019)</w:t>
      </w:r>
      <w:r w:rsidR="000C1F25">
        <w:rPr>
          <w:rFonts w:ascii="Calibri" w:eastAsia="Calibri" w:hAnsi="Calibri" w:cs="Calibri"/>
        </w:rPr>
        <w:t>, namely:</w:t>
      </w:r>
      <w:r>
        <w:rPr>
          <w:rFonts w:ascii="Calibri" w:eastAsia="Calibri" w:hAnsi="Calibri" w:cs="Calibri"/>
        </w:rPr>
        <w:t xml:space="preserve"> </w:t>
      </w:r>
    </w:p>
    <w:p w14:paraId="1B678D6B" w14:textId="653EED11" w:rsidR="005C4885" w:rsidRDefault="009103B5" w:rsidP="002E796D">
      <w:pPr>
        <w:numPr>
          <w:ilvl w:val="0"/>
          <w:numId w:val="11"/>
        </w:numPr>
        <w:spacing w:after="0" w:line="276" w:lineRule="auto"/>
        <w:jc w:val="left"/>
        <w:rPr>
          <w:rFonts w:ascii="Calibri" w:eastAsia="Calibri" w:hAnsi="Calibri" w:cs="Calibri"/>
        </w:rPr>
      </w:pPr>
      <w:r>
        <w:rPr>
          <w:rFonts w:ascii="Calibri" w:eastAsia="Calibri" w:hAnsi="Calibri" w:cs="Calibri"/>
        </w:rPr>
        <w:t>T</w:t>
      </w:r>
      <w:r w:rsidR="005C4885">
        <w:rPr>
          <w:rFonts w:ascii="Calibri" w:eastAsia="Calibri" w:hAnsi="Calibri" w:cs="Calibri"/>
        </w:rPr>
        <w:t xml:space="preserve">he existing coal plants must </w:t>
      </w:r>
      <w:r w:rsidR="00155E70">
        <w:rPr>
          <w:rFonts w:ascii="Calibri" w:eastAsia="Calibri" w:hAnsi="Calibri" w:cs="Calibri"/>
        </w:rPr>
        <w:t>e</w:t>
      </w:r>
      <w:r w:rsidR="005C4885">
        <w:rPr>
          <w:rFonts w:ascii="Calibri" w:eastAsia="Calibri" w:hAnsi="Calibri" w:cs="Calibri"/>
        </w:rPr>
        <w:t>ither meet the Minimum Emissions Standards (MES) by 2025 or retire, except for the plants that retire before 2030, namely, Hendrina, Komati, Grootvlei, Camden, Arnot and Kriel.</w:t>
      </w:r>
    </w:p>
    <w:p w14:paraId="1EB8690A" w14:textId="34301F3E" w:rsidR="005C4885" w:rsidRDefault="005C4885" w:rsidP="002E796D">
      <w:pPr>
        <w:numPr>
          <w:ilvl w:val="0"/>
          <w:numId w:val="11"/>
        </w:numPr>
        <w:spacing w:after="0" w:line="276" w:lineRule="auto"/>
        <w:jc w:val="left"/>
        <w:rPr>
          <w:rFonts w:ascii="Calibri" w:eastAsia="Calibri" w:hAnsi="Calibri" w:cs="Calibri"/>
        </w:rPr>
      </w:pPr>
      <w:r>
        <w:rPr>
          <w:rFonts w:ascii="Calibri" w:eastAsia="Calibri" w:hAnsi="Calibri" w:cs="Calibri"/>
        </w:rPr>
        <w:t>The same annual build limits and learning rates on the investment costs and availability for PV, Wind, and storage are adopted.</w:t>
      </w:r>
    </w:p>
    <w:p w14:paraId="7FCC62FD" w14:textId="727150E1" w:rsidR="002B0DD6" w:rsidRDefault="005C4885" w:rsidP="002E796D">
      <w:pPr>
        <w:numPr>
          <w:ilvl w:val="0"/>
          <w:numId w:val="11"/>
        </w:numPr>
        <w:spacing w:after="0" w:line="276" w:lineRule="auto"/>
        <w:jc w:val="left"/>
        <w:rPr>
          <w:rFonts w:ascii="Calibri" w:eastAsia="Calibri" w:hAnsi="Calibri" w:cs="Calibri"/>
        </w:rPr>
      </w:pPr>
      <w:r w:rsidRPr="005C4885">
        <w:rPr>
          <w:rFonts w:ascii="Calibri" w:eastAsia="Calibri" w:hAnsi="Calibri" w:cs="Calibri"/>
        </w:rPr>
        <w:t xml:space="preserve">The natural gas price is set to </w:t>
      </w:r>
      <w:r w:rsidR="00071A54">
        <w:rPr>
          <w:rFonts w:ascii="Calibri" w:eastAsia="Calibri" w:hAnsi="Calibri" w:cs="Calibri"/>
        </w:rPr>
        <w:t xml:space="preserve">USD </w:t>
      </w:r>
      <w:r w:rsidRPr="005C4885">
        <w:rPr>
          <w:rFonts w:ascii="Calibri" w:eastAsia="Calibri" w:hAnsi="Calibri" w:cs="Calibri"/>
        </w:rPr>
        <w:t>13</w:t>
      </w:r>
      <w:r w:rsidR="00071A54">
        <w:rPr>
          <w:rFonts w:ascii="Calibri" w:eastAsia="Calibri" w:hAnsi="Calibri" w:cs="Calibri"/>
        </w:rPr>
        <w:t xml:space="preserve"> per </w:t>
      </w:r>
      <w:r w:rsidRPr="005C4885">
        <w:rPr>
          <w:rFonts w:ascii="Calibri" w:eastAsia="Calibri" w:hAnsi="Calibri" w:cs="Calibri"/>
        </w:rPr>
        <w:t>mbtu</w:t>
      </w:r>
      <w:r w:rsidR="000C1F25">
        <w:rPr>
          <w:rFonts w:ascii="Calibri" w:eastAsia="Calibri" w:hAnsi="Calibri" w:cs="Calibri"/>
        </w:rPr>
        <w:t xml:space="preserve"> (2015 US</w:t>
      </w:r>
      <w:r w:rsidR="00071A54">
        <w:rPr>
          <w:rFonts w:ascii="Calibri" w:eastAsia="Calibri" w:hAnsi="Calibri" w:cs="Calibri"/>
        </w:rPr>
        <w:t>D</w:t>
      </w:r>
      <w:r w:rsidR="000C1F25">
        <w:rPr>
          <w:rFonts w:ascii="Calibri" w:eastAsia="Calibri" w:hAnsi="Calibri" w:cs="Calibri"/>
        </w:rPr>
        <w:t>)</w:t>
      </w:r>
      <w:r w:rsidR="009103B5">
        <w:rPr>
          <w:rFonts w:ascii="Calibri" w:eastAsia="Calibri" w:hAnsi="Calibri" w:cs="Calibri"/>
        </w:rPr>
        <w:t>.</w:t>
      </w:r>
    </w:p>
    <w:p w14:paraId="6D17C5B8" w14:textId="77777777" w:rsidR="00384746" w:rsidRPr="005C4885" w:rsidRDefault="00384746" w:rsidP="00384746">
      <w:pPr>
        <w:spacing w:after="0" w:line="276" w:lineRule="auto"/>
        <w:jc w:val="left"/>
        <w:rPr>
          <w:rFonts w:ascii="Calibri" w:eastAsia="Calibri" w:hAnsi="Calibri" w:cs="Calibri"/>
        </w:rPr>
      </w:pPr>
    </w:p>
    <w:p w14:paraId="5EFE738D" w14:textId="28D8D623" w:rsidR="002B0DD6" w:rsidRDefault="002B0DD6">
      <w:pPr>
        <w:pStyle w:val="Heading3"/>
      </w:pPr>
      <w:bookmarkStart w:id="4" w:name="_2vx0ml9rbr4r" w:colFirst="0" w:colLast="0"/>
      <w:bookmarkEnd w:id="4"/>
    </w:p>
    <w:p w14:paraId="073A4E27" w14:textId="77777777" w:rsidR="005C4885" w:rsidRDefault="003F0C9A" w:rsidP="00A12FA0">
      <w:pPr>
        <w:keepNext/>
        <w:jc w:val="center"/>
      </w:pPr>
      <w:r w:rsidRPr="003F0C9A">
        <w:rPr>
          <w:noProof/>
        </w:rPr>
        <w:drawing>
          <wp:inline distT="0" distB="0" distL="0" distR="0" wp14:anchorId="013CADE6" wp14:editId="0EA533EF">
            <wp:extent cx="5009245" cy="4151086"/>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8727" cy="4192091"/>
                    </a:xfrm>
                    <a:prstGeom prst="rect">
                      <a:avLst/>
                    </a:prstGeom>
                    <a:noFill/>
                    <a:ln>
                      <a:noFill/>
                    </a:ln>
                  </pic:spPr>
                </pic:pic>
              </a:graphicData>
            </a:graphic>
          </wp:inline>
        </w:drawing>
      </w:r>
    </w:p>
    <w:p w14:paraId="3197603D" w14:textId="3DD29CD2" w:rsidR="003F0C9A" w:rsidRPr="003F0C9A" w:rsidRDefault="005C4885" w:rsidP="00384746">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4</w:t>
      </w:r>
      <w:r>
        <w:fldChar w:fldCharType="end"/>
      </w:r>
      <w:r w:rsidR="00071A54">
        <w:t>:</w:t>
      </w:r>
      <w:r>
        <w:t xml:space="preserve"> </w:t>
      </w:r>
      <w:r w:rsidRPr="002A730A">
        <w:t>Illustrative diagram of the link between coal mines and power stations in the SATIM model</w:t>
      </w:r>
    </w:p>
    <w:p w14:paraId="73E66586" w14:textId="347B8803" w:rsidR="00792546" w:rsidRPr="00D215AB" w:rsidRDefault="001111C7" w:rsidP="00792546">
      <w:pPr>
        <w:pStyle w:val="Heading2"/>
        <w:spacing w:line="276" w:lineRule="auto"/>
      </w:pPr>
      <w:bookmarkStart w:id="5" w:name="_qo9aqx85dy8b" w:colFirst="0" w:colLast="0"/>
      <w:bookmarkEnd w:id="5"/>
      <w:r w:rsidRPr="001111C7">
        <w:t>Characterization of the Links between SATIM and eSAGE</w:t>
      </w:r>
    </w:p>
    <w:p w14:paraId="3CF1C305" w14:textId="1A6F0B17" w:rsidR="001111C7" w:rsidRDefault="001111C7" w:rsidP="001111C7">
      <w:pPr>
        <w:rPr>
          <w:rFonts w:ascii="Calibri" w:eastAsia="Calibri" w:hAnsi="Calibri" w:cs="Calibri"/>
        </w:rPr>
      </w:pPr>
      <w:r>
        <w:rPr>
          <w:rFonts w:ascii="Calibri" w:eastAsia="Calibri" w:hAnsi="Calibri" w:cs="Calibri"/>
        </w:rPr>
        <w:t xml:space="preserve">As stated above, the linked SATIMGE builds on previous work done (see Arndt et. al, 2016; Merven et al., 2017, Merven et al., 2018; </w:t>
      </w:r>
      <w:r w:rsidR="00D76461">
        <w:rPr>
          <w:rFonts w:ascii="Calibri" w:eastAsia="Calibri" w:hAnsi="Calibri" w:cs="Calibri"/>
        </w:rPr>
        <w:t>Hartley</w:t>
      </w:r>
      <w:r>
        <w:rPr>
          <w:rFonts w:ascii="Calibri" w:eastAsia="Calibri" w:hAnsi="Calibri" w:cs="Calibri"/>
        </w:rPr>
        <w:t xml:space="preserve"> et al., 2019):</w:t>
      </w:r>
    </w:p>
    <w:p w14:paraId="21D37561" w14:textId="77777777" w:rsidR="001111C7" w:rsidRPr="00837E84" w:rsidRDefault="001111C7" w:rsidP="002E796D">
      <w:pPr>
        <w:pStyle w:val="ListParagraph"/>
        <w:numPr>
          <w:ilvl w:val="0"/>
          <w:numId w:val="12"/>
        </w:numPr>
        <w:spacing w:after="0" w:line="276" w:lineRule="auto"/>
        <w:jc w:val="left"/>
      </w:pPr>
      <w:r w:rsidRPr="002E796D">
        <w:rPr>
          <w:rFonts w:ascii="Calibri" w:eastAsia="Calibri" w:hAnsi="Calibri" w:cs="Calibri"/>
        </w:rPr>
        <w:t>The</w:t>
      </w:r>
      <w:r w:rsidRPr="002E796D">
        <w:rPr>
          <w:rFonts w:ascii="Calibri" w:eastAsia="Calibri" w:hAnsi="Calibri" w:cs="Calibri"/>
          <w:i/>
        </w:rPr>
        <w:t xml:space="preserve"> </w:t>
      </w:r>
      <w:r w:rsidRPr="002E796D">
        <w:rPr>
          <w:rFonts w:ascii="Calibri" w:eastAsia="Calibri" w:hAnsi="Calibri" w:cs="Calibri"/>
        </w:rPr>
        <w:t>energy intermediate input coefficients for activities in eSAGE are adjusted as per the results of SATIM.</w:t>
      </w:r>
    </w:p>
    <w:p w14:paraId="484AC68E" w14:textId="6EA5B7A4" w:rsidR="001111C7" w:rsidRDefault="001111C7" w:rsidP="002E796D">
      <w:pPr>
        <w:pStyle w:val="ListParagraph"/>
        <w:numPr>
          <w:ilvl w:val="0"/>
          <w:numId w:val="12"/>
        </w:numPr>
        <w:spacing w:after="0" w:line="276" w:lineRule="auto"/>
        <w:jc w:val="left"/>
      </w:pPr>
      <w:r w:rsidRPr="002E796D">
        <w:rPr>
          <w:rFonts w:ascii="Calibri" w:eastAsia="Calibri" w:hAnsi="Calibri" w:cs="Calibri"/>
        </w:rPr>
        <w:t xml:space="preserve">The capital supply to the </w:t>
      </w:r>
      <w:r w:rsidR="00837E84" w:rsidRPr="002E796D">
        <w:rPr>
          <w:rFonts w:ascii="Calibri" w:eastAsia="Calibri" w:hAnsi="Calibri" w:cs="Calibri"/>
        </w:rPr>
        <w:t>electricity sec</w:t>
      </w:r>
      <w:r w:rsidRPr="002E796D">
        <w:rPr>
          <w:rFonts w:ascii="Calibri" w:eastAsia="Calibri" w:hAnsi="Calibri" w:cs="Calibri"/>
        </w:rPr>
        <w:t>tor in eSAGE is exogenous and based on the results of SATIM.</w:t>
      </w:r>
    </w:p>
    <w:p w14:paraId="39916BA8" w14:textId="77777777" w:rsidR="001111C7" w:rsidRDefault="001111C7" w:rsidP="001111C7">
      <w:pPr>
        <w:rPr>
          <w:rFonts w:ascii="Calibri" w:eastAsia="Calibri" w:hAnsi="Calibri" w:cs="Calibri"/>
        </w:rPr>
      </w:pPr>
      <w:r>
        <w:rPr>
          <w:rFonts w:ascii="Calibri" w:eastAsia="Calibri" w:hAnsi="Calibri" w:cs="Calibri"/>
        </w:rPr>
        <w:t>In this implementation the following refinements are made:</w:t>
      </w:r>
    </w:p>
    <w:p w14:paraId="1ADBE02E" w14:textId="77777777" w:rsidR="001111C7" w:rsidRPr="002E796D" w:rsidRDefault="001111C7" w:rsidP="002E796D">
      <w:pPr>
        <w:pStyle w:val="ListParagraph"/>
        <w:numPr>
          <w:ilvl w:val="0"/>
          <w:numId w:val="7"/>
        </w:numPr>
        <w:spacing w:after="0" w:line="276" w:lineRule="auto"/>
        <w:jc w:val="left"/>
        <w:rPr>
          <w:rFonts w:ascii="Calibri" w:eastAsia="Calibri" w:hAnsi="Calibri" w:cs="Calibri"/>
        </w:rPr>
      </w:pPr>
      <w:r w:rsidRPr="002E796D">
        <w:rPr>
          <w:rFonts w:ascii="Calibri" w:eastAsia="Calibri" w:hAnsi="Calibri" w:cs="Calibri"/>
        </w:rPr>
        <w:t>The power sector in eSAGE:</w:t>
      </w:r>
    </w:p>
    <w:p w14:paraId="0033F784" w14:textId="77777777" w:rsidR="001111C7" w:rsidRPr="00837E84" w:rsidRDefault="001111C7" w:rsidP="00071FB3">
      <w:pPr>
        <w:numPr>
          <w:ilvl w:val="1"/>
          <w:numId w:val="7"/>
        </w:numPr>
        <w:spacing w:after="0" w:line="276" w:lineRule="auto"/>
        <w:jc w:val="left"/>
      </w:pPr>
      <w:r>
        <w:rPr>
          <w:rFonts w:ascii="Calibri" w:eastAsia="Calibri" w:hAnsi="Calibri" w:cs="Calibri"/>
        </w:rPr>
        <w:t xml:space="preserve">The labour/capital input function is specified as a Leontief, rather than a CES. The </w:t>
      </w:r>
      <w:r w:rsidRPr="002E796D">
        <w:rPr>
          <w:rFonts w:ascii="Calibri" w:eastAsia="Calibri" w:hAnsi="Calibri" w:cs="Calibri"/>
        </w:rPr>
        <w:t>labour inputs</w:t>
      </w:r>
      <w:r w:rsidRPr="00837E84">
        <w:rPr>
          <w:rFonts w:ascii="Calibri" w:eastAsia="Calibri" w:hAnsi="Calibri" w:cs="Calibri"/>
        </w:rPr>
        <w:t xml:space="preserve"> </w:t>
      </w:r>
      <w:r w:rsidRPr="002E796D">
        <w:rPr>
          <w:rFonts w:ascii="Calibri" w:eastAsia="Calibri" w:hAnsi="Calibri" w:cs="Calibri"/>
        </w:rPr>
        <w:t xml:space="preserve">for the Electricity Sector activity in eSAGE </w:t>
      </w:r>
      <w:r w:rsidRPr="00837E84">
        <w:rPr>
          <w:rFonts w:ascii="Calibri" w:eastAsia="Calibri" w:hAnsi="Calibri" w:cs="Calibri"/>
        </w:rPr>
        <w:t>are adjusted based on the power generation mix and the labour intensity of each power generation technology.</w:t>
      </w:r>
    </w:p>
    <w:p w14:paraId="64AB3C45" w14:textId="62633D02" w:rsidR="001111C7" w:rsidRDefault="001111C7" w:rsidP="00071FB3">
      <w:pPr>
        <w:numPr>
          <w:ilvl w:val="0"/>
          <w:numId w:val="6"/>
        </w:numPr>
        <w:spacing w:after="0" w:line="276" w:lineRule="auto"/>
        <w:jc w:val="left"/>
      </w:pPr>
      <w:r w:rsidRPr="00837E84">
        <w:rPr>
          <w:rFonts w:ascii="Calibri" w:eastAsia="Calibri" w:hAnsi="Calibri" w:cs="Calibri"/>
        </w:rPr>
        <w:t xml:space="preserve">The </w:t>
      </w:r>
      <w:r w:rsidRPr="002E796D">
        <w:rPr>
          <w:rFonts w:ascii="Calibri" w:eastAsia="Calibri" w:hAnsi="Calibri" w:cs="Calibri"/>
        </w:rPr>
        <w:t>capital input for the</w:t>
      </w:r>
      <w:r w:rsidR="00837E84" w:rsidRPr="002E796D">
        <w:rPr>
          <w:rFonts w:ascii="Calibri" w:eastAsia="Calibri" w:hAnsi="Calibri" w:cs="Calibri"/>
        </w:rPr>
        <w:t xml:space="preserve"> electricity secto</w:t>
      </w:r>
      <w:r w:rsidRPr="002E796D">
        <w:rPr>
          <w:rFonts w:ascii="Calibri" w:eastAsia="Calibri" w:hAnsi="Calibri" w:cs="Calibri"/>
        </w:rPr>
        <w:t xml:space="preserve">r in eSAGE </w:t>
      </w:r>
      <w:r w:rsidRPr="00837E84">
        <w:rPr>
          <w:rFonts w:ascii="Calibri" w:eastAsia="Calibri" w:hAnsi="Calibri" w:cs="Calibri"/>
        </w:rPr>
        <w:t>i</w:t>
      </w:r>
      <w:r>
        <w:rPr>
          <w:rFonts w:ascii="Calibri" w:eastAsia="Calibri" w:hAnsi="Calibri" w:cs="Calibri"/>
        </w:rPr>
        <w:t>s adjusted based on the results of SATIM.</w:t>
      </w:r>
    </w:p>
    <w:p w14:paraId="1834218D" w14:textId="77777777" w:rsidR="001111C7" w:rsidRDefault="001111C7" w:rsidP="00071FB3">
      <w:pPr>
        <w:numPr>
          <w:ilvl w:val="0"/>
          <w:numId w:val="6"/>
        </w:numPr>
        <w:spacing w:after="0" w:line="276" w:lineRule="auto"/>
        <w:ind w:left="720"/>
        <w:jc w:val="left"/>
        <w:rPr>
          <w:rFonts w:ascii="Calibri" w:eastAsia="Calibri" w:hAnsi="Calibri" w:cs="Calibri"/>
        </w:rPr>
      </w:pPr>
      <w:r>
        <w:rPr>
          <w:rFonts w:ascii="Calibri" w:eastAsia="Calibri" w:hAnsi="Calibri" w:cs="Calibri"/>
        </w:rPr>
        <w:t>In the coal sector in eSAGE:</w:t>
      </w:r>
    </w:p>
    <w:p w14:paraId="413F9863" w14:textId="0038BA28" w:rsidR="00F371F3" w:rsidRPr="00F371F3" w:rsidRDefault="00F371F3" w:rsidP="00071FB3">
      <w:pPr>
        <w:numPr>
          <w:ilvl w:val="0"/>
          <w:numId w:val="6"/>
        </w:numPr>
        <w:spacing w:after="0" w:line="276" w:lineRule="auto"/>
        <w:jc w:val="left"/>
      </w:pPr>
      <w:r w:rsidRPr="001111C7">
        <w:rPr>
          <w:rFonts w:ascii="Calibri" w:eastAsia="Calibri" w:hAnsi="Calibri" w:cs="Calibri"/>
        </w:rPr>
        <w:t xml:space="preserve">The </w:t>
      </w:r>
      <w:r w:rsidRPr="002E796D">
        <w:rPr>
          <w:rFonts w:ascii="Calibri" w:eastAsia="Calibri" w:hAnsi="Calibri" w:cs="Calibri"/>
        </w:rPr>
        <w:t>capital supply to the</w:t>
      </w:r>
      <w:r w:rsidR="00837E84" w:rsidRPr="00837E84">
        <w:rPr>
          <w:rFonts w:ascii="Calibri" w:eastAsia="Calibri" w:hAnsi="Calibri" w:cs="Calibri"/>
        </w:rPr>
        <w:t xml:space="preserve"> coal</w:t>
      </w:r>
      <w:r w:rsidR="00837E84">
        <w:rPr>
          <w:rFonts w:ascii="Calibri" w:eastAsia="Calibri" w:hAnsi="Calibri" w:cs="Calibri"/>
        </w:rPr>
        <w:t>-</w:t>
      </w:r>
      <w:r w:rsidR="00837E84" w:rsidRPr="00837E84">
        <w:rPr>
          <w:rFonts w:ascii="Calibri" w:eastAsia="Calibri" w:hAnsi="Calibri" w:cs="Calibri"/>
        </w:rPr>
        <w:t>mining sec</w:t>
      </w:r>
      <w:r w:rsidRPr="002E796D">
        <w:rPr>
          <w:rFonts w:ascii="Calibri" w:eastAsia="Calibri" w:hAnsi="Calibri" w:cs="Calibri"/>
        </w:rPr>
        <w:t>tor in eSAGE</w:t>
      </w:r>
      <w:r w:rsidRPr="001111C7">
        <w:rPr>
          <w:rFonts w:ascii="Calibri" w:eastAsia="Calibri" w:hAnsi="Calibri" w:cs="Calibri"/>
        </w:rPr>
        <w:t xml:space="preserve"> is made exogenous and linked to the results of SATIM.</w:t>
      </w:r>
    </w:p>
    <w:p w14:paraId="0CD50AD2" w14:textId="1B4A5219" w:rsidR="001111C7" w:rsidRPr="001111C7" w:rsidRDefault="001111C7" w:rsidP="00071FB3">
      <w:pPr>
        <w:numPr>
          <w:ilvl w:val="0"/>
          <w:numId w:val="6"/>
        </w:numPr>
        <w:spacing w:after="0" w:line="276" w:lineRule="auto"/>
        <w:jc w:val="left"/>
      </w:pPr>
      <w:r>
        <w:rPr>
          <w:rFonts w:ascii="Calibri" w:eastAsia="Calibri" w:hAnsi="Calibri" w:cs="Calibri"/>
        </w:rPr>
        <w:t>The</w:t>
      </w:r>
      <w:r w:rsidRPr="00837E84">
        <w:rPr>
          <w:rFonts w:ascii="Calibri" w:eastAsia="Calibri" w:hAnsi="Calibri" w:cs="Calibri"/>
        </w:rPr>
        <w:t xml:space="preserve"> </w:t>
      </w:r>
      <w:r w:rsidRPr="002E796D">
        <w:rPr>
          <w:rFonts w:ascii="Calibri" w:eastAsia="Calibri" w:hAnsi="Calibri" w:cs="Calibri"/>
        </w:rPr>
        <w:t>labour/capital inputs of the</w:t>
      </w:r>
      <w:r w:rsidR="00837E84" w:rsidRPr="00837E84">
        <w:rPr>
          <w:rFonts w:ascii="Calibri" w:eastAsia="Calibri" w:hAnsi="Calibri" w:cs="Calibri"/>
        </w:rPr>
        <w:t xml:space="preserve"> coal</w:t>
      </w:r>
      <w:r w:rsidR="00837E84">
        <w:rPr>
          <w:rFonts w:ascii="Calibri" w:eastAsia="Calibri" w:hAnsi="Calibri" w:cs="Calibri"/>
        </w:rPr>
        <w:t>-</w:t>
      </w:r>
      <w:r w:rsidR="00837E84" w:rsidRPr="00837E84">
        <w:rPr>
          <w:rFonts w:ascii="Calibri" w:eastAsia="Calibri" w:hAnsi="Calibri" w:cs="Calibri"/>
        </w:rPr>
        <w:t>mining sect</w:t>
      </w:r>
      <w:r w:rsidRPr="002E796D">
        <w:rPr>
          <w:rFonts w:ascii="Calibri" w:eastAsia="Calibri" w:hAnsi="Calibri" w:cs="Calibri"/>
        </w:rPr>
        <w:t>or in eSAGE</w:t>
      </w:r>
      <w:r>
        <w:rPr>
          <w:rFonts w:ascii="Calibri" w:eastAsia="Calibri" w:hAnsi="Calibri" w:cs="Calibri"/>
          <w:b/>
        </w:rPr>
        <w:t xml:space="preserve"> </w:t>
      </w:r>
      <w:r>
        <w:rPr>
          <w:rFonts w:ascii="Calibri" w:eastAsia="Calibri" w:hAnsi="Calibri" w:cs="Calibri"/>
        </w:rPr>
        <w:t>are specified as a Leontief function, instead of a CES function</w:t>
      </w:r>
      <w:r w:rsidR="0009298A">
        <w:rPr>
          <w:rFonts w:ascii="Calibri" w:eastAsia="Calibri" w:hAnsi="Calibri" w:cs="Calibri"/>
        </w:rPr>
        <w:t>.</w:t>
      </w:r>
    </w:p>
    <w:p w14:paraId="051B5266" w14:textId="3C2E3759" w:rsidR="00C0750E" w:rsidRDefault="00837E84" w:rsidP="00384746">
      <w:pPr>
        <w:keepNext/>
        <w:jc w:val="center"/>
      </w:pPr>
      <w:r w:rsidRPr="00472160">
        <w:rPr>
          <w:noProof/>
        </w:rPr>
        <w:drawing>
          <wp:anchor distT="0" distB="0" distL="114300" distR="114300" simplePos="0" relativeHeight="251672064" behindDoc="0" locked="0" layoutInCell="1" allowOverlap="1" wp14:anchorId="531BBF56" wp14:editId="6C28F45E">
            <wp:simplePos x="0" y="0"/>
            <wp:positionH relativeFrom="margin">
              <wp:align>center</wp:align>
            </wp:positionH>
            <wp:positionV relativeFrom="paragraph">
              <wp:posOffset>196850</wp:posOffset>
            </wp:positionV>
            <wp:extent cx="4891314" cy="442003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1314" cy="442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8AEB1" w14:textId="77E0D363" w:rsidR="008D4096" w:rsidRDefault="00C0750E" w:rsidP="002E796D">
      <w:pPr>
        <w:pStyle w:val="Caption"/>
        <w:spacing w:before="120" w:after="240"/>
        <w:jc w:val="center"/>
      </w:pPr>
      <w:r>
        <w:t xml:space="preserve">Figure </w:t>
      </w:r>
      <w:r>
        <w:fldChar w:fldCharType="begin"/>
      </w:r>
      <w:r>
        <w:instrText xml:space="preserve"> SEQ Figure \* ARABIC </w:instrText>
      </w:r>
      <w:r>
        <w:fldChar w:fldCharType="separate"/>
      </w:r>
      <w:r w:rsidR="00CD6E58">
        <w:rPr>
          <w:noProof/>
        </w:rPr>
        <w:t>5</w:t>
      </w:r>
      <w:r>
        <w:fldChar w:fldCharType="end"/>
      </w:r>
      <w:r w:rsidR="00837E84">
        <w:t>:</w:t>
      </w:r>
      <w:r>
        <w:t xml:space="preserve"> Illustration of links between coal sector and power sector in eSAGE</w:t>
      </w:r>
    </w:p>
    <w:p w14:paraId="0EBC4CCE" w14:textId="21116A1C" w:rsidR="00C0750E" w:rsidRPr="00384746" w:rsidRDefault="00C0750E" w:rsidP="00384746">
      <w:pPr>
        <w:pStyle w:val="Heading2"/>
        <w:numPr>
          <w:ilvl w:val="2"/>
          <w:numId w:val="2"/>
        </w:numPr>
        <w:spacing w:line="276" w:lineRule="auto"/>
      </w:pPr>
      <w:r w:rsidRPr="00384746">
        <w:t>Energy intermediate input coefficients for activities in eSAGE</w:t>
      </w:r>
    </w:p>
    <w:p w14:paraId="1AC9E6A9" w14:textId="77777777" w:rsidR="00A5535E" w:rsidRDefault="00A5535E" w:rsidP="00A5535E">
      <w:pPr>
        <w:rPr>
          <w:rFonts w:ascii="Calibri" w:eastAsia="Calibri" w:hAnsi="Calibri" w:cs="Calibri"/>
        </w:rPr>
      </w:pPr>
      <w:r>
        <w:rPr>
          <w:rFonts w:ascii="Calibri" w:eastAsia="Calibri" w:hAnsi="Calibri" w:cs="Calibri"/>
        </w:rPr>
        <w:t xml:space="preserve">The composition of intermediate inputs is done using a Leontief representation with the quantity of intermediate input </w:t>
      </w:r>
      <w:r w:rsidRPr="007F37C3">
        <w:rPr>
          <w:rFonts w:ascii="Calibri" w:eastAsia="Calibri" w:hAnsi="Calibri" w:cs="Calibri"/>
          <w:i/>
        </w:rPr>
        <w:t>i</w:t>
      </w:r>
      <w:r>
        <w:rPr>
          <w:rFonts w:ascii="Calibri" w:eastAsia="Calibri" w:hAnsi="Calibri" w:cs="Calibri"/>
        </w:rPr>
        <w:t xml:space="preserve"> required by activity </w:t>
      </w:r>
      <w:r>
        <w:rPr>
          <w:rFonts w:ascii="Calibri" w:eastAsia="Calibri" w:hAnsi="Calibri" w:cs="Calibri"/>
          <w:i/>
        </w:rPr>
        <w:t>a</w:t>
      </w:r>
      <w:r>
        <w:rPr>
          <w:rFonts w:ascii="Calibri" w:eastAsia="Calibri" w:hAnsi="Calibri" w:cs="Calibri"/>
        </w:rPr>
        <w:t xml:space="preserve"> in year </w:t>
      </w:r>
      <w:r>
        <w:rPr>
          <w:rFonts w:ascii="Calibri" w:eastAsia="Calibri" w:hAnsi="Calibri" w:cs="Calibri"/>
          <w:i/>
        </w:rPr>
        <w:t>t</w:t>
      </w:r>
      <w:r>
        <w:rPr>
          <w:rFonts w:ascii="Calibri" w:eastAsia="Calibri" w:hAnsi="Calibri" w:cs="Calibri"/>
        </w:rPr>
        <w:t xml:space="preserve">: </w:t>
      </w:r>
      <w:r>
        <w:rPr>
          <w:rFonts w:ascii="Calibri" w:eastAsia="Calibri" w:hAnsi="Calibri" w:cs="Calibri"/>
          <w:i/>
        </w:rPr>
        <w:t>qint(a,i,t)</w:t>
      </w:r>
      <w:r>
        <w:rPr>
          <w:rFonts w:ascii="Calibri" w:eastAsia="Calibri" w:hAnsi="Calibri" w:cs="Calibri"/>
        </w:rPr>
        <w:t xml:space="preserve"> calculated as follows:</w:t>
      </w:r>
    </w:p>
    <w:p w14:paraId="52A84D78" w14:textId="2BA51891" w:rsidR="00A5535E" w:rsidRDefault="00A5535E" w:rsidP="00A5535E">
      <w:pPr>
        <w:ind w:left="2160" w:firstLine="720"/>
        <w:rPr>
          <w:rFonts w:ascii="Calibri" w:eastAsia="Calibri" w:hAnsi="Calibri" w:cs="Calibri"/>
          <w:i/>
        </w:rPr>
      </w:pPr>
      <w:proofErr w:type="gramStart"/>
      <w:r>
        <w:rPr>
          <w:rFonts w:ascii="Calibri" w:eastAsia="Calibri" w:hAnsi="Calibri" w:cs="Calibri"/>
          <w:i/>
        </w:rPr>
        <w:t>qint(</w:t>
      </w:r>
      <w:proofErr w:type="gramEnd"/>
      <w:r>
        <w:rPr>
          <w:rFonts w:ascii="Calibri" w:eastAsia="Calibri" w:hAnsi="Calibri" w:cs="Calibri"/>
          <w:i/>
        </w:rPr>
        <w:t>a, i, t) = output(a, t) x ica(a, i, t)</w:t>
      </w:r>
      <w:r w:rsidR="00376097">
        <w:rPr>
          <w:rFonts w:ascii="Calibri" w:eastAsia="Calibri" w:hAnsi="Calibri" w:cs="Calibri"/>
          <w:i/>
        </w:rPr>
        <w:t>,</w:t>
      </w:r>
    </w:p>
    <w:p w14:paraId="25816C41" w14:textId="0D3C3A17" w:rsidR="00A5535E" w:rsidRDefault="00A5535E" w:rsidP="00A5535E">
      <w:pPr>
        <w:rPr>
          <w:rFonts w:ascii="Calibri" w:eastAsia="Calibri" w:hAnsi="Calibri" w:cs="Calibri"/>
        </w:rPr>
      </w:pPr>
      <w:r>
        <w:rPr>
          <w:rFonts w:ascii="Calibri" w:eastAsia="Calibri" w:hAnsi="Calibri" w:cs="Calibri"/>
        </w:rPr>
        <w:t xml:space="preserve">where </w:t>
      </w:r>
      <w:r>
        <w:rPr>
          <w:rFonts w:ascii="Calibri" w:eastAsia="Calibri" w:hAnsi="Calibri" w:cs="Calibri"/>
          <w:i/>
        </w:rPr>
        <w:t>ica(</w:t>
      </w:r>
      <w:proofErr w:type="gramStart"/>
      <w:r>
        <w:rPr>
          <w:rFonts w:ascii="Calibri" w:eastAsia="Calibri" w:hAnsi="Calibri" w:cs="Calibri"/>
          <w:i/>
        </w:rPr>
        <w:t>a,i</w:t>
      </w:r>
      <w:proofErr w:type="gramEnd"/>
      <w:r>
        <w:rPr>
          <w:rFonts w:ascii="Calibri" w:eastAsia="Calibri" w:hAnsi="Calibri" w:cs="Calibri"/>
          <w:i/>
        </w:rPr>
        <w:t>,t)</w:t>
      </w:r>
      <w:r>
        <w:rPr>
          <w:rFonts w:ascii="Calibri" w:eastAsia="Calibri" w:hAnsi="Calibri" w:cs="Calibri"/>
        </w:rPr>
        <w:t xml:space="preserve"> is a coefficient (which can be time varying) for each intermediate input </w:t>
      </w:r>
      <w:r>
        <w:rPr>
          <w:rFonts w:ascii="Calibri" w:eastAsia="Calibri" w:hAnsi="Calibri" w:cs="Calibri"/>
          <w:i/>
        </w:rPr>
        <w:t>i</w:t>
      </w:r>
      <w:r>
        <w:rPr>
          <w:rFonts w:ascii="Calibri" w:eastAsia="Calibri" w:hAnsi="Calibri" w:cs="Calibri"/>
        </w:rPr>
        <w:t xml:space="preserve">. For </w:t>
      </w:r>
      <w:r>
        <w:rPr>
          <w:rFonts w:ascii="Calibri" w:eastAsia="Calibri" w:hAnsi="Calibri" w:cs="Calibri"/>
          <w:i/>
        </w:rPr>
        <w:t>i</w:t>
      </w:r>
      <w:r>
        <w:rPr>
          <w:rFonts w:ascii="Calibri" w:eastAsia="Calibri" w:hAnsi="Calibri" w:cs="Calibri"/>
        </w:rPr>
        <w:t xml:space="preserve">s that are energy commodities, </w:t>
      </w:r>
      <w:r>
        <w:rPr>
          <w:rFonts w:ascii="Calibri" w:eastAsia="Calibri" w:hAnsi="Calibri" w:cs="Calibri"/>
          <w:i/>
        </w:rPr>
        <w:t>ica</w:t>
      </w:r>
      <w:r>
        <w:rPr>
          <w:rFonts w:ascii="Calibri" w:eastAsia="Calibri" w:hAnsi="Calibri" w:cs="Calibri"/>
        </w:rPr>
        <w:t xml:space="preserve"> can be thought of as the energy intensity for activity </w:t>
      </w:r>
      <w:r>
        <w:rPr>
          <w:rFonts w:ascii="Calibri" w:eastAsia="Calibri" w:hAnsi="Calibri" w:cs="Calibri"/>
          <w:i/>
        </w:rPr>
        <w:t xml:space="preserve">a. </w:t>
      </w:r>
      <w:r>
        <w:rPr>
          <w:rFonts w:ascii="Calibri" w:eastAsia="Calibri" w:hAnsi="Calibri" w:cs="Calibri"/>
        </w:rPr>
        <w:t>The base year (</w:t>
      </w:r>
      <w:r>
        <w:rPr>
          <w:rFonts w:ascii="Calibri" w:eastAsia="Calibri" w:hAnsi="Calibri" w:cs="Calibri"/>
          <w:i/>
        </w:rPr>
        <w:t>t</w:t>
      </w:r>
      <w:r>
        <w:rPr>
          <w:rFonts w:ascii="Calibri" w:eastAsia="Calibri" w:hAnsi="Calibri" w:cs="Calibri"/>
          <w:i/>
          <w:vertAlign w:val="subscript"/>
        </w:rPr>
        <w:t>0</w:t>
      </w:r>
      <w:r>
        <w:rPr>
          <w:rFonts w:ascii="Calibri" w:eastAsia="Calibri" w:hAnsi="Calibri" w:cs="Calibri"/>
        </w:rPr>
        <w:t xml:space="preserve">) </w:t>
      </w:r>
      <w:r>
        <w:rPr>
          <w:rFonts w:ascii="Calibri" w:eastAsia="Calibri" w:hAnsi="Calibri" w:cs="Calibri"/>
          <w:i/>
        </w:rPr>
        <w:t>ica</w:t>
      </w:r>
      <w:r>
        <w:rPr>
          <w:rFonts w:ascii="Calibri" w:eastAsia="Calibri" w:hAnsi="Calibri" w:cs="Calibri"/>
        </w:rPr>
        <w:t xml:space="preserve"> values are derived from the calibrated SAM.</w:t>
      </w:r>
    </w:p>
    <w:p w14:paraId="5BF50A67" w14:textId="77777777" w:rsidR="00A5535E" w:rsidRDefault="00A5535E" w:rsidP="00A5535E">
      <w:pPr>
        <w:rPr>
          <w:rFonts w:ascii="Calibri" w:eastAsia="Calibri" w:hAnsi="Calibri" w:cs="Calibri"/>
        </w:rPr>
      </w:pPr>
      <w:r>
        <w:rPr>
          <w:rFonts w:ascii="Calibri" w:eastAsia="Calibri" w:hAnsi="Calibri" w:cs="Calibri"/>
        </w:rPr>
        <w:t xml:space="preserve">The </w:t>
      </w:r>
      <w:r w:rsidRPr="000C1F25">
        <w:rPr>
          <w:rFonts w:ascii="Calibri" w:hAnsi="Calibri"/>
          <w:i/>
        </w:rPr>
        <w:t>ica</w:t>
      </w:r>
      <w:r>
        <w:rPr>
          <w:rFonts w:ascii="Calibri" w:eastAsia="Calibri" w:hAnsi="Calibri" w:cs="Calibri"/>
        </w:rPr>
        <w:t xml:space="preserve"> coefficients for each energy intermediate input i is calculated from the SATIM results as follows: </w:t>
      </w:r>
    </w:p>
    <w:p w14:paraId="7DB7705A" w14:textId="4DDFA313" w:rsidR="007F37C3" w:rsidRDefault="007F37C3" w:rsidP="007F37C3">
      <w:pPr>
        <w:jc w:val="center"/>
      </w:pPr>
      <w:r>
        <w:rPr>
          <w:i/>
        </w:rPr>
        <w:t xml:space="preserve">Energy Input (TSector, COM, t) </w:t>
      </w:r>
      <w:r>
        <w:t xml:space="preserve"> =  </w:t>
      </w:r>
      <m:oMath>
        <m:nary>
          <m:naryPr>
            <m:chr m:val="∑"/>
            <m:limLoc m:val="undOvr"/>
            <m:supHide m:val="1"/>
            <m:ctrlPr>
              <w:rPr>
                <w:rFonts w:ascii="Cambria Math" w:hAnsi="Cambria Math"/>
                <w:i/>
              </w:rPr>
            </m:ctrlPr>
          </m:naryPr>
          <m:sub>
            <m:r>
              <w:rPr>
                <w:rFonts w:ascii="Cambria Math" w:hAnsi="Cambria Math"/>
              </w:rPr>
              <m:t>PRC_TSector</m:t>
            </m:r>
          </m:sub>
          <m:sup/>
          <m:e>
            <m:r>
              <w:rPr>
                <w:rFonts w:ascii="Cambria Math" w:hAnsi="Cambria Math"/>
              </w:rPr>
              <m:t>Energy Input (PRC_TSector,COM,t)</m:t>
            </m:r>
          </m:e>
        </m:nary>
      </m:oMath>
      <w:r w:rsidR="00283BBC">
        <w:rPr>
          <w:rFonts w:eastAsiaTheme="minorEastAsia"/>
        </w:rPr>
        <w:t>,</w:t>
      </w:r>
    </w:p>
    <w:p w14:paraId="491B06E5" w14:textId="50FE8525" w:rsidR="007F37C3" w:rsidRDefault="007F37C3" w:rsidP="007F37C3">
      <w:pPr>
        <w:jc w:val="center"/>
      </w:pPr>
      <w:r>
        <w:rPr>
          <w:i/>
        </w:rPr>
        <w:t xml:space="preserve">Energy Intensity (TSector, COM, t) </w:t>
      </w:r>
      <w:r>
        <w:t xml:space="preserve"> =  </w:t>
      </w:r>
      <m:oMath>
        <m:f>
          <m:fPr>
            <m:ctrlPr>
              <w:rPr>
                <w:rFonts w:ascii="Cambria Math" w:hAnsi="Cambria Math"/>
              </w:rPr>
            </m:ctrlPr>
          </m:fPr>
          <m:num>
            <m:r>
              <w:rPr>
                <w:rFonts w:ascii="Cambria Math" w:hAnsi="Cambria Math"/>
              </w:rPr>
              <m:t>Energy Input (TSector,COM,t)</m:t>
            </m:r>
          </m:num>
          <m:den>
            <m:r>
              <m:rPr>
                <m:sty m:val="p"/>
              </m:rPr>
              <w:rPr>
                <w:rFonts w:ascii="Cambria Math" w:hAnsi="Cambria Math"/>
              </w:rPr>
              <m:t xml:space="preserve"> output</m:t>
            </m:r>
            <m:r>
              <w:rPr>
                <w:rFonts w:ascii="Cambria Math" w:hAnsi="Cambria Math"/>
              </w:rPr>
              <m:t>(TSector,t)</m:t>
            </m:r>
          </m:den>
        </m:f>
      </m:oMath>
      <w:r>
        <w:t>,</w:t>
      </w:r>
    </w:p>
    <w:p w14:paraId="4E535A3B" w14:textId="5A8D3E46" w:rsidR="00A5535E" w:rsidRDefault="00A5535E" w:rsidP="00A5535E">
      <w:pPr>
        <w:rPr>
          <w:rFonts w:ascii="Calibri" w:eastAsia="Calibri" w:hAnsi="Calibri" w:cs="Calibri"/>
        </w:rPr>
      </w:pPr>
      <w:r>
        <w:rPr>
          <w:rFonts w:ascii="Calibri" w:eastAsia="Calibri" w:hAnsi="Calibri" w:cs="Calibri"/>
        </w:rPr>
        <w:t xml:space="preserve">where </w:t>
      </w:r>
      <w:r w:rsidRPr="00283BBC">
        <w:rPr>
          <w:rFonts w:ascii="Calibri" w:eastAsia="Calibri" w:hAnsi="Calibri" w:cs="Calibri"/>
          <w:i/>
        </w:rPr>
        <w:t>TSector</w:t>
      </w:r>
      <w:r>
        <w:rPr>
          <w:rFonts w:ascii="Calibri" w:eastAsia="Calibri" w:hAnsi="Calibri" w:cs="Calibri"/>
        </w:rPr>
        <w:t xml:space="preserve"> are the </w:t>
      </w:r>
      <w:r w:rsidR="00837E84">
        <w:rPr>
          <w:rFonts w:ascii="Calibri" w:eastAsia="Calibri" w:hAnsi="Calibri" w:cs="Calibri"/>
        </w:rPr>
        <w:t xml:space="preserve">sectors </w:t>
      </w:r>
      <w:r>
        <w:rPr>
          <w:rFonts w:ascii="Calibri" w:eastAsia="Calibri" w:hAnsi="Calibri" w:cs="Calibri"/>
        </w:rPr>
        <w:t xml:space="preserve">in SATIM (sectors found in the energy balance), </w:t>
      </w:r>
      <w:r>
        <w:rPr>
          <w:rFonts w:ascii="Calibri" w:eastAsia="Calibri" w:hAnsi="Calibri" w:cs="Calibri"/>
          <w:i/>
        </w:rPr>
        <w:t>PRC_TSector</w:t>
      </w:r>
      <w:r>
        <w:rPr>
          <w:rFonts w:ascii="Calibri" w:eastAsia="Calibri" w:hAnsi="Calibri" w:cs="Calibri"/>
        </w:rPr>
        <w:t xml:space="preserve"> are technologies in SATM that belong to </w:t>
      </w:r>
      <w:r>
        <w:rPr>
          <w:rFonts w:ascii="Calibri" w:eastAsia="Calibri" w:hAnsi="Calibri" w:cs="Calibri"/>
          <w:i/>
        </w:rPr>
        <w:t>TSector</w:t>
      </w:r>
      <w:r>
        <w:rPr>
          <w:rFonts w:ascii="Calibri" w:eastAsia="Calibri" w:hAnsi="Calibri" w:cs="Calibri"/>
        </w:rPr>
        <w:t xml:space="preserve">, and </w:t>
      </w:r>
      <w:r>
        <w:rPr>
          <w:rFonts w:ascii="Calibri" w:eastAsia="Calibri" w:hAnsi="Calibri" w:cs="Calibri"/>
          <w:i/>
        </w:rPr>
        <w:t>COM</w:t>
      </w:r>
      <w:r>
        <w:rPr>
          <w:rFonts w:ascii="Calibri" w:eastAsia="Calibri" w:hAnsi="Calibri" w:cs="Calibri"/>
        </w:rPr>
        <w:t xml:space="preserve"> is the set of energy commodities in SATIM.</w:t>
      </w:r>
    </w:p>
    <w:p w14:paraId="59504408" w14:textId="779AECED" w:rsidR="00A5535E" w:rsidRDefault="00A5535E" w:rsidP="00A5535E">
      <w:pPr>
        <w:rPr>
          <w:rFonts w:ascii="Calibri" w:eastAsia="Calibri" w:hAnsi="Calibri" w:cs="Calibri"/>
        </w:rPr>
      </w:pPr>
      <w:r>
        <w:rPr>
          <w:rFonts w:ascii="Calibri" w:eastAsia="Calibri" w:hAnsi="Calibri" w:cs="Calibri"/>
        </w:rPr>
        <w:t>Since sectors in SATIM do</w:t>
      </w:r>
      <w:r w:rsidR="00837E84">
        <w:rPr>
          <w:rFonts w:ascii="Calibri" w:eastAsia="Calibri" w:hAnsi="Calibri" w:cs="Calibri"/>
        </w:rPr>
        <w:t xml:space="preserve"> </w:t>
      </w:r>
      <w:r>
        <w:rPr>
          <w:rFonts w:ascii="Calibri" w:eastAsia="Calibri" w:hAnsi="Calibri" w:cs="Calibri"/>
        </w:rPr>
        <w:t>n</w:t>
      </w:r>
      <w:r w:rsidR="00837E84">
        <w:rPr>
          <w:rFonts w:ascii="Calibri" w:eastAsia="Calibri" w:hAnsi="Calibri" w:cs="Calibri"/>
        </w:rPr>
        <w:t>o</w:t>
      </w:r>
      <w:r>
        <w:rPr>
          <w:rFonts w:ascii="Calibri" w:eastAsia="Calibri" w:hAnsi="Calibri" w:cs="Calibri"/>
        </w:rPr>
        <w:t xml:space="preserve">t exactly match sectors in eSAGE, </w:t>
      </w:r>
      <w:r>
        <w:rPr>
          <w:rFonts w:ascii="Calibri" w:eastAsia="Calibri" w:hAnsi="Calibri" w:cs="Calibri"/>
          <w:i/>
        </w:rPr>
        <w:t>ica</w:t>
      </w:r>
      <w:r>
        <w:rPr>
          <w:rFonts w:ascii="Calibri" w:eastAsia="Calibri" w:hAnsi="Calibri" w:cs="Calibri"/>
        </w:rPr>
        <w:t xml:space="preserve"> coefficients are adjusted via a growth rate rather than in absolute terms. The exception to this is the use of a new fuel not consumed in the base year. Our implementation looks out for such cases (e.g. uptake of hydrogen in transport), and explicitly handles them by setting the </w:t>
      </w:r>
      <w:r>
        <w:rPr>
          <w:rFonts w:ascii="Calibri" w:eastAsia="Calibri" w:hAnsi="Calibri" w:cs="Calibri"/>
          <w:i/>
        </w:rPr>
        <w:t>ica</w:t>
      </w:r>
      <w:r>
        <w:rPr>
          <w:rFonts w:ascii="Calibri" w:eastAsia="Calibri" w:hAnsi="Calibri" w:cs="Calibri"/>
        </w:rPr>
        <w:t xml:space="preserve"> in absolute terms for that particular instance equal to the energy intensity observed in SATIM. For cases where fuel </w:t>
      </w:r>
      <w:r>
        <w:rPr>
          <w:rFonts w:ascii="Calibri" w:eastAsia="Calibri" w:hAnsi="Calibri" w:cs="Calibri"/>
          <w:i/>
        </w:rPr>
        <w:t>i</w:t>
      </w:r>
      <w:r>
        <w:rPr>
          <w:rFonts w:ascii="Calibri" w:eastAsia="Calibri" w:hAnsi="Calibri" w:cs="Calibri"/>
        </w:rPr>
        <w:t xml:space="preserve"> is an input in the base year, the growth in intensity is calculated as follows:</w:t>
      </w:r>
    </w:p>
    <w:p w14:paraId="58B18CA1" w14:textId="2476D68B" w:rsidR="007F37C3" w:rsidRPr="007022C7" w:rsidRDefault="000878D0" w:rsidP="00384746">
      <w:pPr>
        <w:jc w:val="center"/>
      </w:pPr>
      <w:r>
        <w:rPr>
          <w:rFonts w:ascii="Calibri" w:eastAsia="Calibri" w:hAnsi="Calibri" w:cs="Calibri"/>
          <w:i/>
        </w:rPr>
        <w:t xml:space="preserve">∆ </w:t>
      </w:r>
      <w:r w:rsidR="007F37C3">
        <w:rPr>
          <w:i/>
        </w:rPr>
        <w:t xml:space="preserve">Energy Intensity (TSector, COM, t) </w:t>
      </w:r>
      <w:r w:rsidR="007F37C3">
        <w:t xml:space="preserve"> =  </w:t>
      </w:r>
      <m:oMath>
        <m:f>
          <m:fPr>
            <m:ctrlPr>
              <w:rPr>
                <w:rFonts w:ascii="Cambria Math" w:hAnsi="Cambria Math"/>
              </w:rPr>
            </m:ctrlPr>
          </m:fPr>
          <m:num>
            <m:r>
              <w:rPr>
                <w:rFonts w:ascii="Cambria Math" w:hAnsi="Cambria Math"/>
              </w:rPr>
              <m:t>Energy Intensity (TSector,COM,t)</m:t>
            </m:r>
          </m:num>
          <m:den>
            <m:r>
              <m:rPr>
                <m:sty m:val="p"/>
              </m:rPr>
              <w:rPr>
                <w:rFonts w:ascii="Cambria Math" w:hAnsi="Cambria Math"/>
              </w:rPr>
              <m:t xml:space="preserve"> </m:t>
            </m:r>
            <m:r>
              <w:rPr>
                <w:rFonts w:ascii="Cambria Math" w:hAnsi="Cambria Math"/>
              </w:rPr>
              <m:t>Energy Intensity (TSector,COM,t-1)</m:t>
            </m:r>
          </m:den>
        </m:f>
        <m:r>
          <w:rPr>
            <w:rFonts w:ascii="Cambria Math" w:hAnsi="Cambria Math"/>
          </w:rPr>
          <m:t>-1</m:t>
        </m:r>
      </m:oMath>
      <w:r w:rsidR="007F37C3">
        <w:t>,</w:t>
      </w:r>
    </w:p>
    <w:p w14:paraId="7EF9CEAE" w14:textId="2A370A53" w:rsidR="00A5535E" w:rsidRDefault="00A5535E" w:rsidP="00A5535E">
      <w:pPr>
        <w:rPr>
          <w:rFonts w:ascii="Calibri" w:eastAsia="Calibri" w:hAnsi="Calibri" w:cs="Calibri"/>
        </w:rPr>
      </w:pPr>
      <w:r>
        <w:rPr>
          <w:rFonts w:ascii="Calibri" w:eastAsia="Calibri" w:hAnsi="Calibri" w:cs="Calibri"/>
        </w:rPr>
        <w:t xml:space="preserve">This intensity must be mapped from TSector (in SATIM) to a (in </w:t>
      </w:r>
      <w:r w:rsidR="00CE7201">
        <w:rPr>
          <w:rFonts w:ascii="Calibri" w:eastAsia="Calibri" w:hAnsi="Calibri" w:cs="Calibri"/>
        </w:rPr>
        <w:t>e</w:t>
      </w:r>
      <w:r>
        <w:rPr>
          <w:rFonts w:ascii="Calibri" w:eastAsia="Calibri" w:hAnsi="Calibri" w:cs="Calibri"/>
        </w:rPr>
        <w:t xml:space="preserve">SAGE) as described below if </w:t>
      </w:r>
      <w:r w:rsidRPr="007F37C3">
        <w:rPr>
          <w:rFonts w:ascii="Calibri" w:eastAsia="Calibri" w:hAnsi="Calibri" w:cs="Calibri"/>
          <w:i/>
        </w:rPr>
        <w:t>a</w:t>
      </w:r>
      <w:r>
        <w:rPr>
          <w:rFonts w:ascii="Calibri" w:eastAsia="Calibri" w:hAnsi="Calibri" w:cs="Calibri"/>
        </w:rPr>
        <w:t xml:space="preserve"> maps to </w:t>
      </w:r>
      <w:r w:rsidRPr="007F37C3">
        <w:rPr>
          <w:rFonts w:ascii="Calibri" w:eastAsia="Calibri" w:hAnsi="Calibri" w:cs="Calibri"/>
          <w:i/>
        </w:rPr>
        <w:t xml:space="preserve">TSector </w:t>
      </w:r>
      <w:r>
        <w:rPr>
          <w:rFonts w:ascii="Calibri" w:eastAsia="Calibri" w:hAnsi="Calibri" w:cs="Calibri"/>
        </w:rPr>
        <w:t>and</w:t>
      </w:r>
      <w:r w:rsidRPr="007F37C3">
        <w:rPr>
          <w:rFonts w:ascii="Calibri" w:eastAsia="Calibri" w:hAnsi="Calibri" w:cs="Calibri"/>
          <w:i/>
        </w:rPr>
        <w:t xml:space="preserve"> i</w:t>
      </w:r>
      <w:r>
        <w:rPr>
          <w:rFonts w:ascii="Calibri" w:eastAsia="Calibri" w:hAnsi="Calibri" w:cs="Calibri"/>
        </w:rPr>
        <w:t xml:space="preserve"> maps to </w:t>
      </w:r>
      <w:r w:rsidRPr="007F37C3">
        <w:rPr>
          <w:rFonts w:ascii="Calibri" w:eastAsia="Calibri" w:hAnsi="Calibri" w:cs="Calibri"/>
          <w:i/>
        </w:rPr>
        <w:t>COM</w:t>
      </w:r>
      <w:r>
        <w:rPr>
          <w:rFonts w:ascii="Calibri" w:eastAsia="Calibri" w:hAnsi="Calibri" w:cs="Calibri"/>
        </w:rPr>
        <w:t>.</w:t>
      </w:r>
    </w:p>
    <w:p w14:paraId="1DD28E4C" w14:textId="26E76BDE" w:rsidR="007F37C3" w:rsidRPr="000C1F25" w:rsidRDefault="000878D0" w:rsidP="007F37C3">
      <w:pPr>
        <w:jc w:val="center"/>
        <w:rPr>
          <w:lang w:val="pt-PT"/>
        </w:rPr>
      </w:pPr>
      <w:r w:rsidRPr="000C1F25">
        <w:rPr>
          <w:rFonts w:ascii="Calibri" w:hAnsi="Calibri"/>
          <w:i/>
          <w:lang w:val="pt-PT"/>
        </w:rPr>
        <w:t>∆</w:t>
      </w:r>
      <w:r w:rsidR="007F37C3" w:rsidRPr="000C1F25">
        <w:rPr>
          <w:i/>
          <w:lang w:val="pt-PT"/>
        </w:rPr>
        <w:t xml:space="preserve">ica (a, i, t) </w:t>
      </w:r>
      <w:r w:rsidR="007F37C3" w:rsidRPr="000C1F25">
        <w:rPr>
          <w:lang w:val="pt-PT"/>
        </w:rPr>
        <w:t xml:space="preserve"> =  </w:t>
      </w:r>
      <m:oMath>
        <m:r>
          <w:rPr>
            <w:rFonts w:ascii="Cambria Math" w:hAnsi="Cambria Math"/>
            <w:lang w:val="pt-PT"/>
          </w:rPr>
          <m:t>∆</m:t>
        </m:r>
        <m:r>
          <w:rPr>
            <w:rFonts w:ascii="Cambria Math" w:hAnsi="Cambria Math"/>
          </w:rPr>
          <m:t>Energy</m:t>
        </m:r>
        <m:r>
          <w:rPr>
            <w:rFonts w:ascii="Cambria Math" w:hAnsi="Cambria Math"/>
            <w:lang w:val="pt-PT"/>
          </w:rPr>
          <m:t xml:space="preserve"> </m:t>
        </m:r>
        <m:r>
          <w:rPr>
            <w:rFonts w:ascii="Cambria Math" w:hAnsi="Cambria Math"/>
          </w:rPr>
          <m:t>Intensity</m:t>
        </m:r>
        <m:r>
          <w:rPr>
            <w:rFonts w:ascii="Cambria Math" w:hAnsi="Cambria Math"/>
            <w:lang w:val="pt-PT"/>
          </w:rPr>
          <m:t xml:space="preserve"> </m:t>
        </m:r>
        <m:d>
          <m:dPr>
            <m:ctrlPr>
              <w:rPr>
                <w:rFonts w:ascii="Cambria Math" w:hAnsi="Cambria Math"/>
                <w:i/>
              </w:rPr>
            </m:ctrlPr>
          </m:dPr>
          <m:e>
            <m:r>
              <w:rPr>
                <w:rFonts w:ascii="Cambria Math" w:hAnsi="Cambria Math"/>
              </w:rPr>
              <m:t>TSector</m:t>
            </m:r>
            <m:r>
              <w:rPr>
                <w:rFonts w:ascii="Cambria Math" w:hAnsi="Cambria Math"/>
                <w:lang w:val="pt-PT"/>
              </w:rPr>
              <m:t>,</m:t>
            </m:r>
            <m:r>
              <w:rPr>
                <w:rFonts w:ascii="Cambria Math" w:hAnsi="Cambria Math"/>
              </w:rPr>
              <m:t>COM</m:t>
            </m:r>
            <m:r>
              <w:rPr>
                <w:rFonts w:ascii="Cambria Math" w:hAnsi="Cambria Math"/>
                <w:lang w:val="pt-PT"/>
              </w:rPr>
              <m:t>,</m:t>
            </m:r>
            <m:r>
              <w:rPr>
                <w:rFonts w:ascii="Cambria Math" w:hAnsi="Cambria Math"/>
              </w:rPr>
              <m:t>t</m:t>
            </m:r>
          </m:e>
        </m:d>
      </m:oMath>
      <w:r w:rsidR="007F37C3" w:rsidRPr="000C1F25">
        <w:rPr>
          <w:lang w:val="pt-PT"/>
        </w:rPr>
        <w:t>,</w:t>
      </w:r>
    </w:p>
    <w:p w14:paraId="1FD1ACEA" w14:textId="1721DF38" w:rsidR="007F37C3" w:rsidRPr="000C1F25" w:rsidRDefault="007F37C3" w:rsidP="007F37C3">
      <w:pPr>
        <w:jc w:val="center"/>
        <w:rPr>
          <w:lang w:val="pt-PT"/>
        </w:rPr>
      </w:pPr>
      <w:r w:rsidRPr="000C1F25">
        <w:rPr>
          <w:i/>
          <w:lang w:val="pt-PT"/>
        </w:rPr>
        <w:t xml:space="preserve">ica(a, i, t) </w:t>
      </w:r>
      <w:r w:rsidRPr="000C1F25">
        <w:rPr>
          <w:lang w:val="pt-PT"/>
        </w:rPr>
        <w:t xml:space="preserve"> =  </w:t>
      </w:r>
      <m:oMath>
        <m:r>
          <w:rPr>
            <w:rFonts w:ascii="Cambria Math" w:hAnsi="Cambria Math"/>
          </w:rPr>
          <m:t>ica</m:t>
        </m:r>
        <m:r>
          <w:rPr>
            <w:rFonts w:ascii="Cambria Math" w:hAnsi="Cambria Math"/>
            <w:lang w:val="pt-PT"/>
          </w:rPr>
          <m:t>(</m:t>
        </m:r>
        <m:r>
          <w:rPr>
            <w:rFonts w:ascii="Cambria Math" w:hAnsi="Cambria Math"/>
          </w:rPr>
          <m:t>a</m:t>
        </m:r>
        <m:r>
          <w:rPr>
            <w:rFonts w:ascii="Cambria Math" w:hAnsi="Cambria Math"/>
            <w:lang w:val="pt-PT"/>
          </w:rPr>
          <m:t>,</m:t>
        </m:r>
        <m:r>
          <w:rPr>
            <w:rFonts w:ascii="Cambria Math" w:hAnsi="Cambria Math"/>
          </w:rPr>
          <m:t>i</m:t>
        </m:r>
        <m:r>
          <w:rPr>
            <w:rFonts w:ascii="Cambria Math" w:hAnsi="Cambria Math"/>
            <w:lang w:val="pt-PT"/>
          </w:rPr>
          <m:t>,</m:t>
        </m:r>
        <m:r>
          <w:rPr>
            <w:rFonts w:ascii="Cambria Math" w:hAnsi="Cambria Math"/>
          </w:rPr>
          <m:t>t</m:t>
        </m:r>
        <m:r>
          <w:rPr>
            <w:rFonts w:ascii="Cambria Math" w:hAnsi="Cambria Math"/>
            <w:lang w:val="pt-PT"/>
          </w:rPr>
          <m:t>-1)×</m:t>
        </m:r>
        <m:d>
          <m:dPr>
            <m:ctrlPr>
              <w:rPr>
                <w:rFonts w:ascii="Cambria Math" w:hAnsi="Cambria Math"/>
                <w:i/>
              </w:rPr>
            </m:ctrlPr>
          </m:dPr>
          <m:e>
            <m:r>
              <w:rPr>
                <w:rFonts w:ascii="Cambria Math" w:hAnsi="Cambria Math"/>
                <w:lang w:val="pt-PT"/>
              </w:rPr>
              <m:t>1+</m:t>
            </m:r>
            <m:r>
              <w:rPr>
                <w:rFonts w:ascii="Cambria Math" w:eastAsia="Calibri" w:hAnsi="Cambria Math" w:cs="Calibri"/>
                <w:lang w:val="pt-PT"/>
              </w:rPr>
              <m:t>∆</m:t>
            </m:r>
            <m:r>
              <w:rPr>
                <w:rFonts w:ascii="Cambria Math" w:hAnsi="Cambria Math"/>
              </w:rPr>
              <m:t>ica</m:t>
            </m:r>
            <m:r>
              <w:rPr>
                <w:rFonts w:ascii="Cambria Math" w:hAnsi="Cambria Math"/>
                <w:lang w:val="pt-PT"/>
              </w:rPr>
              <m:t xml:space="preserve"> </m:t>
            </m:r>
            <m:d>
              <m:dPr>
                <m:ctrlPr>
                  <w:rPr>
                    <w:rFonts w:ascii="Cambria Math" w:hAnsi="Cambria Math"/>
                    <w:i/>
                  </w:rPr>
                </m:ctrlPr>
              </m:dPr>
              <m:e>
                <m:r>
                  <w:rPr>
                    <w:rFonts w:ascii="Cambria Math" w:hAnsi="Cambria Math"/>
                  </w:rPr>
                  <m:t>a</m:t>
                </m:r>
                <m:r>
                  <w:rPr>
                    <w:rFonts w:ascii="Cambria Math" w:hAnsi="Cambria Math"/>
                    <w:lang w:val="pt-PT"/>
                  </w:rPr>
                  <m:t>,</m:t>
                </m:r>
                <m:r>
                  <w:rPr>
                    <w:rFonts w:ascii="Cambria Math" w:hAnsi="Cambria Math"/>
                  </w:rPr>
                  <m:t>i</m:t>
                </m:r>
                <m:r>
                  <w:rPr>
                    <w:rFonts w:ascii="Cambria Math" w:hAnsi="Cambria Math"/>
                    <w:lang w:val="pt-PT"/>
                  </w:rPr>
                  <m:t>,</m:t>
                </m:r>
                <m:r>
                  <w:rPr>
                    <w:rFonts w:ascii="Cambria Math" w:hAnsi="Cambria Math"/>
                  </w:rPr>
                  <m:t>t</m:t>
                </m:r>
              </m:e>
            </m:d>
          </m:e>
        </m:d>
        <m:r>
          <w:rPr>
            <w:rFonts w:ascii="Cambria Math" w:hAnsi="Cambria Math"/>
            <w:lang w:val="pt-PT"/>
          </w:rPr>
          <m:t>.</m:t>
        </m:r>
      </m:oMath>
    </w:p>
    <w:p w14:paraId="5F81A30A" w14:textId="3DBFA8F5" w:rsidR="00A5535E" w:rsidRPr="00384746" w:rsidRDefault="00A5535E" w:rsidP="00384746">
      <w:pPr>
        <w:pStyle w:val="Heading2"/>
        <w:numPr>
          <w:ilvl w:val="2"/>
          <w:numId w:val="2"/>
        </w:numPr>
        <w:spacing w:line="276" w:lineRule="auto"/>
      </w:pPr>
      <w:bookmarkStart w:id="6" w:name="_yq0d21ms8uc7" w:colFirst="0" w:colLast="0"/>
      <w:bookmarkEnd w:id="6"/>
      <w:r w:rsidRPr="00384746">
        <w:t xml:space="preserve">Specifying the capital supply to the </w:t>
      </w:r>
      <w:r w:rsidR="00837E84" w:rsidRPr="00384746">
        <w:t>electricity se</w:t>
      </w:r>
      <w:r w:rsidRPr="00384746">
        <w:t>ctor in eSAGE</w:t>
      </w:r>
    </w:p>
    <w:p w14:paraId="0B58A588" w14:textId="0D8036B6" w:rsidR="00A5535E" w:rsidRDefault="00A5535E" w:rsidP="00A5535E">
      <w:pPr>
        <w:rPr>
          <w:rFonts w:ascii="Calibri" w:eastAsia="Calibri" w:hAnsi="Calibri" w:cs="Calibri"/>
        </w:rPr>
      </w:pPr>
      <w:r>
        <w:rPr>
          <w:rFonts w:ascii="Calibri" w:eastAsia="Calibri" w:hAnsi="Calibri" w:cs="Calibri"/>
        </w:rPr>
        <w:t xml:space="preserve">As described in Alton et al. </w:t>
      </w:r>
      <w:r w:rsidR="00155E70">
        <w:rPr>
          <w:rFonts w:ascii="Calibri" w:eastAsia="Calibri" w:hAnsi="Calibri" w:cs="Calibri"/>
        </w:rPr>
        <w:t>(</w:t>
      </w:r>
      <w:r>
        <w:rPr>
          <w:rFonts w:ascii="Calibri" w:eastAsia="Calibri" w:hAnsi="Calibri" w:cs="Calibri"/>
        </w:rPr>
        <w:t>2014), in eSAGE, a “putty-clay” specification is used by default, where</w:t>
      </w:r>
      <w:r w:rsidR="00837E84">
        <w:rPr>
          <w:rFonts w:ascii="Calibri" w:eastAsia="Calibri" w:hAnsi="Calibri" w:cs="Calibri"/>
        </w:rPr>
        <w:t>.</w:t>
      </w:r>
      <w:r>
        <w:rPr>
          <w:rFonts w:ascii="Calibri" w:eastAsia="Calibri" w:hAnsi="Calibri" w:cs="Calibri"/>
        </w:rPr>
        <w:t xml:space="preserve"> in between periods, capital stocks for each activity </w:t>
      </w:r>
      <w:r>
        <w:rPr>
          <w:rFonts w:ascii="Calibri" w:eastAsia="Calibri" w:hAnsi="Calibri" w:cs="Calibri"/>
          <w:i/>
        </w:rPr>
        <w:t>a</w:t>
      </w:r>
      <w:r>
        <w:rPr>
          <w:rFonts w:ascii="Calibri" w:eastAsia="Calibri" w:hAnsi="Calibri" w:cs="Calibri"/>
        </w:rPr>
        <w:t xml:space="preserve"> in period </w:t>
      </w:r>
      <w:r>
        <w:rPr>
          <w:rFonts w:ascii="Calibri" w:eastAsia="Calibri" w:hAnsi="Calibri" w:cs="Calibri"/>
          <w:i/>
        </w:rPr>
        <w:t>t</w:t>
      </w:r>
      <w:r>
        <w:rPr>
          <w:rFonts w:ascii="Calibri" w:eastAsia="Calibri" w:hAnsi="Calibri" w:cs="Calibri"/>
        </w:rPr>
        <w:t xml:space="preserve"> is increased based on investment in period </w:t>
      </w:r>
      <w:r>
        <w:rPr>
          <w:rFonts w:ascii="Calibri" w:eastAsia="Calibri" w:hAnsi="Calibri" w:cs="Calibri"/>
          <w:i/>
        </w:rPr>
        <w:t>t-1</w:t>
      </w:r>
      <w:r>
        <w:rPr>
          <w:rFonts w:ascii="Calibri" w:eastAsia="Calibri" w:hAnsi="Calibri" w:cs="Calibri"/>
        </w:rPr>
        <w:t xml:space="preserve"> less depreciation. This new capital is allocated across activities in proportion to the </w:t>
      </w:r>
      <w:r w:rsidR="00155E70">
        <w:rPr>
          <w:rFonts w:ascii="Calibri" w:eastAsia="Calibri" w:hAnsi="Calibri" w:cs="Calibri"/>
        </w:rPr>
        <w:t>activities’</w:t>
      </w:r>
      <w:r>
        <w:rPr>
          <w:rFonts w:ascii="Calibri" w:eastAsia="Calibri" w:hAnsi="Calibri" w:cs="Calibri"/>
        </w:rPr>
        <w:t xml:space="preserve"> share of current capital stocks adjusted by its own profit rate relative to the national average profit rate. Once allocated, capital remains fixed in the sector. In the case of the electricity sector capital, stock changes </w:t>
      </w:r>
      <w:r w:rsidR="00837E84">
        <w:rPr>
          <w:rFonts w:ascii="Calibri" w:eastAsia="Calibri" w:hAnsi="Calibri" w:cs="Calibri"/>
        </w:rPr>
        <w:t xml:space="preserve">are </w:t>
      </w:r>
      <w:r>
        <w:rPr>
          <w:rFonts w:ascii="Calibri" w:eastAsia="Calibri" w:hAnsi="Calibri" w:cs="Calibri"/>
        </w:rPr>
        <w:t>done differently from other sectors in that they are based on the results of SATIM instead:</w:t>
      </w:r>
    </w:p>
    <w:p w14:paraId="62D2FF49" w14:textId="0ABFAC47" w:rsidR="00A5535E" w:rsidRDefault="00A5535E" w:rsidP="00A5535E">
      <w:pPr>
        <w:rPr>
          <w:rFonts w:ascii="Calibri" w:eastAsia="Calibri" w:hAnsi="Calibri" w:cs="Calibri"/>
        </w:rPr>
      </w:pPr>
      <w:r>
        <w:rPr>
          <w:rFonts w:ascii="Calibri" w:eastAsia="Calibri" w:hAnsi="Calibri" w:cs="Calibri"/>
        </w:rPr>
        <w:t>Percent</w:t>
      </w:r>
      <w:r w:rsidR="00837E84">
        <w:rPr>
          <w:rFonts w:ascii="Calibri" w:eastAsia="Calibri" w:hAnsi="Calibri" w:cs="Calibri"/>
        </w:rPr>
        <w:t>age</w:t>
      </w:r>
      <w:r>
        <w:rPr>
          <w:rFonts w:ascii="Calibri" w:eastAsia="Calibri" w:hAnsi="Calibri" w:cs="Calibri"/>
        </w:rPr>
        <w:t xml:space="preserve"> change in capital stock for electricity sector activity in year </w:t>
      </w:r>
      <w:r>
        <w:rPr>
          <w:rFonts w:ascii="Calibri" w:eastAsia="Calibri" w:hAnsi="Calibri" w:cs="Calibri"/>
          <w:i/>
        </w:rPr>
        <w:t>t</w:t>
      </w:r>
      <w:r w:rsidR="00837E84">
        <w:rPr>
          <w:rFonts w:ascii="Calibri" w:eastAsia="Calibri" w:hAnsi="Calibri" w:cs="Calibri"/>
          <w:i/>
        </w:rPr>
        <w:t xml:space="preserve"> </w:t>
      </w:r>
      <w:r w:rsidR="00837E84" w:rsidRPr="002E796D">
        <w:rPr>
          <w:rFonts w:ascii="Calibri" w:eastAsia="Calibri" w:hAnsi="Calibri" w:cs="Calibri"/>
        </w:rPr>
        <w:t>is calculated by</w:t>
      </w:r>
      <w:r w:rsidR="00837E84">
        <w:rPr>
          <w:rFonts w:ascii="Calibri" w:eastAsia="Calibri" w:hAnsi="Calibri" w:cs="Calibri"/>
        </w:rPr>
        <w:t>:</w:t>
      </w:r>
      <w:r>
        <w:rPr>
          <w:rFonts w:ascii="Calibri" w:eastAsia="Calibri" w:hAnsi="Calibri" w:cs="Calibri"/>
        </w:rPr>
        <w:t xml:space="preserve"> </w:t>
      </w:r>
    </w:p>
    <w:p w14:paraId="1E459EF1" w14:textId="77777777" w:rsidR="00A5535E" w:rsidRDefault="00A5535E" w:rsidP="00A5535E">
      <w:pPr>
        <w:jc w:val="center"/>
        <w:rPr>
          <w:rFonts w:ascii="Calibri" w:eastAsia="Calibri" w:hAnsi="Calibri" w:cs="Calibri"/>
        </w:rPr>
      </w:pPr>
      <w:r>
        <w:rPr>
          <w:rFonts w:ascii="Calibri" w:eastAsia="Calibri" w:hAnsi="Calibri" w:cs="Calibri"/>
          <w:i/>
        </w:rPr>
        <w:t>∆qf(capital,elc,t) = ∆TotAnnElcInvCost(t)</w:t>
      </w:r>
      <w:r>
        <w:rPr>
          <w:rFonts w:ascii="Calibri" w:eastAsia="Calibri" w:hAnsi="Calibri" w:cs="Calibri"/>
        </w:rPr>
        <w:t>,</w:t>
      </w:r>
    </w:p>
    <w:p w14:paraId="4BF001BC" w14:textId="7640D032" w:rsidR="00A5535E" w:rsidRDefault="00A5535E" w:rsidP="00A5535E">
      <w:pPr>
        <w:rPr>
          <w:rFonts w:ascii="Calibri" w:eastAsia="Calibri" w:hAnsi="Calibri" w:cs="Calibri"/>
        </w:rPr>
      </w:pPr>
      <w:r>
        <w:rPr>
          <w:rFonts w:ascii="Calibri" w:eastAsia="Calibri" w:hAnsi="Calibri" w:cs="Calibri"/>
        </w:rPr>
        <w:t xml:space="preserve">where </w:t>
      </w:r>
      <w:r>
        <w:rPr>
          <w:rFonts w:ascii="Calibri" w:eastAsia="Calibri" w:hAnsi="Calibri" w:cs="Calibri"/>
          <w:i/>
        </w:rPr>
        <w:t>∆TotAnnElcInvCost(t)</w:t>
      </w:r>
      <w:r>
        <w:rPr>
          <w:rFonts w:ascii="Calibri" w:eastAsia="Calibri" w:hAnsi="Calibri" w:cs="Calibri"/>
        </w:rPr>
        <w:t xml:space="preserve"> is the percent</w:t>
      </w:r>
      <w:r w:rsidR="00837E84">
        <w:rPr>
          <w:rFonts w:ascii="Calibri" w:eastAsia="Calibri" w:hAnsi="Calibri" w:cs="Calibri"/>
        </w:rPr>
        <w:t>age</w:t>
      </w:r>
      <w:r>
        <w:rPr>
          <w:rFonts w:ascii="Calibri" w:eastAsia="Calibri" w:hAnsi="Calibri" w:cs="Calibri"/>
        </w:rPr>
        <w:t xml:space="preserve"> change in the sum of all </w:t>
      </w:r>
      <w:r w:rsidR="00837E84">
        <w:rPr>
          <w:rFonts w:ascii="Calibri" w:eastAsia="Calibri" w:hAnsi="Calibri" w:cs="Calibri"/>
        </w:rPr>
        <w:t xml:space="preserve">annualized </w:t>
      </w:r>
      <w:r>
        <w:rPr>
          <w:rFonts w:ascii="Calibri" w:eastAsia="Calibri" w:hAnsi="Calibri" w:cs="Calibri"/>
        </w:rPr>
        <w:t xml:space="preserve">investment costs in year </w:t>
      </w:r>
      <w:r>
        <w:rPr>
          <w:rFonts w:ascii="Calibri" w:eastAsia="Calibri" w:hAnsi="Calibri" w:cs="Calibri"/>
          <w:i/>
        </w:rPr>
        <w:t>t,</w:t>
      </w:r>
      <w:r>
        <w:rPr>
          <w:rFonts w:ascii="Calibri" w:eastAsia="Calibri" w:hAnsi="Calibri" w:cs="Calibri"/>
        </w:rPr>
        <w:t xml:space="preserve"> in SATIM technologies that are part of the electricity sector, i.e. all power plants (including storage technologies), transmission and distribution infrastructure.</w:t>
      </w:r>
    </w:p>
    <w:p w14:paraId="517F5F8A" w14:textId="2F7FF50B" w:rsidR="00A5535E" w:rsidRDefault="00A5535E" w:rsidP="00A5535E">
      <w:pPr>
        <w:rPr>
          <w:rFonts w:ascii="Calibri" w:eastAsia="Calibri" w:hAnsi="Calibri" w:cs="Calibri"/>
        </w:rPr>
      </w:pPr>
      <w:r>
        <w:rPr>
          <w:rFonts w:ascii="Calibri" w:eastAsia="Calibri" w:hAnsi="Calibri" w:cs="Calibri"/>
        </w:rPr>
        <w:t>Capital stock in year t</w:t>
      </w:r>
      <w:r w:rsidR="00837E84">
        <w:rPr>
          <w:rFonts w:ascii="Calibri" w:eastAsia="Calibri" w:hAnsi="Calibri" w:cs="Calibri"/>
        </w:rPr>
        <w:t xml:space="preserve"> is calculated by:</w:t>
      </w:r>
      <w:r>
        <w:rPr>
          <w:rFonts w:ascii="Calibri" w:eastAsia="Calibri" w:hAnsi="Calibri" w:cs="Calibri"/>
        </w:rPr>
        <w:t xml:space="preserve"> </w:t>
      </w:r>
    </w:p>
    <w:p w14:paraId="57F35F9A" w14:textId="77777777" w:rsidR="00A5535E" w:rsidRDefault="00A5535E" w:rsidP="00A5535E">
      <w:pPr>
        <w:jc w:val="center"/>
        <w:rPr>
          <w:rFonts w:ascii="Calibri" w:eastAsia="Calibri" w:hAnsi="Calibri" w:cs="Calibri"/>
          <w:i/>
        </w:rPr>
      </w:pPr>
      <w:r>
        <w:rPr>
          <w:rFonts w:ascii="Calibri" w:eastAsia="Calibri" w:hAnsi="Calibri" w:cs="Calibri"/>
          <w:i/>
        </w:rPr>
        <w:t>qf(capital,elc,t) = qf(capital,elc,t-1) x (1+ ∆qf(capital,elc,t)).</w:t>
      </w:r>
    </w:p>
    <w:p w14:paraId="69EEF18F" w14:textId="21E578CB" w:rsidR="00A5535E" w:rsidRDefault="00A5535E" w:rsidP="00A5535E">
      <w:pPr>
        <w:rPr>
          <w:rFonts w:ascii="Calibri" w:eastAsia="Calibri" w:hAnsi="Calibri" w:cs="Calibri"/>
        </w:rPr>
      </w:pPr>
      <w:r>
        <w:rPr>
          <w:rFonts w:ascii="Calibri" w:eastAsia="Calibri" w:hAnsi="Calibri" w:cs="Calibri"/>
        </w:rPr>
        <w:t xml:space="preserve">For the models to be aligned, the base year </w:t>
      </w:r>
      <w:r w:rsidR="00837E84">
        <w:rPr>
          <w:rFonts w:ascii="Calibri" w:eastAsia="Calibri" w:hAnsi="Calibri" w:cs="Calibri"/>
        </w:rPr>
        <w:t xml:space="preserve">annualized </w:t>
      </w:r>
      <w:r>
        <w:rPr>
          <w:rFonts w:ascii="Calibri" w:eastAsia="Calibri" w:hAnsi="Calibri" w:cs="Calibri"/>
        </w:rPr>
        <w:t xml:space="preserve">investment cost </w:t>
      </w:r>
      <w:r w:rsidRPr="000C1F25">
        <w:rPr>
          <w:rFonts w:ascii="Calibri" w:hAnsi="Calibri"/>
          <w:i/>
        </w:rPr>
        <w:t>AElcInvCost(t</w:t>
      </w:r>
      <w:r w:rsidRPr="000C1F25">
        <w:rPr>
          <w:rFonts w:ascii="Calibri" w:hAnsi="Calibri"/>
          <w:i/>
          <w:vertAlign w:val="subscript"/>
        </w:rPr>
        <w:t>0</w:t>
      </w:r>
      <w:r w:rsidRPr="000C1F25">
        <w:rPr>
          <w:rFonts w:ascii="Calibri" w:hAnsi="Calibri"/>
          <w:i/>
        </w:rPr>
        <w:t>)</w:t>
      </w:r>
      <w:r>
        <w:rPr>
          <w:rFonts w:ascii="Calibri" w:eastAsia="Calibri" w:hAnsi="Calibri" w:cs="Calibri"/>
        </w:rPr>
        <w:t>, which does</w:t>
      </w:r>
      <w:r w:rsidR="00837E84">
        <w:rPr>
          <w:rFonts w:ascii="Calibri" w:eastAsia="Calibri" w:hAnsi="Calibri" w:cs="Calibri"/>
        </w:rPr>
        <w:t xml:space="preserve"> </w:t>
      </w:r>
      <w:r>
        <w:rPr>
          <w:rFonts w:ascii="Calibri" w:eastAsia="Calibri" w:hAnsi="Calibri" w:cs="Calibri"/>
        </w:rPr>
        <w:t>n</w:t>
      </w:r>
      <w:r w:rsidR="00837E84">
        <w:rPr>
          <w:rFonts w:ascii="Calibri" w:eastAsia="Calibri" w:hAnsi="Calibri" w:cs="Calibri"/>
        </w:rPr>
        <w:t>o</w:t>
      </w:r>
      <w:r>
        <w:rPr>
          <w:rFonts w:ascii="Calibri" w:eastAsia="Calibri" w:hAnsi="Calibri" w:cs="Calibri"/>
        </w:rPr>
        <w:t>t affect the optimization in SATIM (as it</w:t>
      </w:r>
      <w:r w:rsidR="00837E84">
        <w:rPr>
          <w:rFonts w:ascii="Calibri" w:eastAsia="Calibri" w:hAnsi="Calibri" w:cs="Calibri"/>
        </w:rPr>
        <w:t xml:space="preserve"> i</w:t>
      </w:r>
      <w:r>
        <w:rPr>
          <w:rFonts w:ascii="Calibri" w:eastAsia="Calibri" w:hAnsi="Calibri" w:cs="Calibri"/>
        </w:rPr>
        <w:t xml:space="preserve">s already sunk capital), needs to be scaled to be equal to </w:t>
      </w:r>
      <w:r w:rsidRPr="000C1F25">
        <w:rPr>
          <w:rFonts w:ascii="Calibri" w:hAnsi="Calibri"/>
          <w:i/>
        </w:rPr>
        <w:t>qf(capital,elc,t</w:t>
      </w:r>
      <w:r w:rsidRPr="000C1F25">
        <w:rPr>
          <w:rFonts w:ascii="Calibri" w:hAnsi="Calibri"/>
          <w:i/>
          <w:vertAlign w:val="subscript"/>
        </w:rPr>
        <w:t>0</w:t>
      </w:r>
      <w:r w:rsidRPr="000C1F25">
        <w:rPr>
          <w:rFonts w:ascii="Calibri" w:hAnsi="Calibri"/>
          <w:i/>
        </w:rPr>
        <w:t>)</w:t>
      </w:r>
      <w:r>
        <w:rPr>
          <w:rFonts w:ascii="Calibri" w:eastAsia="Calibri" w:hAnsi="Calibri" w:cs="Calibri"/>
        </w:rPr>
        <w:t xml:space="preserve"> as observed in the SAM, as part of the calibration process.</w:t>
      </w:r>
    </w:p>
    <w:p w14:paraId="0EB5E4E7" w14:textId="7B57D0EB" w:rsidR="00A5535E" w:rsidRDefault="00A5535E" w:rsidP="00A5535E">
      <w:pPr>
        <w:rPr>
          <w:rFonts w:ascii="Calibri" w:eastAsia="Calibri" w:hAnsi="Calibri" w:cs="Calibri"/>
        </w:rPr>
      </w:pPr>
      <w:r>
        <w:rPr>
          <w:rFonts w:ascii="Calibri" w:eastAsia="Calibri" w:hAnsi="Calibri" w:cs="Calibri"/>
        </w:rPr>
        <w:t>For the model link to be more complete, one would ideally adjust the cost of capital (sector</w:t>
      </w:r>
      <w:r w:rsidR="00837E84">
        <w:rPr>
          <w:rFonts w:ascii="Calibri" w:eastAsia="Calibri" w:hAnsi="Calibri" w:cs="Calibri"/>
        </w:rPr>
        <w:t>-</w:t>
      </w:r>
      <w:r>
        <w:rPr>
          <w:rFonts w:ascii="Calibri" w:eastAsia="Calibri" w:hAnsi="Calibri" w:cs="Calibri"/>
        </w:rPr>
        <w:t xml:space="preserve">specific discount rate) to be used in SATIM when calculating the annualized investment costs, based on changes in the cost of capital in eSAGE (which is endogenous). However, in the scenarios considered here, we observed that the cost of capital in eSAGE did not fluctuate enough in order to justify this link.   </w:t>
      </w:r>
    </w:p>
    <w:p w14:paraId="731B1F3F" w14:textId="5FD62B66" w:rsidR="00A5535E" w:rsidRDefault="00A5535E" w:rsidP="00A013AC">
      <w:pPr>
        <w:pStyle w:val="Heading2"/>
        <w:numPr>
          <w:ilvl w:val="2"/>
          <w:numId w:val="2"/>
        </w:numPr>
        <w:spacing w:line="276" w:lineRule="auto"/>
      </w:pPr>
      <w:bookmarkStart w:id="7" w:name="_6zknmjpcuwrc" w:colFirst="0" w:colLast="0"/>
      <w:bookmarkEnd w:id="7"/>
      <w:r>
        <w:t xml:space="preserve">Adjusting labour and capital inputs for the </w:t>
      </w:r>
      <w:r w:rsidR="00837E84">
        <w:t>electricity se</w:t>
      </w:r>
      <w:r>
        <w:t>ctor activity in eSAGE</w:t>
      </w:r>
    </w:p>
    <w:p w14:paraId="4D8D8F24" w14:textId="609371E6" w:rsidR="00A5535E" w:rsidRDefault="00A5535E" w:rsidP="00A5535E">
      <w:pPr>
        <w:rPr>
          <w:rFonts w:ascii="Calibri" w:eastAsia="Calibri" w:hAnsi="Calibri" w:cs="Calibri"/>
        </w:rPr>
      </w:pPr>
      <w:r>
        <w:rPr>
          <w:rFonts w:ascii="Calibri" w:eastAsia="Calibri" w:hAnsi="Calibri" w:cs="Calibri"/>
        </w:rPr>
        <w:t xml:space="preserve">The quantity of primary factor </w:t>
      </w:r>
      <w:r>
        <w:rPr>
          <w:rFonts w:ascii="Calibri" w:eastAsia="Calibri" w:hAnsi="Calibri" w:cs="Calibri"/>
          <w:i/>
        </w:rPr>
        <w:t>f</w:t>
      </w:r>
      <w:r>
        <w:rPr>
          <w:rFonts w:ascii="Calibri" w:eastAsia="Calibri" w:hAnsi="Calibri" w:cs="Calibri"/>
        </w:rPr>
        <w:t xml:space="preserve"> needed by activity </w:t>
      </w:r>
      <w:r>
        <w:rPr>
          <w:rFonts w:ascii="Calibri" w:eastAsia="Calibri" w:hAnsi="Calibri" w:cs="Calibri"/>
          <w:i/>
        </w:rPr>
        <w:t>a,</w:t>
      </w:r>
      <w:r>
        <w:rPr>
          <w:rFonts w:ascii="Calibri" w:eastAsia="Calibri" w:hAnsi="Calibri" w:cs="Calibri"/>
        </w:rPr>
        <w:t xml:space="preserve"> in year </w:t>
      </w:r>
      <w:r>
        <w:rPr>
          <w:rFonts w:ascii="Calibri" w:eastAsia="Calibri" w:hAnsi="Calibri" w:cs="Calibri"/>
          <w:i/>
        </w:rPr>
        <w:t>t</w:t>
      </w:r>
      <w:r>
        <w:rPr>
          <w:rFonts w:ascii="Calibri" w:eastAsia="Calibri" w:hAnsi="Calibri" w:cs="Calibri"/>
        </w:rPr>
        <w:t xml:space="preserve">, </w:t>
      </w:r>
      <w:r>
        <w:rPr>
          <w:rFonts w:ascii="Calibri" w:eastAsia="Calibri" w:hAnsi="Calibri" w:cs="Calibri"/>
          <w:i/>
        </w:rPr>
        <w:t>qf(</w:t>
      </w:r>
      <w:proofErr w:type="gramStart"/>
      <w:r>
        <w:rPr>
          <w:rFonts w:ascii="Calibri" w:eastAsia="Calibri" w:hAnsi="Calibri" w:cs="Calibri"/>
          <w:i/>
        </w:rPr>
        <w:t>f,a</w:t>
      </w:r>
      <w:proofErr w:type="gramEnd"/>
      <w:r>
        <w:rPr>
          <w:rFonts w:ascii="Calibri" w:eastAsia="Calibri" w:hAnsi="Calibri" w:cs="Calibri"/>
          <w:i/>
        </w:rPr>
        <w:t>,t)</w:t>
      </w:r>
      <w:r>
        <w:rPr>
          <w:rFonts w:ascii="Calibri" w:eastAsia="Calibri" w:hAnsi="Calibri" w:cs="Calibri"/>
        </w:rPr>
        <w:t xml:space="preserve"> is given by</w:t>
      </w:r>
      <w:r w:rsidR="00837E84">
        <w:rPr>
          <w:rFonts w:ascii="Calibri" w:eastAsia="Calibri" w:hAnsi="Calibri" w:cs="Calibri"/>
        </w:rPr>
        <w:t>:</w:t>
      </w:r>
    </w:p>
    <w:p w14:paraId="3D275CC5" w14:textId="77777777" w:rsidR="00A5535E" w:rsidRDefault="00A5535E" w:rsidP="00A5535E">
      <w:pPr>
        <w:ind w:left="2160" w:firstLine="720"/>
        <w:rPr>
          <w:rFonts w:ascii="Calibri" w:eastAsia="Calibri" w:hAnsi="Calibri" w:cs="Calibri"/>
          <w:i/>
        </w:rPr>
      </w:pPr>
      <w:r>
        <w:rPr>
          <w:rFonts w:ascii="Calibri" w:eastAsia="Calibri" w:hAnsi="Calibri" w:cs="Calibri"/>
          <w:i/>
        </w:rPr>
        <w:t>qf(</w:t>
      </w:r>
      <w:proofErr w:type="gramStart"/>
      <w:r>
        <w:rPr>
          <w:rFonts w:ascii="Calibri" w:eastAsia="Calibri" w:hAnsi="Calibri" w:cs="Calibri"/>
          <w:i/>
        </w:rPr>
        <w:t>f,a</w:t>
      </w:r>
      <w:proofErr w:type="gramEnd"/>
      <w:r>
        <w:rPr>
          <w:rFonts w:ascii="Calibri" w:eastAsia="Calibri" w:hAnsi="Calibri" w:cs="Calibri"/>
          <w:i/>
        </w:rPr>
        <w:t>,t) = output(a, t) x ifa(f,a,t)</w:t>
      </w:r>
    </w:p>
    <w:p w14:paraId="77FB82A5" w14:textId="77777777" w:rsidR="00A5535E" w:rsidRDefault="00A5535E" w:rsidP="00A5535E">
      <w:pPr>
        <w:rPr>
          <w:rFonts w:ascii="Calibri" w:eastAsia="Calibri" w:hAnsi="Calibri" w:cs="Calibri"/>
        </w:rPr>
      </w:pPr>
      <w:r>
        <w:rPr>
          <w:rFonts w:ascii="Calibri" w:eastAsia="Calibri" w:hAnsi="Calibri" w:cs="Calibri"/>
        </w:rPr>
        <w:t>where</w:t>
      </w:r>
      <w:r>
        <w:rPr>
          <w:rFonts w:ascii="Calibri" w:eastAsia="Calibri" w:hAnsi="Calibri" w:cs="Calibri"/>
          <w:i/>
        </w:rPr>
        <w:t xml:space="preserve"> ifa(f,a,t)</w:t>
      </w:r>
      <w:r>
        <w:rPr>
          <w:rFonts w:ascii="Calibri" w:eastAsia="Calibri" w:hAnsi="Calibri" w:cs="Calibri"/>
        </w:rPr>
        <w:t xml:space="preserve"> is a coefficient for each primary factor </w:t>
      </w:r>
      <w:r>
        <w:rPr>
          <w:rFonts w:ascii="Calibri" w:eastAsia="Calibri" w:hAnsi="Calibri" w:cs="Calibri"/>
          <w:i/>
        </w:rPr>
        <w:t>f</w:t>
      </w:r>
      <w:r>
        <w:rPr>
          <w:rFonts w:ascii="Calibri" w:eastAsia="Calibri" w:hAnsi="Calibri" w:cs="Calibri"/>
        </w:rPr>
        <w:t>, which can be thought of as the labour intensity for f ∈ f</w:t>
      </w:r>
      <w:r>
        <w:rPr>
          <w:rFonts w:ascii="Calibri" w:eastAsia="Calibri" w:hAnsi="Calibri" w:cs="Calibri"/>
          <w:vertAlign w:val="subscript"/>
        </w:rPr>
        <w:t>labour</w:t>
      </w:r>
      <w:r>
        <w:rPr>
          <w:rFonts w:ascii="Calibri" w:eastAsia="Calibri" w:hAnsi="Calibri" w:cs="Calibri"/>
        </w:rPr>
        <w:t>, and capital intensity for f ∈ f</w:t>
      </w:r>
      <w:r>
        <w:rPr>
          <w:rFonts w:ascii="Calibri" w:eastAsia="Calibri" w:hAnsi="Calibri" w:cs="Calibri"/>
          <w:vertAlign w:val="subscript"/>
        </w:rPr>
        <w:t xml:space="preserve">capital </w:t>
      </w:r>
      <w:r>
        <w:rPr>
          <w:rFonts w:ascii="Calibri" w:eastAsia="Calibri" w:hAnsi="Calibri" w:cs="Calibri"/>
        </w:rPr>
        <w:t xml:space="preserve">for each activity </w:t>
      </w:r>
      <w:r>
        <w:rPr>
          <w:rFonts w:ascii="Calibri" w:eastAsia="Calibri" w:hAnsi="Calibri" w:cs="Calibri"/>
          <w:i/>
        </w:rPr>
        <w:t>a</w:t>
      </w:r>
      <w:r>
        <w:rPr>
          <w:rFonts w:ascii="Calibri" w:eastAsia="Calibri" w:hAnsi="Calibri" w:cs="Calibri"/>
        </w:rPr>
        <w:t xml:space="preserve">. </w:t>
      </w:r>
    </w:p>
    <w:p w14:paraId="6F6C2880" w14:textId="01B095C5" w:rsidR="00A5535E" w:rsidRPr="00384746" w:rsidRDefault="00A5535E" w:rsidP="00384746">
      <w:pPr>
        <w:pStyle w:val="Heading2"/>
        <w:numPr>
          <w:ilvl w:val="2"/>
          <w:numId w:val="2"/>
        </w:numPr>
        <w:spacing w:line="276" w:lineRule="auto"/>
      </w:pPr>
      <w:bookmarkStart w:id="8" w:name="_ujybhju4u8mq" w:colFirst="0" w:colLast="0"/>
      <w:bookmarkEnd w:id="8"/>
      <w:r w:rsidRPr="00384746">
        <w:t>Labou</w:t>
      </w:r>
      <w:r w:rsidR="00837E84" w:rsidRPr="00384746">
        <w:t>r intensity for the electricity sec</w:t>
      </w:r>
      <w:r w:rsidRPr="00384746">
        <w:t>tor in eSAGE</w:t>
      </w:r>
    </w:p>
    <w:p w14:paraId="235AB009" w14:textId="4912AC90" w:rsidR="00A5535E" w:rsidRDefault="00A5535E" w:rsidP="00A5535E">
      <w:pPr>
        <w:rPr>
          <w:rFonts w:ascii="Calibri" w:eastAsia="Calibri" w:hAnsi="Calibri" w:cs="Calibri"/>
        </w:rPr>
      </w:pPr>
      <w:r>
        <w:rPr>
          <w:rFonts w:ascii="Calibri" w:eastAsia="Calibri" w:hAnsi="Calibri" w:cs="Calibri"/>
        </w:rPr>
        <w:t>The total direct employment in the electricity sector in the base year (2012) obtained from the Labour</w:t>
      </w:r>
      <w:r w:rsidR="005B25CD">
        <w:rPr>
          <w:rFonts w:ascii="Calibri" w:eastAsia="Calibri" w:hAnsi="Calibri" w:cs="Calibri"/>
        </w:rPr>
        <w:t xml:space="preserve"> Market Dynamics</w:t>
      </w:r>
      <w:r>
        <w:rPr>
          <w:rFonts w:ascii="Calibri" w:eastAsia="Calibri" w:hAnsi="Calibri" w:cs="Calibri"/>
        </w:rPr>
        <w:t xml:space="preserve"> Survey is 72 </w:t>
      </w:r>
      <w:r w:rsidR="00837E84">
        <w:rPr>
          <w:rFonts w:ascii="Calibri" w:eastAsia="Calibri" w:hAnsi="Calibri" w:cs="Calibri"/>
        </w:rPr>
        <w:t xml:space="preserve">000 </w:t>
      </w:r>
      <w:r>
        <w:rPr>
          <w:rFonts w:ascii="Calibri" w:eastAsia="Calibri" w:hAnsi="Calibri" w:cs="Calibri"/>
        </w:rPr>
        <w:t xml:space="preserve">employees. The electricity sector activity comprises three main sub-activities activities, namely: generation, transmission and distribution. </w:t>
      </w:r>
      <w:r w:rsidR="00AB5636">
        <w:rPr>
          <w:rFonts w:ascii="Calibri" w:eastAsia="Calibri" w:hAnsi="Calibri" w:cs="Calibri"/>
        </w:rPr>
        <w:t xml:space="preserve">The National Energy Regulator </w:t>
      </w:r>
      <w:r>
        <w:rPr>
          <w:rFonts w:ascii="Calibri" w:eastAsia="Calibri" w:hAnsi="Calibri" w:cs="Calibri"/>
        </w:rPr>
        <w:t xml:space="preserve">(NERSA, 2012) provides a breakdown of employment by sub-activity for </w:t>
      </w:r>
      <w:r w:rsidR="00837E84">
        <w:rPr>
          <w:rFonts w:ascii="Calibri" w:eastAsia="Calibri" w:hAnsi="Calibri" w:cs="Calibri"/>
        </w:rPr>
        <w:t xml:space="preserve">municipalities </w:t>
      </w:r>
      <w:r>
        <w:rPr>
          <w:rFonts w:ascii="Calibri" w:eastAsia="Calibri" w:hAnsi="Calibri" w:cs="Calibri"/>
        </w:rPr>
        <w:t>and Eskom, which excludes “Eskom Rotek” and other corporate employees</w:t>
      </w:r>
      <w:r w:rsidR="00F1060F">
        <w:rPr>
          <w:rFonts w:ascii="Calibri" w:eastAsia="Calibri" w:hAnsi="Calibri" w:cs="Calibri"/>
        </w:rPr>
        <w:t xml:space="preserve">. </w:t>
      </w:r>
      <w:r>
        <w:rPr>
          <w:rFonts w:ascii="Calibri" w:eastAsia="Calibri" w:hAnsi="Calibri" w:cs="Calibri"/>
        </w:rPr>
        <w:t xml:space="preserve"> </w:t>
      </w:r>
      <w:r w:rsidR="00F1060F">
        <w:rPr>
          <w:rFonts w:ascii="Calibri" w:eastAsia="Calibri" w:hAnsi="Calibri" w:cs="Calibri"/>
        </w:rPr>
        <w:t>W</w:t>
      </w:r>
      <w:r>
        <w:rPr>
          <w:rFonts w:ascii="Calibri" w:eastAsia="Calibri" w:hAnsi="Calibri" w:cs="Calibri"/>
        </w:rPr>
        <w:t xml:space="preserve">e reallocate </w:t>
      </w:r>
      <w:r w:rsidR="00F1060F">
        <w:rPr>
          <w:rFonts w:ascii="Calibri" w:eastAsia="Calibri" w:hAnsi="Calibri" w:cs="Calibri"/>
        </w:rPr>
        <w:t xml:space="preserve">the latter </w:t>
      </w:r>
      <w:r>
        <w:rPr>
          <w:rFonts w:ascii="Calibri" w:eastAsia="Calibri" w:hAnsi="Calibri" w:cs="Calibri"/>
        </w:rPr>
        <w:t xml:space="preserve">(split </w:t>
      </w:r>
      <w:r w:rsidR="00F1060F">
        <w:rPr>
          <w:rFonts w:ascii="Calibri" w:eastAsia="Calibri" w:hAnsi="Calibri" w:cs="Calibri"/>
        </w:rPr>
        <w:t xml:space="preserve">equally </w:t>
      </w:r>
      <w:r>
        <w:rPr>
          <w:rFonts w:ascii="Calibri" w:eastAsia="Calibri" w:hAnsi="Calibri" w:cs="Calibri"/>
        </w:rPr>
        <w:t xml:space="preserve">three-ways) for modelling purposes, between the 3 activities to </w:t>
      </w:r>
      <w:r w:rsidR="00F1060F">
        <w:rPr>
          <w:rFonts w:ascii="Calibri" w:eastAsia="Calibri" w:hAnsi="Calibri" w:cs="Calibri"/>
        </w:rPr>
        <w:t xml:space="preserve">match </w:t>
      </w:r>
      <w:r>
        <w:rPr>
          <w:rFonts w:ascii="Calibri" w:eastAsia="Calibri" w:hAnsi="Calibri" w:cs="Calibri"/>
        </w:rPr>
        <w:t xml:space="preserve">the Labour Force Survey. Figure </w:t>
      </w:r>
      <w:r w:rsidR="00ED0FF4">
        <w:rPr>
          <w:rFonts w:ascii="Calibri" w:eastAsia="Calibri" w:hAnsi="Calibri" w:cs="Calibri"/>
        </w:rPr>
        <w:t>6</w:t>
      </w:r>
      <w:r>
        <w:rPr>
          <w:rFonts w:ascii="Calibri" w:eastAsia="Calibri" w:hAnsi="Calibri" w:cs="Calibri"/>
        </w:rPr>
        <w:t xml:space="preserve"> below shows the employment profile by the sector between the </w:t>
      </w:r>
      <w:r w:rsidR="00837E84">
        <w:rPr>
          <w:rFonts w:ascii="Calibri" w:eastAsia="Calibri" w:hAnsi="Calibri" w:cs="Calibri"/>
        </w:rPr>
        <w:t xml:space="preserve">three </w:t>
      </w:r>
      <w:r>
        <w:rPr>
          <w:rFonts w:ascii="Calibri" w:eastAsia="Calibri" w:hAnsi="Calibri" w:cs="Calibri"/>
        </w:rPr>
        <w:t>sub-activities, namely 15</w:t>
      </w:r>
      <w:r w:rsidR="00F1060F">
        <w:rPr>
          <w:rFonts w:ascii="Calibri" w:eastAsia="Calibri" w:hAnsi="Calibri" w:cs="Calibri"/>
        </w:rPr>
        <w:t> 000 employees</w:t>
      </w:r>
      <w:r>
        <w:rPr>
          <w:rFonts w:ascii="Calibri" w:eastAsia="Calibri" w:hAnsi="Calibri" w:cs="Calibri"/>
        </w:rPr>
        <w:t xml:space="preserve"> for generation, 10 </w:t>
      </w:r>
      <w:r w:rsidR="00F1060F">
        <w:rPr>
          <w:rFonts w:ascii="Calibri" w:eastAsia="Calibri" w:hAnsi="Calibri" w:cs="Calibri"/>
        </w:rPr>
        <w:t>000</w:t>
      </w:r>
      <w:r>
        <w:rPr>
          <w:rFonts w:ascii="Calibri" w:eastAsia="Calibri" w:hAnsi="Calibri" w:cs="Calibri"/>
        </w:rPr>
        <w:t xml:space="preserve"> for transmission and other corporate, and 47</w:t>
      </w:r>
      <w:r w:rsidR="00F1060F">
        <w:rPr>
          <w:rFonts w:ascii="Calibri" w:eastAsia="Calibri" w:hAnsi="Calibri" w:cs="Calibri"/>
        </w:rPr>
        <w:t xml:space="preserve"> 000</w:t>
      </w:r>
      <w:r>
        <w:rPr>
          <w:rFonts w:ascii="Calibri" w:eastAsia="Calibri" w:hAnsi="Calibri" w:cs="Calibri"/>
        </w:rPr>
        <w:t xml:space="preserve"> for distribution.</w:t>
      </w:r>
    </w:p>
    <w:p w14:paraId="5B765E99" w14:textId="4E1E381C" w:rsidR="00263AE6" w:rsidRDefault="00263AE6" w:rsidP="00384746">
      <w:pPr>
        <w:keepNext/>
        <w:jc w:val="center"/>
      </w:pPr>
      <w:r>
        <w:rPr>
          <w:noProof/>
        </w:rPr>
        <w:drawing>
          <wp:inline distT="0" distB="0" distL="0" distR="0" wp14:anchorId="785B68A7" wp14:editId="1F888856">
            <wp:extent cx="4572000" cy="2844800"/>
            <wp:effectExtent l="0" t="0" r="0" b="12700"/>
            <wp:docPr id="17" name="Chart 17">
              <a:extLst xmlns:a="http://schemas.openxmlformats.org/drawingml/2006/main">
                <a:ext uri="{FF2B5EF4-FFF2-40B4-BE49-F238E27FC236}">
                  <a16:creationId xmlns:a16="http://schemas.microsoft.com/office/drawing/2014/main" id="{EC15BC44-1EF7-49D7-ADE0-29CF0D76A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2014B8" w14:textId="18F11558" w:rsidR="00A5535E" w:rsidRPr="00384746" w:rsidRDefault="00263AE6" w:rsidP="00384746">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6</w:t>
      </w:r>
      <w:r>
        <w:fldChar w:fldCharType="end"/>
      </w:r>
      <w:r w:rsidR="00837E84">
        <w:t>:</w:t>
      </w:r>
      <w:r>
        <w:t xml:space="preserve"> </w:t>
      </w:r>
      <w:r w:rsidRPr="00F92B5E">
        <w:t>Employment profile by</w:t>
      </w:r>
      <w:r w:rsidR="00837E84" w:rsidRPr="00F92B5E">
        <w:t xml:space="preserve"> electricity sector activit</w:t>
      </w:r>
      <w:r w:rsidRPr="00F92B5E">
        <w:t>y in 2012</w:t>
      </w:r>
    </w:p>
    <w:p w14:paraId="4613A437" w14:textId="0D51A594" w:rsidR="00A5535E" w:rsidRDefault="00A5535E" w:rsidP="00A5535E">
      <w:pPr>
        <w:rPr>
          <w:rFonts w:ascii="Calibri" w:eastAsia="Calibri" w:hAnsi="Calibri" w:cs="Calibri"/>
        </w:rPr>
      </w:pPr>
      <w:r>
        <w:rPr>
          <w:rFonts w:ascii="Calibri" w:eastAsia="Calibri" w:hAnsi="Calibri" w:cs="Calibri"/>
        </w:rPr>
        <w:t xml:space="preserve">Direct employment in the electricity sector is more strongly linked to installed capacity than production, as production </w:t>
      </w:r>
      <w:r w:rsidR="000878D0">
        <w:rPr>
          <w:rFonts w:ascii="Calibri" w:eastAsia="Calibri" w:hAnsi="Calibri" w:cs="Calibri"/>
        </w:rPr>
        <w:t xml:space="preserve">from a facility </w:t>
      </w:r>
      <w:r>
        <w:rPr>
          <w:rFonts w:ascii="Calibri" w:eastAsia="Calibri" w:hAnsi="Calibri" w:cs="Calibri"/>
        </w:rPr>
        <w:t xml:space="preserve">may vary from year to year depending on system requirements and plant availability. Installed capacity is not tracked in eSAGE, but it is in SATIM. We thus calculate the employment intensity, </w:t>
      </w:r>
      <w:r>
        <w:rPr>
          <w:rFonts w:ascii="Calibri" w:eastAsia="Calibri" w:hAnsi="Calibri" w:cs="Calibri"/>
          <w:i/>
        </w:rPr>
        <w:t>ifa</w:t>
      </w:r>
      <w:r>
        <w:rPr>
          <w:rFonts w:ascii="Calibri" w:eastAsia="Calibri" w:hAnsi="Calibri" w:cs="Calibri"/>
        </w:rPr>
        <w:t xml:space="preserve">, aggregated over all the technology types and three sub-activities based on capacity results from SATIM, where a breakdown between the </w:t>
      </w:r>
      <w:r w:rsidR="00837E84">
        <w:rPr>
          <w:rFonts w:ascii="Calibri" w:eastAsia="Calibri" w:hAnsi="Calibri" w:cs="Calibri"/>
        </w:rPr>
        <w:t xml:space="preserve">three </w:t>
      </w:r>
      <w:r>
        <w:rPr>
          <w:rFonts w:ascii="Calibri" w:eastAsia="Calibri" w:hAnsi="Calibri" w:cs="Calibri"/>
        </w:rPr>
        <w:t>sub-activities (and by generation technology type for the generation activity), is available. Although some data is available on a power plant basis (</w:t>
      </w:r>
      <w:r w:rsidR="009E0D27">
        <w:rPr>
          <w:rFonts w:ascii="Calibri" w:eastAsia="Calibri" w:hAnsi="Calibri" w:cs="Calibri"/>
        </w:rPr>
        <w:t xml:space="preserve">Eskom, cited </w:t>
      </w:r>
      <w:r>
        <w:rPr>
          <w:rFonts w:ascii="Calibri" w:eastAsia="Calibri" w:hAnsi="Calibri" w:cs="Calibri"/>
        </w:rPr>
        <w:t>Steyn et al, 2017), we could</w:t>
      </w:r>
      <w:r w:rsidR="009E0D27">
        <w:rPr>
          <w:rFonts w:ascii="Calibri" w:eastAsia="Calibri" w:hAnsi="Calibri" w:cs="Calibri"/>
        </w:rPr>
        <w:t xml:space="preserve"> not </w:t>
      </w:r>
      <w:r>
        <w:rPr>
          <w:rFonts w:ascii="Calibri" w:eastAsia="Calibri" w:hAnsi="Calibri" w:cs="Calibri"/>
        </w:rPr>
        <w:t xml:space="preserve">reconcile it with the </w:t>
      </w:r>
      <w:r w:rsidR="009E0D27">
        <w:rPr>
          <w:rFonts w:ascii="Calibri" w:eastAsia="Calibri" w:hAnsi="Calibri" w:cs="Calibri"/>
        </w:rPr>
        <w:t xml:space="preserve">data from </w:t>
      </w:r>
      <w:r>
        <w:rPr>
          <w:rFonts w:ascii="Calibri" w:eastAsia="Calibri" w:hAnsi="Calibri" w:cs="Calibri"/>
        </w:rPr>
        <w:t xml:space="preserve">NERSA </w:t>
      </w:r>
      <w:r w:rsidR="009E0D27">
        <w:rPr>
          <w:rFonts w:ascii="Calibri" w:eastAsia="Calibri" w:hAnsi="Calibri" w:cs="Calibri"/>
        </w:rPr>
        <w:t xml:space="preserve">or </w:t>
      </w:r>
      <w:r>
        <w:rPr>
          <w:rFonts w:ascii="Calibri" w:eastAsia="Calibri" w:hAnsi="Calibri" w:cs="Calibri"/>
        </w:rPr>
        <w:t xml:space="preserve">the labour force survey and </w:t>
      </w:r>
      <w:r w:rsidR="009E0D27">
        <w:rPr>
          <w:rFonts w:ascii="Calibri" w:eastAsia="Calibri" w:hAnsi="Calibri" w:cs="Calibri"/>
        </w:rPr>
        <w:t xml:space="preserve">instead applied a </w:t>
      </w:r>
      <w:r>
        <w:rPr>
          <w:rFonts w:ascii="Calibri" w:eastAsia="Calibri" w:hAnsi="Calibri" w:cs="Calibri"/>
        </w:rPr>
        <w:t xml:space="preserve">uniform employment intensity across all existing power plants, (except for nuclear, where data can be found (Eskom, 2019)). </w:t>
      </w:r>
    </w:p>
    <w:p w14:paraId="7A8FB5B5" w14:textId="5218F0DD" w:rsidR="00B97DA2" w:rsidRDefault="00A5535E" w:rsidP="00A5535E">
      <w:pPr>
        <w:rPr>
          <w:rFonts w:ascii="Calibri" w:eastAsia="Calibri" w:hAnsi="Calibri" w:cs="Calibri"/>
        </w:rPr>
      </w:pPr>
      <w:r>
        <w:rPr>
          <w:rFonts w:ascii="Calibri" w:eastAsia="Calibri" w:hAnsi="Calibri" w:cs="Calibri"/>
        </w:rPr>
        <w:t xml:space="preserve">Table </w:t>
      </w:r>
      <w:r w:rsidR="00A47B7F">
        <w:rPr>
          <w:rFonts w:ascii="Calibri" w:eastAsia="Calibri" w:hAnsi="Calibri" w:cs="Calibri"/>
        </w:rPr>
        <w:t>1</w:t>
      </w:r>
      <w:r>
        <w:rPr>
          <w:rFonts w:ascii="Calibri" w:eastAsia="Calibri" w:hAnsi="Calibri" w:cs="Calibri"/>
        </w:rPr>
        <w:t xml:space="preserve"> shows the 2012 base year direct employment, capacit</w:t>
      </w:r>
      <w:r w:rsidR="009904F2">
        <w:rPr>
          <w:rFonts w:ascii="Calibri" w:eastAsia="Calibri" w:hAnsi="Calibri" w:cs="Calibri"/>
        </w:rPr>
        <w:t>y</w:t>
      </w:r>
      <w:r>
        <w:rPr>
          <w:rFonts w:ascii="Calibri" w:eastAsia="Calibri" w:hAnsi="Calibri" w:cs="Calibri"/>
        </w:rPr>
        <w:t xml:space="preserve"> and employment intensi</w:t>
      </w:r>
      <w:r w:rsidR="009904F2">
        <w:rPr>
          <w:rFonts w:ascii="Calibri" w:eastAsia="Calibri" w:hAnsi="Calibri" w:cs="Calibri"/>
        </w:rPr>
        <w:t>ty</w:t>
      </w:r>
      <w:r>
        <w:rPr>
          <w:rFonts w:ascii="Calibri" w:eastAsia="Calibri" w:hAnsi="Calibri" w:cs="Calibri"/>
        </w:rPr>
        <w:t xml:space="preserve"> estimates. The transmission peak demand in 2012, and the distribution capacities are based on the sector peak demands in 2012. A higher employment intensity is assumed for the residential sector, which constitutes the bulk of the municipal distribution volumes.</w:t>
      </w:r>
    </w:p>
    <w:p w14:paraId="5D26C5F9" w14:textId="37205706" w:rsidR="00786BFE" w:rsidRDefault="00786BFE" w:rsidP="002F61BF">
      <w:pPr>
        <w:pStyle w:val="Caption"/>
        <w:keepNext/>
      </w:pPr>
      <w:r>
        <w:t xml:space="preserve">Table </w:t>
      </w:r>
      <w:r>
        <w:fldChar w:fldCharType="begin"/>
      </w:r>
      <w:r>
        <w:instrText xml:space="preserve"> SEQ Table \* ARABIC </w:instrText>
      </w:r>
      <w:r>
        <w:fldChar w:fldCharType="separate"/>
      </w:r>
      <w:r w:rsidR="00CD6E58">
        <w:rPr>
          <w:noProof/>
        </w:rPr>
        <w:t>1</w:t>
      </w:r>
      <w:r>
        <w:fldChar w:fldCharType="end"/>
      </w:r>
      <w:r w:rsidR="00837E84">
        <w:t>:</w:t>
      </w:r>
      <w:r>
        <w:t xml:space="preserve"> </w:t>
      </w:r>
      <w:r w:rsidRPr="00EF1492">
        <w:t xml:space="preserve">Base year (2012) derived employment </w:t>
      </w:r>
      <w:r w:rsidR="009F1B47">
        <w:t>i</w:t>
      </w:r>
      <w:r w:rsidR="009F1B47" w:rsidRPr="00EF1492">
        <w:t xml:space="preserve">ntensities </w:t>
      </w:r>
      <w:r w:rsidRPr="00EF1492">
        <w:t xml:space="preserve">by </w:t>
      </w:r>
      <w:r w:rsidR="009F1B47" w:rsidRPr="00EF1492">
        <w:t>sub</w:t>
      </w:r>
      <w:r w:rsidR="009F1B47">
        <w:t>-</w:t>
      </w:r>
      <w:r w:rsidRPr="00EF1492">
        <w:t>activity</w:t>
      </w:r>
    </w:p>
    <w:tbl>
      <w:tblPr>
        <w:tblStyle w:val="GridTable3-Accent6"/>
        <w:tblW w:w="9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300"/>
        <w:gridCol w:w="2300"/>
        <w:gridCol w:w="2300"/>
        <w:gridCol w:w="2300"/>
      </w:tblGrid>
      <w:tr w:rsidR="00A5535E" w14:paraId="02D08316" w14:textId="77777777" w:rsidTr="002E796D">
        <w:trPr>
          <w:trHeight w:val="96"/>
        </w:trPr>
        <w:tc>
          <w:tcPr>
            <w:tcW w:w="0" w:type="dxa"/>
            <w:shd w:val="clear" w:color="auto" w:fill="44546A" w:themeFill="text2"/>
          </w:tcPr>
          <w:p w14:paraId="4A791879" w14:textId="77777777" w:rsidR="00A5535E" w:rsidRPr="002E796D" w:rsidRDefault="00A5535E" w:rsidP="002E796D">
            <w:pPr>
              <w:keepNext/>
              <w:widowControl w:val="0"/>
              <w:pBdr>
                <w:top w:val="nil"/>
                <w:left w:val="nil"/>
                <w:bottom w:val="nil"/>
                <w:right w:val="nil"/>
                <w:between w:val="nil"/>
              </w:pBdr>
              <w:spacing w:after="0"/>
              <w:rPr>
                <w:rFonts w:ascii="Calibri" w:eastAsia="Calibri" w:hAnsi="Calibri" w:cs="Calibri"/>
                <w:color w:val="FFFFFF" w:themeColor="background1"/>
              </w:rPr>
            </w:pPr>
          </w:p>
        </w:tc>
        <w:tc>
          <w:tcPr>
            <w:tcW w:w="0" w:type="dxa"/>
            <w:shd w:val="clear" w:color="auto" w:fill="44546A" w:themeFill="text2"/>
          </w:tcPr>
          <w:p w14:paraId="22ACC149" w14:textId="77777777" w:rsidR="00A5535E" w:rsidRPr="002E796D" w:rsidRDefault="00A5535E" w:rsidP="002E796D">
            <w:pPr>
              <w:keepNext/>
              <w:widowControl w:val="0"/>
              <w:pBdr>
                <w:top w:val="nil"/>
                <w:left w:val="nil"/>
                <w:bottom w:val="nil"/>
                <w:right w:val="nil"/>
                <w:between w:val="nil"/>
              </w:pBdr>
              <w:spacing w:after="0"/>
              <w:rPr>
                <w:rFonts w:ascii="Calibri" w:eastAsia="Calibri" w:hAnsi="Calibri" w:cs="Calibri"/>
                <w:color w:val="FFFFFF" w:themeColor="background1"/>
              </w:rPr>
            </w:pPr>
            <w:r w:rsidRPr="002E796D">
              <w:rPr>
                <w:rFonts w:ascii="Calibri" w:eastAsia="Calibri" w:hAnsi="Calibri" w:cs="Calibri"/>
                <w:color w:val="FFFFFF" w:themeColor="background1"/>
              </w:rPr>
              <w:t>Employment ('000)</w:t>
            </w:r>
          </w:p>
        </w:tc>
        <w:tc>
          <w:tcPr>
            <w:tcW w:w="0" w:type="dxa"/>
            <w:shd w:val="clear" w:color="auto" w:fill="44546A" w:themeFill="text2"/>
          </w:tcPr>
          <w:p w14:paraId="587FD380" w14:textId="77777777" w:rsidR="00A5535E" w:rsidRPr="002E796D" w:rsidRDefault="00A5535E" w:rsidP="002E796D">
            <w:pPr>
              <w:keepNext/>
              <w:widowControl w:val="0"/>
              <w:pBdr>
                <w:top w:val="nil"/>
                <w:left w:val="nil"/>
                <w:bottom w:val="nil"/>
                <w:right w:val="nil"/>
                <w:between w:val="nil"/>
              </w:pBdr>
              <w:spacing w:after="0"/>
              <w:rPr>
                <w:rFonts w:ascii="Calibri" w:eastAsia="Calibri" w:hAnsi="Calibri" w:cs="Calibri"/>
                <w:color w:val="FFFFFF" w:themeColor="background1"/>
              </w:rPr>
            </w:pPr>
            <w:r w:rsidRPr="002E796D">
              <w:rPr>
                <w:rFonts w:ascii="Calibri" w:eastAsia="Calibri" w:hAnsi="Calibri" w:cs="Calibri"/>
                <w:color w:val="FFFFFF" w:themeColor="background1"/>
              </w:rPr>
              <w:t>Capacity (GW)</w:t>
            </w:r>
          </w:p>
        </w:tc>
        <w:tc>
          <w:tcPr>
            <w:tcW w:w="0" w:type="dxa"/>
            <w:shd w:val="clear" w:color="auto" w:fill="44546A" w:themeFill="text2"/>
          </w:tcPr>
          <w:p w14:paraId="3AE1C85E" w14:textId="4F0165EB" w:rsidR="00A5535E" w:rsidRPr="002E796D" w:rsidRDefault="00A5535E" w:rsidP="002E796D">
            <w:pPr>
              <w:keepNext/>
              <w:widowControl w:val="0"/>
              <w:pBdr>
                <w:top w:val="nil"/>
                <w:left w:val="nil"/>
                <w:bottom w:val="nil"/>
                <w:right w:val="nil"/>
                <w:between w:val="nil"/>
              </w:pBdr>
              <w:spacing w:after="0"/>
              <w:rPr>
                <w:rFonts w:ascii="Calibri" w:eastAsia="Calibri" w:hAnsi="Calibri" w:cs="Calibri"/>
                <w:color w:val="FFFFFF" w:themeColor="background1"/>
              </w:rPr>
            </w:pPr>
            <w:proofErr w:type="gramStart"/>
            <w:r w:rsidRPr="002E796D">
              <w:rPr>
                <w:rFonts w:ascii="Calibri" w:eastAsia="Calibri" w:hAnsi="Calibri" w:cs="Calibri"/>
                <w:color w:val="FFFFFF" w:themeColor="background1"/>
              </w:rPr>
              <w:t>Empl</w:t>
            </w:r>
            <w:r w:rsidR="002A14A5" w:rsidRPr="002E796D">
              <w:rPr>
                <w:rFonts w:ascii="Calibri" w:eastAsia="Calibri" w:hAnsi="Calibri" w:cs="Calibri"/>
                <w:color w:val="FFFFFF" w:themeColor="background1"/>
              </w:rPr>
              <w:t xml:space="preserve">oyment  </w:t>
            </w:r>
            <w:r w:rsidRPr="002E796D">
              <w:rPr>
                <w:rFonts w:ascii="Calibri" w:eastAsia="Calibri" w:hAnsi="Calibri" w:cs="Calibri"/>
                <w:color w:val="FFFFFF" w:themeColor="background1"/>
              </w:rPr>
              <w:t>Intensity</w:t>
            </w:r>
            <w:proofErr w:type="gramEnd"/>
            <w:r w:rsidRPr="002E796D">
              <w:rPr>
                <w:rFonts w:ascii="Calibri" w:eastAsia="Calibri" w:hAnsi="Calibri" w:cs="Calibri"/>
                <w:color w:val="FFFFFF" w:themeColor="background1"/>
              </w:rPr>
              <w:t xml:space="preserve"> (</w:t>
            </w:r>
            <w:r w:rsidR="002A14A5" w:rsidRPr="002E796D">
              <w:rPr>
                <w:rFonts w:ascii="Calibri" w:eastAsia="Calibri" w:hAnsi="Calibri" w:cs="Calibri"/>
                <w:color w:val="FFFFFF" w:themeColor="background1"/>
              </w:rPr>
              <w:t>‘</w:t>
            </w:r>
            <w:r w:rsidRPr="002E796D">
              <w:rPr>
                <w:rFonts w:ascii="Calibri" w:eastAsia="Calibri" w:hAnsi="Calibri" w:cs="Calibri"/>
                <w:color w:val="FFFFFF" w:themeColor="background1"/>
              </w:rPr>
              <w:t>000</w:t>
            </w:r>
            <w:r w:rsidR="002A14A5" w:rsidRPr="002E796D">
              <w:rPr>
                <w:rFonts w:ascii="Calibri" w:eastAsia="Calibri" w:hAnsi="Calibri" w:cs="Calibri"/>
                <w:color w:val="FFFFFF" w:themeColor="background1"/>
              </w:rPr>
              <w:t>s</w:t>
            </w:r>
            <w:r w:rsidRPr="002E796D">
              <w:rPr>
                <w:rFonts w:ascii="Calibri" w:eastAsia="Calibri" w:hAnsi="Calibri" w:cs="Calibri"/>
                <w:color w:val="FFFFFF" w:themeColor="background1"/>
              </w:rPr>
              <w:t>/GW)</w:t>
            </w:r>
          </w:p>
        </w:tc>
      </w:tr>
      <w:tr w:rsidR="00A5535E" w14:paraId="0A0A87C4" w14:textId="77777777" w:rsidTr="002E796D">
        <w:trPr>
          <w:trHeight w:val="96"/>
        </w:trPr>
        <w:tc>
          <w:tcPr>
            <w:tcW w:w="0" w:type="dxa"/>
            <w:shd w:val="clear" w:color="auto" w:fill="E2EFD9" w:themeFill="accent6" w:themeFillTint="33"/>
          </w:tcPr>
          <w:p w14:paraId="14419AAB" w14:textId="2DFA2900" w:rsidR="00A5535E" w:rsidRPr="002E796D" w:rsidRDefault="00A5535E" w:rsidP="002E796D">
            <w:pPr>
              <w:keepNext/>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 xml:space="preserve">Total </w:t>
            </w:r>
            <w:r w:rsidR="009F1B47">
              <w:rPr>
                <w:rFonts w:ascii="Calibri" w:eastAsia="Calibri" w:hAnsi="Calibri" w:cs="Calibri"/>
              </w:rPr>
              <w:t>g</w:t>
            </w:r>
            <w:r w:rsidR="009F1B47" w:rsidRPr="002E796D">
              <w:rPr>
                <w:rFonts w:ascii="Calibri" w:eastAsia="Calibri" w:hAnsi="Calibri" w:cs="Calibri"/>
              </w:rPr>
              <w:t>eneration</w:t>
            </w:r>
          </w:p>
        </w:tc>
        <w:tc>
          <w:tcPr>
            <w:tcW w:w="0" w:type="dxa"/>
            <w:shd w:val="clear" w:color="auto" w:fill="E2EFD9" w:themeFill="accent6" w:themeFillTint="33"/>
          </w:tcPr>
          <w:p w14:paraId="33D74407"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15.2</w:t>
            </w:r>
          </w:p>
        </w:tc>
        <w:tc>
          <w:tcPr>
            <w:tcW w:w="0" w:type="dxa"/>
            <w:shd w:val="clear" w:color="auto" w:fill="E2EFD9" w:themeFill="accent6" w:themeFillTint="33"/>
          </w:tcPr>
          <w:p w14:paraId="645989F9"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43.9</w:t>
            </w:r>
          </w:p>
        </w:tc>
        <w:tc>
          <w:tcPr>
            <w:tcW w:w="0" w:type="dxa"/>
            <w:shd w:val="clear" w:color="auto" w:fill="E2EFD9" w:themeFill="accent6" w:themeFillTint="33"/>
          </w:tcPr>
          <w:p w14:paraId="5A0EEF98"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0.35</w:t>
            </w:r>
          </w:p>
        </w:tc>
      </w:tr>
      <w:tr w:rsidR="00A5535E" w14:paraId="6885276F" w14:textId="77777777" w:rsidTr="002E796D">
        <w:trPr>
          <w:trHeight w:val="96"/>
        </w:trPr>
        <w:tc>
          <w:tcPr>
            <w:tcW w:w="0" w:type="dxa"/>
            <w:shd w:val="clear" w:color="auto" w:fill="E2EFD9" w:themeFill="accent6" w:themeFillTint="33"/>
          </w:tcPr>
          <w:p w14:paraId="5107331C" w14:textId="77777777"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Nuclear</w:t>
            </w:r>
          </w:p>
        </w:tc>
        <w:tc>
          <w:tcPr>
            <w:tcW w:w="0" w:type="dxa"/>
            <w:shd w:val="clear" w:color="auto" w:fill="E2EFD9" w:themeFill="accent6" w:themeFillTint="33"/>
          </w:tcPr>
          <w:p w14:paraId="1C4088E6"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1.2</w:t>
            </w:r>
          </w:p>
        </w:tc>
        <w:tc>
          <w:tcPr>
            <w:tcW w:w="0" w:type="dxa"/>
            <w:shd w:val="clear" w:color="auto" w:fill="E2EFD9" w:themeFill="accent6" w:themeFillTint="33"/>
          </w:tcPr>
          <w:p w14:paraId="72D09D38"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1.9</w:t>
            </w:r>
          </w:p>
        </w:tc>
        <w:tc>
          <w:tcPr>
            <w:tcW w:w="0" w:type="dxa"/>
            <w:shd w:val="clear" w:color="auto" w:fill="E2EFD9" w:themeFill="accent6" w:themeFillTint="33"/>
          </w:tcPr>
          <w:p w14:paraId="482C59FD"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0.65</w:t>
            </w:r>
          </w:p>
        </w:tc>
      </w:tr>
      <w:tr w:rsidR="00A5535E" w14:paraId="5F8C186A" w14:textId="77777777" w:rsidTr="002E796D">
        <w:trPr>
          <w:trHeight w:val="96"/>
        </w:trPr>
        <w:tc>
          <w:tcPr>
            <w:tcW w:w="0" w:type="dxa"/>
            <w:shd w:val="clear" w:color="auto" w:fill="E2EFD9" w:themeFill="accent6" w:themeFillTint="33"/>
          </w:tcPr>
          <w:p w14:paraId="5746B613" w14:textId="77777777"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Other</w:t>
            </w:r>
          </w:p>
        </w:tc>
        <w:tc>
          <w:tcPr>
            <w:tcW w:w="0" w:type="dxa"/>
            <w:shd w:val="clear" w:color="auto" w:fill="E2EFD9" w:themeFill="accent6" w:themeFillTint="33"/>
          </w:tcPr>
          <w:p w14:paraId="4EC3CE31"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14.0</w:t>
            </w:r>
          </w:p>
        </w:tc>
        <w:tc>
          <w:tcPr>
            <w:tcW w:w="0" w:type="dxa"/>
            <w:shd w:val="clear" w:color="auto" w:fill="E2EFD9" w:themeFill="accent6" w:themeFillTint="33"/>
          </w:tcPr>
          <w:p w14:paraId="48CA1F18"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42.1</w:t>
            </w:r>
          </w:p>
        </w:tc>
        <w:tc>
          <w:tcPr>
            <w:tcW w:w="0" w:type="dxa"/>
            <w:shd w:val="clear" w:color="auto" w:fill="E2EFD9" w:themeFill="accent6" w:themeFillTint="33"/>
          </w:tcPr>
          <w:p w14:paraId="0D17A7C6"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0.33</w:t>
            </w:r>
          </w:p>
        </w:tc>
      </w:tr>
      <w:tr w:rsidR="00A5535E" w14:paraId="0708D6F2" w14:textId="77777777" w:rsidTr="002E796D">
        <w:trPr>
          <w:trHeight w:val="96"/>
        </w:trPr>
        <w:tc>
          <w:tcPr>
            <w:tcW w:w="0" w:type="dxa"/>
          </w:tcPr>
          <w:p w14:paraId="1C919146" w14:textId="77777777" w:rsidR="00A5535E" w:rsidRPr="002E796D" w:rsidRDefault="00A5535E" w:rsidP="002E796D">
            <w:pPr>
              <w:keepNext/>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Transmission</w:t>
            </w:r>
          </w:p>
        </w:tc>
        <w:tc>
          <w:tcPr>
            <w:tcW w:w="0" w:type="dxa"/>
          </w:tcPr>
          <w:p w14:paraId="177EDA16"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9.8</w:t>
            </w:r>
          </w:p>
        </w:tc>
        <w:tc>
          <w:tcPr>
            <w:tcW w:w="0" w:type="dxa"/>
          </w:tcPr>
          <w:p w14:paraId="7881458C"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34.2</w:t>
            </w:r>
          </w:p>
        </w:tc>
        <w:tc>
          <w:tcPr>
            <w:tcW w:w="0" w:type="dxa"/>
          </w:tcPr>
          <w:p w14:paraId="1255F79C"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0.29</w:t>
            </w:r>
          </w:p>
        </w:tc>
      </w:tr>
      <w:tr w:rsidR="00A5535E" w14:paraId="224C1B38" w14:textId="77777777" w:rsidTr="002E796D">
        <w:trPr>
          <w:trHeight w:val="96"/>
        </w:trPr>
        <w:tc>
          <w:tcPr>
            <w:tcW w:w="0" w:type="dxa"/>
            <w:shd w:val="clear" w:color="auto" w:fill="E2EFD9" w:themeFill="accent6" w:themeFillTint="33"/>
          </w:tcPr>
          <w:p w14:paraId="792AA906" w14:textId="7103AD01" w:rsidR="00A5535E" w:rsidRPr="002E796D" w:rsidRDefault="00A5535E" w:rsidP="002E796D">
            <w:pPr>
              <w:keepNext/>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 xml:space="preserve">Total </w:t>
            </w:r>
            <w:r w:rsidR="009F1B47">
              <w:rPr>
                <w:rFonts w:ascii="Calibri" w:eastAsia="Calibri" w:hAnsi="Calibri" w:cs="Calibri"/>
              </w:rPr>
              <w:t>d</w:t>
            </w:r>
            <w:r w:rsidR="009F1B47" w:rsidRPr="002E796D">
              <w:rPr>
                <w:rFonts w:ascii="Calibri" w:eastAsia="Calibri" w:hAnsi="Calibri" w:cs="Calibri"/>
              </w:rPr>
              <w:t>istribution</w:t>
            </w:r>
          </w:p>
        </w:tc>
        <w:tc>
          <w:tcPr>
            <w:tcW w:w="0" w:type="dxa"/>
            <w:shd w:val="clear" w:color="auto" w:fill="E2EFD9" w:themeFill="accent6" w:themeFillTint="33"/>
          </w:tcPr>
          <w:p w14:paraId="74A34456"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47.3</w:t>
            </w:r>
          </w:p>
        </w:tc>
        <w:tc>
          <w:tcPr>
            <w:tcW w:w="0" w:type="dxa"/>
            <w:shd w:val="clear" w:color="auto" w:fill="E2EFD9" w:themeFill="accent6" w:themeFillTint="33"/>
          </w:tcPr>
          <w:p w14:paraId="36818C82"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36.9</w:t>
            </w:r>
          </w:p>
        </w:tc>
        <w:tc>
          <w:tcPr>
            <w:tcW w:w="0" w:type="dxa"/>
            <w:shd w:val="clear" w:color="auto" w:fill="E2EFD9" w:themeFill="accent6" w:themeFillTint="33"/>
          </w:tcPr>
          <w:p w14:paraId="22F8150B" w14:textId="77777777" w:rsidR="00A5535E" w:rsidRPr="002E796D"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1.28</w:t>
            </w:r>
          </w:p>
        </w:tc>
      </w:tr>
      <w:tr w:rsidR="00A5535E" w14:paraId="7771E923" w14:textId="77777777" w:rsidTr="002E796D">
        <w:trPr>
          <w:trHeight w:val="96"/>
        </w:trPr>
        <w:tc>
          <w:tcPr>
            <w:tcW w:w="0" w:type="dxa"/>
            <w:shd w:val="clear" w:color="auto" w:fill="E2EFD9" w:themeFill="accent6" w:themeFillTint="33"/>
          </w:tcPr>
          <w:p w14:paraId="5CBCED1D" w14:textId="659CACB4"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D</w:t>
            </w:r>
            <w:r w:rsidR="009F1B47" w:rsidRPr="00745E67">
              <w:rPr>
                <w:rFonts w:ascii="Calibri" w:eastAsia="Calibri" w:hAnsi="Calibri" w:cs="Calibri"/>
              </w:rPr>
              <w:t>istribution</w:t>
            </w:r>
            <w:r w:rsidR="009F1B47">
              <w:rPr>
                <w:rFonts w:ascii="Calibri" w:eastAsia="Calibri" w:hAnsi="Calibri" w:cs="Calibri"/>
              </w:rPr>
              <w:t xml:space="preserve"> r</w:t>
            </w:r>
            <w:r w:rsidR="009F1B47" w:rsidRPr="002E796D">
              <w:rPr>
                <w:rFonts w:ascii="Calibri" w:eastAsia="Calibri" w:hAnsi="Calibri" w:cs="Calibri"/>
              </w:rPr>
              <w:t>esidential</w:t>
            </w:r>
          </w:p>
        </w:tc>
        <w:tc>
          <w:tcPr>
            <w:tcW w:w="0" w:type="dxa"/>
            <w:shd w:val="clear" w:color="auto" w:fill="E2EFD9" w:themeFill="accent6" w:themeFillTint="33"/>
          </w:tcPr>
          <w:p w14:paraId="56E14D19"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33.4</w:t>
            </w:r>
          </w:p>
        </w:tc>
        <w:tc>
          <w:tcPr>
            <w:tcW w:w="0" w:type="dxa"/>
            <w:shd w:val="clear" w:color="auto" w:fill="E2EFD9" w:themeFill="accent6" w:themeFillTint="33"/>
          </w:tcPr>
          <w:p w14:paraId="1C579093"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10.7</w:t>
            </w:r>
          </w:p>
        </w:tc>
        <w:tc>
          <w:tcPr>
            <w:tcW w:w="0" w:type="dxa"/>
            <w:shd w:val="clear" w:color="auto" w:fill="E2EFD9" w:themeFill="accent6" w:themeFillTint="33"/>
          </w:tcPr>
          <w:p w14:paraId="66521EBB"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3.13</w:t>
            </w:r>
          </w:p>
        </w:tc>
      </w:tr>
      <w:tr w:rsidR="00A5535E" w14:paraId="34A571A1" w14:textId="77777777" w:rsidTr="002E796D">
        <w:trPr>
          <w:trHeight w:val="96"/>
        </w:trPr>
        <w:tc>
          <w:tcPr>
            <w:tcW w:w="0" w:type="dxa"/>
            <w:shd w:val="clear" w:color="auto" w:fill="E2EFD9" w:themeFill="accent6" w:themeFillTint="33"/>
          </w:tcPr>
          <w:p w14:paraId="6809D18F" w14:textId="2B036368"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D</w:t>
            </w:r>
            <w:r w:rsidR="009F1B47" w:rsidRPr="00745E67">
              <w:rPr>
                <w:rFonts w:ascii="Calibri" w:eastAsia="Calibri" w:hAnsi="Calibri" w:cs="Calibri"/>
              </w:rPr>
              <w:t>istribution</w:t>
            </w:r>
            <w:r w:rsidR="009F1B47">
              <w:rPr>
                <w:rFonts w:ascii="Calibri" w:eastAsia="Calibri" w:hAnsi="Calibri" w:cs="Calibri"/>
              </w:rPr>
              <w:t xml:space="preserve"> c</w:t>
            </w:r>
            <w:r w:rsidR="009F1B47" w:rsidRPr="002E796D">
              <w:rPr>
                <w:rFonts w:ascii="Calibri" w:eastAsia="Calibri" w:hAnsi="Calibri" w:cs="Calibri"/>
              </w:rPr>
              <w:t>ommerce</w:t>
            </w:r>
          </w:p>
        </w:tc>
        <w:tc>
          <w:tcPr>
            <w:tcW w:w="0" w:type="dxa"/>
            <w:shd w:val="clear" w:color="auto" w:fill="E2EFD9" w:themeFill="accent6" w:themeFillTint="33"/>
          </w:tcPr>
          <w:p w14:paraId="5BB93FE0"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3.4</w:t>
            </w:r>
          </w:p>
        </w:tc>
        <w:tc>
          <w:tcPr>
            <w:tcW w:w="0" w:type="dxa"/>
            <w:shd w:val="clear" w:color="auto" w:fill="E2EFD9" w:themeFill="accent6" w:themeFillTint="33"/>
          </w:tcPr>
          <w:p w14:paraId="6CD467E9"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6.1</w:t>
            </w:r>
          </w:p>
        </w:tc>
        <w:tc>
          <w:tcPr>
            <w:tcW w:w="0" w:type="dxa"/>
            <w:shd w:val="clear" w:color="auto" w:fill="E2EFD9" w:themeFill="accent6" w:themeFillTint="33"/>
          </w:tcPr>
          <w:p w14:paraId="2BA3594C"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0.56</w:t>
            </w:r>
          </w:p>
        </w:tc>
      </w:tr>
      <w:tr w:rsidR="00A5535E" w14:paraId="10648474" w14:textId="77777777" w:rsidTr="002E796D">
        <w:trPr>
          <w:trHeight w:val="96"/>
        </w:trPr>
        <w:tc>
          <w:tcPr>
            <w:tcW w:w="0" w:type="dxa"/>
            <w:shd w:val="clear" w:color="auto" w:fill="E2EFD9" w:themeFill="accent6" w:themeFillTint="33"/>
          </w:tcPr>
          <w:p w14:paraId="4A051018" w14:textId="4CA7B67B"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Dis</w:t>
            </w:r>
            <w:r w:rsidR="009F1B47" w:rsidRPr="00745E67">
              <w:rPr>
                <w:rFonts w:ascii="Calibri" w:eastAsia="Calibri" w:hAnsi="Calibri" w:cs="Calibri"/>
              </w:rPr>
              <w:t>tribution</w:t>
            </w:r>
            <w:r w:rsidR="009F1B47">
              <w:rPr>
                <w:rFonts w:ascii="Calibri" w:eastAsia="Calibri" w:hAnsi="Calibri" w:cs="Calibri"/>
              </w:rPr>
              <w:t xml:space="preserve"> i</w:t>
            </w:r>
            <w:r w:rsidRPr="002E796D">
              <w:rPr>
                <w:rFonts w:ascii="Calibri" w:eastAsia="Calibri" w:hAnsi="Calibri" w:cs="Calibri"/>
              </w:rPr>
              <w:t>ndustry</w:t>
            </w:r>
          </w:p>
        </w:tc>
        <w:tc>
          <w:tcPr>
            <w:tcW w:w="0" w:type="dxa"/>
            <w:shd w:val="clear" w:color="auto" w:fill="E2EFD9" w:themeFill="accent6" w:themeFillTint="33"/>
          </w:tcPr>
          <w:p w14:paraId="3F47440F"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9.7</w:t>
            </w:r>
          </w:p>
        </w:tc>
        <w:tc>
          <w:tcPr>
            <w:tcW w:w="0" w:type="dxa"/>
            <w:shd w:val="clear" w:color="auto" w:fill="E2EFD9" w:themeFill="accent6" w:themeFillTint="33"/>
          </w:tcPr>
          <w:p w14:paraId="2C0AB709"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18.8</w:t>
            </w:r>
          </w:p>
        </w:tc>
        <w:tc>
          <w:tcPr>
            <w:tcW w:w="0" w:type="dxa"/>
            <w:shd w:val="clear" w:color="auto" w:fill="E2EFD9" w:themeFill="accent6" w:themeFillTint="33"/>
          </w:tcPr>
          <w:p w14:paraId="321CA7F7"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0.51</w:t>
            </w:r>
          </w:p>
        </w:tc>
      </w:tr>
      <w:tr w:rsidR="00A5535E" w14:paraId="128CEFF8" w14:textId="77777777" w:rsidTr="002E796D">
        <w:trPr>
          <w:trHeight w:val="96"/>
        </w:trPr>
        <w:tc>
          <w:tcPr>
            <w:tcW w:w="0" w:type="dxa"/>
            <w:shd w:val="clear" w:color="auto" w:fill="E2EFD9" w:themeFill="accent6" w:themeFillTint="33"/>
          </w:tcPr>
          <w:p w14:paraId="7B3A01D2" w14:textId="65CC8DC1" w:rsidR="00A5535E" w:rsidRPr="002E796D" w:rsidRDefault="00A5535E" w:rsidP="002E796D">
            <w:pPr>
              <w:keepNext/>
              <w:widowControl w:val="0"/>
              <w:pBdr>
                <w:top w:val="nil"/>
                <w:left w:val="nil"/>
                <w:bottom w:val="nil"/>
                <w:right w:val="nil"/>
                <w:between w:val="nil"/>
              </w:pBdr>
              <w:spacing w:after="0"/>
              <w:jc w:val="right"/>
              <w:rPr>
                <w:rFonts w:ascii="Calibri" w:eastAsia="Calibri" w:hAnsi="Calibri" w:cs="Calibri"/>
              </w:rPr>
            </w:pPr>
            <w:r w:rsidRPr="002E796D">
              <w:rPr>
                <w:rFonts w:ascii="Calibri" w:eastAsia="Calibri" w:hAnsi="Calibri" w:cs="Calibri"/>
              </w:rPr>
              <w:t>Dis</w:t>
            </w:r>
            <w:r w:rsidR="009F1B47" w:rsidRPr="00745E67">
              <w:rPr>
                <w:rFonts w:ascii="Calibri" w:eastAsia="Calibri" w:hAnsi="Calibri" w:cs="Calibri"/>
              </w:rPr>
              <w:t>tribution</w:t>
            </w:r>
            <w:r w:rsidR="009F1B47">
              <w:rPr>
                <w:rFonts w:ascii="Calibri" w:eastAsia="Calibri" w:hAnsi="Calibri" w:cs="Calibri"/>
              </w:rPr>
              <w:t xml:space="preserve"> o</w:t>
            </w:r>
            <w:r w:rsidRPr="002E796D">
              <w:rPr>
                <w:rFonts w:ascii="Calibri" w:eastAsia="Calibri" w:hAnsi="Calibri" w:cs="Calibri"/>
              </w:rPr>
              <w:t>ther</w:t>
            </w:r>
          </w:p>
        </w:tc>
        <w:tc>
          <w:tcPr>
            <w:tcW w:w="0" w:type="dxa"/>
            <w:shd w:val="clear" w:color="auto" w:fill="E2EFD9" w:themeFill="accent6" w:themeFillTint="33"/>
          </w:tcPr>
          <w:p w14:paraId="7B64D184"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0.8</w:t>
            </w:r>
          </w:p>
        </w:tc>
        <w:tc>
          <w:tcPr>
            <w:tcW w:w="0" w:type="dxa"/>
            <w:shd w:val="clear" w:color="auto" w:fill="E2EFD9" w:themeFill="accent6" w:themeFillTint="33"/>
          </w:tcPr>
          <w:p w14:paraId="65C6BB73"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1.4</w:t>
            </w:r>
          </w:p>
        </w:tc>
        <w:tc>
          <w:tcPr>
            <w:tcW w:w="0" w:type="dxa"/>
            <w:shd w:val="clear" w:color="auto" w:fill="E2EFD9" w:themeFill="accent6" w:themeFillTint="33"/>
          </w:tcPr>
          <w:p w14:paraId="1412066B" w14:textId="77777777" w:rsidR="00A5535E" w:rsidRPr="009F1B47" w:rsidRDefault="00A5535E" w:rsidP="002E796D">
            <w:pPr>
              <w:keepNext/>
              <w:widowControl w:val="0"/>
              <w:pBdr>
                <w:top w:val="nil"/>
                <w:left w:val="nil"/>
                <w:bottom w:val="nil"/>
                <w:right w:val="nil"/>
                <w:between w:val="nil"/>
              </w:pBdr>
              <w:spacing w:after="0"/>
              <w:jc w:val="center"/>
              <w:rPr>
                <w:rFonts w:ascii="Calibri" w:eastAsia="Calibri" w:hAnsi="Calibri" w:cs="Calibri"/>
              </w:rPr>
            </w:pPr>
            <w:r w:rsidRPr="009F1B47">
              <w:rPr>
                <w:rFonts w:ascii="Calibri" w:eastAsia="Calibri" w:hAnsi="Calibri" w:cs="Calibri"/>
              </w:rPr>
              <w:t>0.58</w:t>
            </w:r>
          </w:p>
        </w:tc>
      </w:tr>
      <w:tr w:rsidR="00A5535E" w14:paraId="1D5DDF62" w14:textId="77777777" w:rsidTr="002E796D">
        <w:trPr>
          <w:trHeight w:val="96"/>
        </w:trPr>
        <w:tc>
          <w:tcPr>
            <w:tcW w:w="0" w:type="dxa"/>
            <w:tcBorders>
              <w:bottom w:val="single" w:sz="4" w:space="0" w:color="auto"/>
            </w:tcBorders>
          </w:tcPr>
          <w:p w14:paraId="43DEC04E" w14:textId="1CA04606" w:rsidR="00A5535E" w:rsidRPr="002E796D" w:rsidRDefault="00A5535E" w:rsidP="0028427E">
            <w:pPr>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 xml:space="preserve">Total </w:t>
            </w:r>
            <w:r w:rsidR="009F1B47" w:rsidRPr="009F1B47">
              <w:rPr>
                <w:rFonts w:ascii="Calibri" w:eastAsia="Calibri" w:hAnsi="Calibri" w:cs="Calibri"/>
              </w:rPr>
              <w:t>electricity secto</w:t>
            </w:r>
            <w:r w:rsidRPr="002E796D">
              <w:rPr>
                <w:rFonts w:ascii="Calibri" w:eastAsia="Calibri" w:hAnsi="Calibri" w:cs="Calibri"/>
              </w:rPr>
              <w:t>r</w:t>
            </w:r>
          </w:p>
        </w:tc>
        <w:tc>
          <w:tcPr>
            <w:tcW w:w="0" w:type="dxa"/>
            <w:tcBorders>
              <w:bottom w:val="single" w:sz="4" w:space="0" w:color="auto"/>
            </w:tcBorders>
          </w:tcPr>
          <w:p w14:paraId="5384478D" w14:textId="77777777" w:rsidR="00A5535E" w:rsidRPr="002E796D" w:rsidRDefault="00A5535E" w:rsidP="002E796D">
            <w:pPr>
              <w:widowControl w:val="0"/>
              <w:pBdr>
                <w:top w:val="nil"/>
                <w:left w:val="nil"/>
                <w:bottom w:val="nil"/>
                <w:right w:val="nil"/>
                <w:between w:val="nil"/>
              </w:pBdr>
              <w:spacing w:after="0"/>
              <w:jc w:val="center"/>
              <w:rPr>
                <w:rFonts w:ascii="Calibri" w:eastAsia="Calibri" w:hAnsi="Calibri" w:cs="Calibri"/>
              </w:rPr>
            </w:pPr>
            <w:r w:rsidRPr="002E796D">
              <w:rPr>
                <w:rFonts w:ascii="Calibri" w:eastAsia="Calibri" w:hAnsi="Calibri" w:cs="Calibri"/>
              </w:rPr>
              <w:t>72.3</w:t>
            </w:r>
          </w:p>
        </w:tc>
        <w:tc>
          <w:tcPr>
            <w:tcW w:w="0" w:type="dxa"/>
            <w:tcBorders>
              <w:bottom w:val="single" w:sz="4" w:space="0" w:color="auto"/>
            </w:tcBorders>
          </w:tcPr>
          <w:p w14:paraId="14B9D68D" w14:textId="77777777" w:rsidR="00A5535E" w:rsidRPr="009F1B47" w:rsidRDefault="00A5535E" w:rsidP="002E796D">
            <w:pPr>
              <w:widowControl w:val="0"/>
              <w:pBdr>
                <w:top w:val="nil"/>
                <w:left w:val="nil"/>
                <w:bottom w:val="nil"/>
                <w:right w:val="nil"/>
                <w:between w:val="nil"/>
              </w:pBdr>
              <w:spacing w:after="0"/>
              <w:jc w:val="center"/>
              <w:rPr>
                <w:rFonts w:ascii="Calibri" w:eastAsia="Calibri" w:hAnsi="Calibri" w:cs="Calibri"/>
              </w:rPr>
            </w:pPr>
          </w:p>
        </w:tc>
        <w:tc>
          <w:tcPr>
            <w:tcW w:w="0" w:type="dxa"/>
            <w:tcBorders>
              <w:bottom w:val="single" w:sz="4" w:space="0" w:color="auto"/>
            </w:tcBorders>
          </w:tcPr>
          <w:p w14:paraId="38688909" w14:textId="77777777" w:rsidR="00A5535E" w:rsidRPr="009F1B47" w:rsidRDefault="00A5535E" w:rsidP="002E796D">
            <w:pPr>
              <w:widowControl w:val="0"/>
              <w:pBdr>
                <w:top w:val="nil"/>
                <w:left w:val="nil"/>
                <w:bottom w:val="nil"/>
                <w:right w:val="nil"/>
                <w:between w:val="nil"/>
              </w:pBdr>
              <w:spacing w:after="0"/>
              <w:jc w:val="center"/>
              <w:rPr>
                <w:rFonts w:ascii="Calibri" w:eastAsia="Calibri" w:hAnsi="Calibri" w:cs="Calibri"/>
              </w:rPr>
            </w:pPr>
          </w:p>
        </w:tc>
      </w:tr>
    </w:tbl>
    <w:p w14:paraId="354F8686" w14:textId="77777777" w:rsidR="00A5535E" w:rsidRDefault="00A5535E" w:rsidP="00A5535E">
      <w:pPr>
        <w:rPr>
          <w:rFonts w:ascii="Calibri" w:eastAsia="Calibri" w:hAnsi="Calibri" w:cs="Calibri"/>
        </w:rPr>
      </w:pPr>
    </w:p>
    <w:p w14:paraId="46E886F0" w14:textId="4A265C2C" w:rsidR="00A5535E" w:rsidRDefault="00A5535E" w:rsidP="00A5535E">
      <w:pPr>
        <w:rPr>
          <w:rFonts w:ascii="Calibri" w:eastAsia="Calibri" w:hAnsi="Calibri" w:cs="Calibri"/>
        </w:rPr>
      </w:pPr>
      <w:r>
        <w:rPr>
          <w:rFonts w:ascii="Calibri" w:eastAsia="Calibri" w:hAnsi="Calibri" w:cs="Calibri"/>
        </w:rPr>
        <w:t>In the case of new technologies such as wind and solar, South African specific data is available for employment intensity for 3 historical rounds of the REIPPP and a recent study by McK</w:t>
      </w:r>
      <w:r w:rsidR="006B1935">
        <w:rPr>
          <w:rFonts w:ascii="Calibri" w:eastAsia="Calibri" w:hAnsi="Calibri" w:cs="Calibri"/>
        </w:rPr>
        <w:t>insey</w:t>
      </w:r>
      <w:r w:rsidR="00A65C4E">
        <w:rPr>
          <w:rFonts w:ascii="Calibri" w:eastAsia="Calibri" w:hAnsi="Calibri" w:cs="Calibri"/>
        </w:rPr>
        <w:t xml:space="preserve"> (</w:t>
      </w:r>
      <w:r w:rsidR="006B1935">
        <w:rPr>
          <w:rFonts w:ascii="Calibri" w:eastAsia="Calibri" w:hAnsi="Calibri" w:cs="Calibri"/>
        </w:rPr>
        <w:t>2014</w:t>
      </w:r>
      <w:r w:rsidR="00A65C4E">
        <w:rPr>
          <w:rFonts w:ascii="Calibri" w:eastAsia="Calibri" w:hAnsi="Calibri" w:cs="Calibri"/>
        </w:rPr>
        <w:t>)</w:t>
      </w:r>
      <w:r>
        <w:rPr>
          <w:rFonts w:ascii="Calibri" w:eastAsia="Calibri" w:hAnsi="Calibri" w:cs="Calibri"/>
        </w:rPr>
        <w:t xml:space="preserve"> used in the</w:t>
      </w:r>
      <w:r w:rsidR="009904F2">
        <w:rPr>
          <w:rFonts w:ascii="Calibri" w:eastAsia="Calibri" w:hAnsi="Calibri" w:cs="Calibri"/>
        </w:rPr>
        <w:t xml:space="preserve"> draft</w:t>
      </w:r>
      <w:r>
        <w:rPr>
          <w:rFonts w:ascii="Calibri" w:eastAsia="Calibri" w:hAnsi="Calibri" w:cs="Calibri"/>
        </w:rPr>
        <w:t xml:space="preserve"> I</w:t>
      </w:r>
      <w:r w:rsidR="009904F2">
        <w:rPr>
          <w:rFonts w:ascii="Calibri" w:eastAsia="Calibri" w:hAnsi="Calibri" w:cs="Calibri"/>
        </w:rPr>
        <w:t xml:space="preserve">ntegrated </w:t>
      </w:r>
      <w:r>
        <w:rPr>
          <w:rFonts w:ascii="Calibri" w:eastAsia="Calibri" w:hAnsi="Calibri" w:cs="Calibri"/>
        </w:rPr>
        <w:t>E</w:t>
      </w:r>
      <w:r w:rsidR="009904F2">
        <w:rPr>
          <w:rFonts w:ascii="Calibri" w:eastAsia="Calibri" w:hAnsi="Calibri" w:cs="Calibri"/>
        </w:rPr>
        <w:t xml:space="preserve">nergy </w:t>
      </w:r>
      <w:r>
        <w:rPr>
          <w:rFonts w:ascii="Calibri" w:eastAsia="Calibri" w:hAnsi="Calibri" w:cs="Calibri"/>
        </w:rPr>
        <w:t>P</w:t>
      </w:r>
      <w:r w:rsidR="009904F2">
        <w:rPr>
          <w:rFonts w:ascii="Calibri" w:eastAsia="Calibri" w:hAnsi="Calibri" w:cs="Calibri"/>
        </w:rPr>
        <w:t>lan</w:t>
      </w:r>
      <w:r>
        <w:rPr>
          <w:rFonts w:ascii="Calibri" w:eastAsia="Calibri" w:hAnsi="Calibri" w:cs="Calibri"/>
        </w:rPr>
        <w:t xml:space="preserve"> (DOE, 2015). Table </w:t>
      </w:r>
      <w:r w:rsidR="00A47B7F">
        <w:rPr>
          <w:rFonts w:ascii="Calibri" w:eastAsia="Calibri" w:hAnsi="Calibri" w:cs="Calibri"/>
        </w:rPr>
        <w:t>2</w:t>
      </w:r>
      <w:r>
        <w:rPr>
          <w:rFonts w:ascii="Calibri" w:eastAsia="Calibri" w:hAnsi="Calibri" w:cs="Calibri"/>
        </w:rPr>
        <w:t xml:space="preserve"> below summarizes the data available, and the assumptions made with regards to labour intensities for wind and solar in this study.</w:t>
      </w:r>
    </w:p>
    <w:p w14:paraId="14540507" w14:textId="43339E92" w:rsidR="007F37C3" w:rsidRDefault="007F37C3" w:rsidP="002E796D">
      <w:pPr>
        <w:pStyle w:val="Caption"/>
      </w:pPr>
      <w:r>
        <w:t xml:space="preserve">Table </w:t>
      </w:r>
      <w:r>
        <w:fldChar w:fldCharType="begin"/>
      </w:r>
      <w:r>
        <w:instrText xml:space="preserve"> SEQ Table \* ARABIC </w:instrText>
      </w:r>
      <w:r>
        <w:fldChar w:fldCharType="separate"/>
      </w:r>
      <w:r w:rsidR="00CD6E58">
        <w:rPr>
          <w:noProof/>
        </w:rPr>
        <w:t>2</w:t>
      </w:r>
      <w:r>
        <w:fldChar w:fldCharType="end"/>
      </w:r>
      <w:r w:rsidR="000C1F25">
        <w:t xml:space="preserve"> E</w:t>
      </w:r>
      <w:r>
        <w:t>stimate</w:t>
      </w:r>
      <w:r w:rsidR="000C1F25">
        <w:t>s of</w:t>
      </w:r>
      <w:r>
        <w:t xml:space="preserve"> </w:t>
      </w:r>
      <w:r w:rsidR="000C1F25">
        <w:t>l</w:t>
      </w:r>
      <w:r>
        <w:t>abour Intensities for new technologies</w:t>
      </w:r>
      <w:r w:rsidR="000C1F25">
        <w:t xml:space="preserve"> compared to estimated from literature</w:t>
      </w:r>
    </w:p>
    <w:tbl>
      <w:tblPr>
        <w:tblStyle w:val="GridTable3-Accent6"/>
        <w:tblW w:w="9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036"/>
        <w:gridCol w:w="1036"/>
        <w:gridCol w:w="1037"/>
        <w:gridCol w:w="1037"/>
        <w:gridCol w:w="1037"/>
        <w:gridCol w:w="1037"/>
        <w:gridCol w:w="1037"/>
        <w:gridCol w:w="1037"/>
        <w:gridCol w:w="1037"/>
      </w:tblGrid>
      <w:tr w:rsidR="00A5535E" w14:paraId="0A014328" w14:textId="77777777" w:rsidTr="002E796D">
        <w:trPr>
          <w:trHeight w:val="277"/>
        </w:trPr>
        <w:tc>
          <w:tcPr>
            <w:tcW w:w="0" w:type="dxa"/>
            <w:shd w:val="clear" w:color="auto" w:fill="44546A" w:themeFill="text2"/>
          </w:tcPr>
          <w:p w14:paraId="0F0981CB" w14:textId="77777777" w:rsidR="00A5535E" w:rsidRDefault="00A5535E" w:rsidP="002A14A5">
            <w:pPr>
              <w:widowControl w:val="0"/>
              <w:pBdr>
                <w:top w:val="nil"/>
                <w:left w:val="nil"/>
                <w:bottom w:val="nil"/>
                <w:right w:val="nil"/>
                <w:between w:val="nil"/>
              </w:pBdr>
              <w:spacing w:after="0"/>
              <w:rPr>
                <w:rFonts w:ascii="Calibri" w:eastAsia="Calibri" w:hAnsi="Calibri" w:cs="Calibri"/>
              </w:rPr>
            </w:pPr>
          </w:p>
        </w:tc>
        <w:tc>
          <w:tcPr>
            <w:tcW w:w="0" w:type="dxa"/>
            <w:gridSpan w:val="4"/>
            <w:shd w:val="clear" w:color="auto" w:fill="44546A" w:themeFill="text2"/>
          </w:tcPr>
          <w:p w14:paraId="7AC4F7CC" w14:textId="73671281" w:rsidR="00A5535E" w:rsidRPr="002E796D" w:rsidRDefault="00376097"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Jobs</w:t>
            </w:r>
            <w:r w:rsidR="00A5535E" w:rsidRPr="002E796D">
              <w:rPr>
                <w:rFonts w:ascii="Calibri" w:eastAsia="Calibri" w:hAnsi="Calibri" w:cs="Calibri"/>
                <w:color w:val="FFFFFF" w:themeColor="background1"/>
              </w:rPr>
              <w:t>/TWh</w:t>
            </w:r>
          </w:p>
        </w:tc>
        <w:tc>
          <w:tcPr>
            <w:tcW w:w="0" w:type="dxa"/>
            <w:gridSpan w:val="4"/>
            <w:shd w:val="clear" w:color="auto" w:fill="44546A" w:themeFill="text2"/>
          </w:tcPr>
          <w:p w14:paraId="71635002" w14:textId="543DE68F" w:rsidR="00A5535E" w:rsidRPr="002E796D" w:rsidRDefault="00376097"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Jobs</w:t>
            </w:r>
            <w:r w:rsidR="00A5535E" w:rsidRPr="002E796D">
              <w:rPr>
                <w:rFonts w:ascii="Calibri" w:eastAsia="Calibri" w:hAnsi="Calibri" w:cs="Calibri"/>
                <w:color w:val="FFFFFF" w:themeColor="background1"/>
              </w:rPr>
              <w:t>/GW</w:t>
            </w:r>
          </w:p>
        </w:tc>
      </w:tr>
      <w:tr w:rsidR="002A14A5" w14:paraId="19C89ED2" w14:textId="77777777" w:rsidTr="002E796D">
        <w:trPr>
          <w:trHeight w:val="277"/>
        </w:trPr>
        <w:tc>
          <w:tcPr>
            <w:tcW w:w="0" w:type="dxa"/>
            <w:shd w:val="clear" w:color="auto" w:fill="44546A" w:themeFill="text2"/>
          </w:tcPr>
          <w:p w14:paraId="6D7A14B1" w14:textId="77777777" w:rsidR="00A5535E" w:rsidRDefault="00A5535E" w:rsidP="002A14A5">
            <w:pPr>
              <w:widowControl w:val="0"/>
              <w:pBdr>
                <w:top w:val="nil"/>
                <w:left w:val="nil"/>
                <w:bottom w:val="nil"/>
                <w:right w:val="nil"/>
                <w:between w:val="nil"/>
              </w:pBdr>
              <w:spacing w:after="0"/>
              <w:jc w:val="center"/>
              <w:rPr>
                <w:rFonts w:ascii="Calibri" w:eastAsia="Calibri" w:hAnsi="Calibri" w:cs="Calibri"/>
              </w:rPr>
            </w:pPr>
          </w:p>
        </w:tc>
        <w:tc>
          <w:tcPr>
            <w:tcW w:w="0" w:type="dxa"/>
            <w:shd w:val="clear" w:color="auto" w:fill="44546A" w:themeFill="text2"/>
          </w:tcPr>
          <w:p w14:paraId="7F78CF38"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PV</w:t>
            </w:r>
          </w:p>
        </w:tc>
        <w:tc>
          <w:tcPr>
            <w:tcW w:w="0" w:type="dxa"/>
            <w:shd w:val="clear" w:color="auto" w:fill="44546A" w:themeFill="text2"/>
          </w:tcPr>
          <w:p w14:paraId="58B2A089"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Wind</w:t>
            </w:r>
          </w:p>
        </w:tc>
        <w:tc>
          <w:tcPr>
            <w:tcW w:w="0" w:type="dxa"/>
            <w:shd w:val="clear" w:color="auto" w:fill="44546A" w:themeFill="text2"/>
          </w:tcPr>
          <w:p w14:paraId="57C59816"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Coal</w:t>
            </w:r>
          </w:p>
        </w:tc>
        <w:tc>
          <w:tcPr>
            <w:tcW w:w="0" w:type="dxa"/>
            <w:shd w:val="clear" w:color="auto" w:fill="44546A" w:themeFill="text2"/>
          </w:tcPr>
          <w:p w14:paraId="5268688C"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Nuclear</w:t>
            </w:r>
          </w:p>
        </w:tc>
        <w:tc>
          <w:tcPr>
            <w:tcW w:w="0" w:type="dxa"/>
            <w:shd w:val="clear" w:color="auto" w:fill="44546A" w:themeFill="text2"/>
          </w:tcPr>
          <w:p w14:paraId="0A7F9390"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PV</w:t>
            </w:r>
          </w:p>
        </w:tc>
        <w:tc>
          <w:tcPr>
            <w:tcW w:w="0" w:type="dxa"/>
            <w:shd w:val="clear" w:color="auto" w:fill="44546A" w:themeFill="text2"/>
          </w:tcPr>
          <w:p w14:paraId="5B4CA07A"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Wind</w:t>
            </w:r>
          </w:p>
        </w:tc>
        <w:tc>
          <w:tcPr>
            <w:tcW w:w="0" w:type="dxa"/>
            <w:shd w:val="clear" w:color="auto" w:fill="44546A" w:themeFill="text2"/>
          </w:tcPr>
          <w:p w14:paraId="25B545C2"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Coal</w:t>
            </w:r>
          </w:p>
        </w:tc>
        <w:tc>
          <w:tcPr>
            <w:tcW w:w="0" w:type="dxa"/>
            <w:shd w:val="clear" w:color="auto" w:fill="44546A" w:themeFill="text2"/>
          </w:tcPr>
          <w:p w14:paraId="3641EA5C" w14:textId="77777777" w:rsidR="00A5535E" w:rsidRPr="002E796D" w:rsidRDefault="00A5535E" w:rsidP="002A14A5">
            <w:pPr>
              <w:widowControl w:val="0"/>
              <w:pBdr>
                <w:top w:val="nil"/>
                <w:left w:val="nil"/>
                <w:bottom w:val="nil"/>
                <w:right w:val="nil"/>
                <w:between w:val="nil"/>
              </w:pBdr>
              <w:spacing w:after="0"/>
              <w:jc w:val="center"/>
              <w:rPr>
                <w:rFonts w:ascii="Calibri" w:eastAsia="Calibri" w:hAnsi="Calibri" w:cs="Calibri"/>
                <w:color w:val="FFFFFF" w:themeColor="background1"/>
              </w:rPr>
            </w:pPr>
            <w:r w:rsidRPr="002E796D">
              <w:rPr>
                <w:rFonts w:ascii="Calibri" w:eastAsia="Calibri" w:hAnsi="Calibri" w:cs="Calibri"/>
                <w:color w:val="FFFFFF" w:themeColor="background1"/>
              </w:rPr>
              <w:t>Nuclear</w:t>
            </w:r>
          </w:p>
        </w:tc>
      </w:tr>
      <w:tr w:rsidR="002A14A5" w14:paraId="3E55C5CA" w14:textId="77777777" w:rsidTr="002E796D">
        <w:trPr>
          <w:trHeight w:val="259"/>
        </w:trPr>
        <w:tc>
          <w:tcPr>
            <w:tcW w:w="0" w:type="dxa"/>
            <w:shd w:val="clear" w:color="auto" w:fill="E2EFD9" w:themeFill="accent6" w:themeFillTint="33"/>
          </w:tcPr>
          <w:p w14:paraId="40819822" w14:textId="56290EFA" w:rsidR="00A5535E" w:rsidRPr="002E796D" w:rsidRDefault="00A5535E" w:rsidP="002A14A5">
            <w:pPr>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REIPPP</w:t>
            </w:r>
            <w:r w:rsidR="009904F2" w:rsidRPr="002E796D">
              <w:rPr>
                <w:rFonts w:ascii="Calibri" w:eastAsia="Calibri" w:hAnsi="Calibri" w:cs="Calibri"/>
              </w:rPr>
              <w:t>P</w:t>
            </w:r>
            <w:r w:rsidRPr="002E796D">
              <w:rPr>
                <w:rFonts w:ascii="Calibri" w:eastAsia="Calibri" w:hAnsi="Calibri" w:cs="Calibri"/>
              </w:rPr>
              <w:t xml:space="preserve"> round 1,2</w:t>
            </w:r>
          </w:p>
        </w:tc>
        <w:tc>
          <w:tcPr>
            <w:tcW w:w="0" w:type="dxa"/>
            <w:shd w:val="clear" w:color="auto" w:fill="E2EFD9" w:themeFill="accent6" w:themeFillTint="33"/>
          </w:tcPr>
          <w:p w14:paraId="46B632E2"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153</w:t>
            </w:r>
          </w:p>
        </w:tc>
        <w:tc>
          <w:tcPr>
            <w:tcW w:w="0" w:type="dxa"/>
            <w:shd w:val="clear" w:color="auto" w:fill="E2EFD9" w:themeFill="accent6" w:themeFillTint="33"/>
          </w:tcPr>
          <w:p w14:paraId="56CADC78"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62</w:t>
            </w:r>
          </w:p>
        </w:tc>
        <w:tc>
          <w:tcPr>
            <w:tcW w:w="0" w:type="dxa"/>
            <w:shd w:val="clear" w:color="auto" w:fill="E2EFD9" w:themeFill="accent6" w:themeFillTint="33"/>
          </w:tcPr>
          <w:p w14:paraId="3F78D5AA"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shd w:val="clear" w:color="auto" w:fill="E2EFD9" w:themeFill="accent6" w:themeFillTint="33"/>
          </w:tcPr>
          <w:p w14:paraId="19A9AE15"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shd w:val="clear" w:color="auto" w:fill="E2EFD9" w:themeFill="accent6" w:themeFillTint="33"/>
          </w:tcPr>
          <w:p w14:paraId="1D880E82"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376</w:t>
            </w:r>
          </w:p>
        </w:tc>
        <w:tc>
          <w:tcPr>
            <w:tcW w:w="0" w:type="dxa"/>
            <w:shd w:val="clear" w:color="auto" w:fill="E2EFD9" w:themeFill="accent6" w:themeFillTint="33"/>
          </w:tcPr>
          <w:p w14:paraId="07A15185"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196</w:t>
            </w:r>
          </w:p>
        </w:tc>
        <w:tc>
          <w:tcPr>
            <w:tcW w:w="0" w:type="dxa"/>
            <w:shd w:val="clear" w:color="auto" w:fill="E2EFD9" w:themeFill="accent6" w:themeFillTint="33"/>
          </w:tcPr>
          <w:p w14:paraId="52C108F2"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shd w:val="clear" w:color="auto" w:fill="E2EFD9" w:themeFill="accent6" w:themeFillTint="33"/>
          </w:tcPr>
          <w:p w14:paraId="52811D81"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r>
      <w:tr w:rsidR="002A14A5" w14:paraId="1ED089BF" w14:textId="77777777" w:rsidTr="002E796D">
        <w:trPr>
          <w:trHeight w:val="245"/>
        </w:trPr>
        <w:tc>
          <w:tcPr>
            <w:tcW w:w="0" w:type="dxa"/>
          </w:tcPr>
          <w:p w14:paraId="7B91ADBF" w14:textId="00305F78" w:rsidR="00A5535E" w:rsidRPr="002E796D" w:rsidRDefault="00A5535E" w:rsidP="002A14A5">
            <w:pPr>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REIPPP</w:t>
            </w:r>
            <w:r w:rsidR="009904F2" w:rsidRPr="002E796D">
              <w:rPr>
                <w:rFonts w:ascii="Calibri" w:eastAsia="Calibri" w:hAnsi="Calibri" w:cs="Calibri"/>
              </w:rPr>
              <w:t>P</w:t>
            </w:r>
            <w:r w:rsidRPr="002E796D">
              <w:rPr>
                <w:rFonts w:ascii="Calibri" w:eastAsia="Calibri" w:hAnsi="Calibri" w:cs="Calibri"/>
              </w:rPr>
              <w:t xml:space="preserve"> round 3</w:t>
            </w:r>
          </w:p>
        </w:tc>
        <w:tc>
          <w:tcPr>
            <w:tcW w:w="0" w:type="dxa"/>
          </w:tcPr>
          <w:p w14:paraId="1EC370A6"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282</w:t>
            </w:r>
          </w:p>
        </w:tc>
        <w:tc>
          <w:tcPr>
            <w:tcW w:w="0" w:type="dxa"/>
          </w:tcPr>
          <w:p w14:paraId="4AC5584F"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170</w:t>
            </w:r>
          </w:p>
        </w:tc>
        <w:tc>
          <w:tcPr>
            <w:tcW w:w="0" w:type="dxa"/>
          </w:tcPr>
          <w:p w14:paraId="0FD9BDE5"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2F56C2F3"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2E81A611"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691</w:t>
            </w:r>
          </w:p>
        </w:tc>
        <w:tc>
          <w:tcPr>
            <w:tcW w:w="0" w:type="dxa"/>
          </w:tcPr>
          <w:p w14:paraId="3ECCA016"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540</w:t>
            </w:r>
          </w:p>
        </w:tc>
        <w:tc>
          <w:tcPr>
            <w:tcW w:w="0" w:type="dxa"/>
          </w:tcPr>
          <w:p w14:paraId="4B263186"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1346D11A"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r>
      <w:tr w:rsidR="002A14A5" w14:paraId="3A1EFB02" w14:textId="77777777" w:rsidTr="002E796D">
        <w:trPr>
          <w:trHeight w:val="277"/>
        </w:trPr>
        <w:tc>
          <w:tcPr>
            <w:tcW w:w="0" w:type="dxa"/>
            <w:shd w:val="clear" w:color="auto" w:fill="E2EFD9" w:themeFill="accent6" w:themeFillTint="33"/>
          </w:tcPr>
          <w:p w14:paraId="414119D0" w14:textId="77777777" w:rsidR="00A5535E" w:rsidRPr="002E796D" w:rsidRDefault="00A5535E" w:rsidP="002A14A5">
            <w:pPr>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McKinsey/IEP</w:t>
            </w:r>
          </w:p>
        </w:tc>
        <w:tc>
          <w:tcPr>
            <w:tcW w:w="0" w:type="dxa"/>
            <w:shd w:val="clear" w:color="auto" w:fill="E2EFD9" w:themeFill="accent6" w:themeFillTint="33"/>
          </w:tcPr>
          <w:p w14:paraId="79880797"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107</w:t>
            </w:r>
          </w:p>
        </w:tc>
        <w:tc>
          <w:tcPr>
            <w:tcW w:w="0" w:type="dxa"/>
            <w:shd w:val="clear" w:color="auto" w:fill="E2EFD9" w:themeFill="accent6" w:themeFillTint="33"/>
          </w:tcPr>
          <w:p w14:paraId="7298338C"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127</w:t>
            </w:r>
          </w:p>
        </w:tc>
        <w:tc>
          <w:tcPr>
            <w:tcW w:w="0" w:type="dxa"/>
            <w:shd w:val="clear" w:color="auto" w:fill="E2EFD9" w:themeFill="accent6" w:themeFillTint="33"/>
          </w:tcPr>
          <w:p w14:paraId="53FE8043"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28</w:t>
            </w:r>
          </w:p>
        </w:tc>
        <w:tc>
          <w:tcPr>
            <w:tcW w:w="0" w:type="dxa"/>
            <w:shd w:val="clear" w:color="auto" w:fill="E2EFD9" w:themeFill="accent6" w:themeFillTint="33"/>
          </w:tcPr>
          <w:p w14:paraId="658B74A9"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60</w:t>
            </w:r>
          </w:p>
        </w:tc>
        <w:tc>
          <w:tcPr>
            <w:tcW w:w="0" w:type="dxa"/>
            <w:shd w:val="clear" w:color="auto" w:fill="E2EFD9" w:themeFill="accent6" w:themeFillTint="33"/>
          </w:tcPr>
          <w:p w14:paraId="32076DEF"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262</w:t>
            </w:r>
          </w:p>
        </w:tc>
        <w:tc>
          <w:tcPr>
            <w:tcW w:w="0" w:type="dxa"/>
            <w:shd w:val="clear" w:color="auto" w:fill="E2EFD9" w:themeFill="accent6" w:themeFillTint="33"/>
          </w:tcPr>
          <w:p w14:paraId="62112AEF"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405</w:t>
            </w:r>
          </w:p>
        </w:tc>
        <w:tc>
          <w:tcPr>
            <w:tcW w:w="0" w:type="dxa"/>
            <w:shd w:val="clear" w:color="auto" w:fill="E2EFD9" w:themeFill="accent6" w:themeFillTint="33"/>
          </w:tcPr>
          <w:p w14:paraId="47A90D1B"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184</w:t>
            </w:r>
          </w:p>
        </w:tc>
        <w:tc>
          <w:tcPr>
            <w:tcW w:w="0" w:type="dxa"/>
            <w:shd w:val="clear" w:color="auto" w:fill="E2EFD9" w:themeFill="accent6" w:themeFillTint="33"/>
          </w:tcPr>
          <w:p w14:paraId="3B68AF6F"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420</w:t>
            </w:r>
          </w:p>
        </w:tc>
      </w:tr>
      <w:tr w:rsidR="002A14A5" w14:paraId="04C0DA7D" w14:textId="77777777" w:rsidTr="002E796D">
        <w:trPr>
          <w:trHeight w:val="277"/>
        </w:trPr>
        <w:tc>
          <w:tcPr>
            <w:tcW w:w="0" w:type="dxa"/>
          </w:tcPr>
          <w:p w14:paraId="519052B8" w14:textId="77777777" w:rsidR="00A5535E" w:rsidRPr="002E796D" w:rsidRDefault="00A5535E" w:rsidP="002A14A5">
            <w:pPr>
              <w:widowControl w:val="0"/>
              <w:pBdr>
                <w:top w:val="nil"/>
                <w:left w:val="nil"/>
                <w:bottom w:val="nil"/>
                <w:right w:val="nil"/>
                <w:between w:val="nil"/>
              </w:pBdr>
              <w:spacing w:after="0"/>
              <w:rPr>
                <w:rFonts w:ascii="Calibri" w:eastAsia="Calibri" w:hAnsi="Calibri" w:cs="Calibri"/>
              </w:rPr>
            </w:pPr>
            <w:r w:rsidRPr="002E796D">
              <w:rPr>
                <w:rFonts w:ascii="Calibri" w:eastAsia="Calibri" w:hAnsi="Calibri" w:cs="Calibri"/>
              </w:rPr>
              <w:t>Eskom</w:t>
            </w:r>
          </w:p>
        </w:tc>
        <w:tc>
          <w:tcPr>
            <w:tcW w:w="0" w:type="dxa"/>
          </w:tcPr>
          <w:p w14:paraId="28C23244"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3D0F10E0"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060747BB"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35.7</w:t>
            </w:r>
          </w:p>
        </w:tc>
        <w:tc>
          <w:tcPr>
            <w:tcW w:w="0" w:type="dxa"/>
          </w:tcPr>
          <w:p w14:paraId="6057890E"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92.1</w:t>
            </w:r>
          </w:p>
        </w:tc>
        <w:tc>
          <w:tcPr>
            <w:tcW w:w="0" w:type="dxa"/>
          </w:tcPr>
          <w:p w14:paraId="1931B9CD"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23B1AD8A"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p>
        </w:tc>
        <w:tc>
          <w:tcPr>
            <w:tcW w:w="0" w:type="dxa"/>
          </w:tcPr>
          <w:p w14:paraId="725B4638"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206</w:t>
            </w:r>
          </w:p>
        </w:tc>
        <w:tc>
          <w:tcPr>
            <w:tcW w:w="0" w:type="dxa"/>
          </w:tcPr>
          <w:p w14:paraId="32A1D04D" w14:textId="77777777" w:rsidR="00A5535E" w:rsidRDefault="00A5535E" w:rsidP="002A14A5">
            <w:pPr>
              <w:widowControl w:val="0"/>
              <w:pBdr>
                <w:top w:val="nil"/>
                <w:left w:val="nil"/>
                <w:bottom w:val="nil"/>
                <w:right w:val="nil"/>
                <w:between w:val="nil"/>
              </w:pBdr>
              <w:spacing w:after="0"/>
              <w:jc w:val="right"/>
              <w:rPr>
                <w:rFonts w:ascii="Calibri" w:eastAsia="Calibri" w:hAnsi="Calibri" w:cs="Calibri"/>
              </w:rPr>
            </w:pPr>
            <w:r>
              <w:rPr>
                <w:rFonts w:ascii="Calibri" w:eastAsia="Calibri" w:hAnsi="Calibri" w:cs="Calibri"/>
              </w:rPr>
              <w:t>645</w:t>
            </w:r>
          </w:p>
        </w:tc>
      </w:tr>
      <w:tr w:rsidR="002A14A5" w14:paraId="73FFA3BC" w14:textId="77777777" w:rsidTr="002E796D">
        <w:trPr>
          <w:trHeight w:val="277"/>
        </w:trPr>
        <w:tc>
          <w:tcPr>
            <w:tcW w:w="0" w:type="dxa"/>
            <w:tcBorders>
              <w:bottom w:val="single" w:sz="4" w:space="0" w:color="auto"/>
            </w:tcBorders>
            <w:shd w:val="clear" w:color="auto" w:fill="E2EFD9" w:themeFill="accent6" w:themeFillTint="33"/>
          </w:tcPr>
          <w:p w14:paraId="758AAFF2" w14:textId="0542F8A0" w:rsidR="00A5535E" w:rsidRPr="007F37C3" w:rsidRDefault="00A5535E" w:rsidP="002A14A5">
            <w:pPr>
              <w:widowControl w:val="0"/>
              <w:pBdr>
                <w:top w:val="nil"/>
                <w:left w:val="nil"/>
                <w:bottom w:val="nil"/>
                <w:right w:val="nil"/>
                <w:between w:val="nil"/>
              </w:pBdr>
              <w:spacing w:after="0"/>
              <w:rPr>
                <w:rFonts w:ascii="Calibri" w:eastAsia="Calibri" w:hAnsi="Calibri" w:cs="Calibri"/>
                <w:b/>
              </w:rPr>
            </w:pPr>
            <w:r w:rsidRPr="007F37C3">
              <w:rPr>
                <w:rFonts w:ascii="Calibri" w:eastAsia="Calibri" w:hAnsi="Calibri" w:cs="Calibri"/>
                <w:b/>
              </w:rPr>
              <w:t xml:space="preserve">This </w:t>
            </w:r>
            <w:r w:rsidR="00376097">
              <w:rPr>
                <w:rFonts w:ascii="Calibri" w:eastAsia="Calibri" w:hAnsi="Calibri" w:cs="Calibri"/>
                <w:b/>
              </w:rPr>
              <w:t>s</w:t>
            </w:r>
            <w:r w:rsidR="00376097" w:rsidRPr="007F37C3">
              <w:rPr>
                <w:rFonts w:ascii="Calibri" w:eastAsia="Calibri" w:hAnsi="Calibri" w:cs="Calibri"/>
                <w:b/>
              </w:rPr>
              <w:t>tudy</w:t>
            </w:r>
          </w:p>
        </w:tc>
        <w:tc>
          <w:tcPr>
            <w:tcW w:w="0" w:type="dxa"/>
            <w:tcBorders>
              <w:bottom w:val="single" w:sz="4" w:space="0" w:color="auto"/>
            </w:tcBorders>
            <w:shd w:val="clear" w:color="auto" w:fill="E2EFD9" w:themeFill="accent6" w:themeFillTint="33"/>
          </w:tcPr>
          <w:p w14:paraId="648CBC24" w14:textId="77777777"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153</w:t>
            </w:r>
          </w:p>
        </w:tc>
        <w:tc>
          <w:tcPr>
            <w:tcW w:w="0" w:type="dxa"/>
            <w:tcBorders>
              <w:bottom w:val="single" w:sz="4" w:space="0" w:color="auto"/>
            </w:tcBorders>
            <w:shd w:val="clear" w:color="auto" w:fill="E2EFD9" w:themeFill="accent6" w:themeFillTint="33"/>
          </w:tcPr>
          <w:p w14:paraId="061A9A35" w14:textId="7B6E6BC3"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98</w:t>
            </w:r>
            <w:r w:rsidR="000C1F25" w:rsidRPr="000C1F25">
              <w:rPr>
                <w:rFonts w:ascii="Calibri" w:eastAsia="Calibri" w:hAnsi="Calibri" w:cs="Calibri"/>
                <w:b/>
                <w:vertAlign w:val="superscript"/>
              </w:rPr>
              <w:t>1</w:t>
            </w:r>
          </w:p>
        </w:tc>
        <w:tc>
          <w:tcPr>
            <w:tcW w:w="0" w:type="dxa"/>
            <w:tcBorders>
              <w:bottom w:val="single" w:sz="4" w:space="0" w:color="auto"/>
            </w:tcBorders>
            <w:shd w:val="clear" w:color="auto" w:fill="E2EFD9" w:themeFill="accent6" w:themeFillTint="33"/>
          </w:tcPr>
          <w:p w14:paraId="459A90A9" w14:textId="6AAFF59D"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50.8</w:t>
            </w:r>
            <w:r w:rsidR="000C1F25" w:rsidRPr="000C1F25">
              <w:rPr>
                <w:rFonts w:ascii="Calibri" w:eastAsia="Calibri" w:hAnsi="Calibri" w:cs="Calibri"/>
                <w:b/>
                <w:vertAlign w:val="superscript"/>
              </w:rPr>
              <w:t>2</w:t>
            </w:r>
          </w:p>
        </w:tc>
        <w:tc>
          <w:tcPr>
            <w:tcW w:w="0" w:type="dxa"/>
            <w:tcBorders>
              <w:bottom w:val="single" w:sz="4" w:space="0" w:color="auto"/>
            </w:tcBorders>
            <w:shd w:val="clear" w:color="auto" w:fill="E2EFD9" w:themeFill="accent6" w:themeFillTint="33"/>
          </w:tcPr>
          <w:p w14:paraId="55AC8014" w14:textId="77777777"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92.1</w:t>
            </w:r>
          </w:p>
        </w:tc>
        <w:tc>
          <w:tcPr>
            <w:tcW w:w="0" w:type="dxa"/>
            <w:tcBorders>
              <w:bottom w:val="single" w:sz="4" w:space="0" w:color="auto"/>
            </w:tcBorders>
            <w:shd w:val="clear" w:color="auto" w:fill="E2EFD9" w:themeFill="accent6" w:themeFillTint="33"/>
          </w:tcPr>
          <w:p w14:paraId="55BA738E" w14:textId="77777777"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376</w:t>
            </w:r>
          </w:p>
        </w:tc>
        <w:tc>
          <w:tcPr>
            <w:tcW w:w="0" w:type="dxa"/>
            <w:tcBorders>
              <w:bottom w:val="single" w:sz="4" w:space="0" w:color="auto"/>
            </w:tcBorders>
            <w:shd w:val="clear" w:color="auto" w:fill="E2EFD9" w:themeFill="accent6" w:themeFillTint="33"/>
          </w:tcPr>
          <w:p w14:paraId="6CEFE4D3" w14:textId="59A3C8A6"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311</w:t>
            </w:r>
            <w:r w:rsidR="000878D0">
              <w:rPr>
                <w:rStyle w:val="FootnoteReference"/>
                <w:rFonts w:ascii="Calibri" w:eastAsia="Calibri" w:hAnsi="Calibri" w:cs="Calibri"/>
                <w:b/>
              </w:rPr>
              <w:footnoteReference w:id="2"/>
            </w:r>
          </w:p>
        </w:tc>
        <w:tc>
          <w:tcPr>
            <w:tcW w:w="0" w:type="dxa"/>
            <w:tcBorders>
              <w:bottom w:val="single" w:sz="4" w:space="0" w:color="auto"/>
            </w:tcBorders>
            <w:shd w:val="clear" w:color="auto" w:fill="E2EFD9" w:themeFill="accent6" w:themeFillTint="33"/>
          </w:tcPr>
          <w:p w14:paraId="4A2A757A" w14:textId="7F3BEC15"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333</w:t>
            </w:r>
            <w:r w:rsidR="000878D0">
              <w:rPr>
                <w:rStyle w:val="FootnoteReference"/>
                <w:rFonts w:ascii="Calibri" w:eastAsia="Calibri" w:hAnsi="Calibri" w:cs="Calibri"/>
                <w:b/>
              </w:rPr>
              <w:footnoteReference w:id="3"/>
            </w:r>
          </w:p>
        </w:tc>
        <w:tc>
          <w:tcPr>
            <w:tcW w:w="0" w:type="dxa"/>
            <w:tcBorders>
              <w:bottom w:val="single" w:sz="4" w:space="0" w:color="auto"/>
            </w:tcBorders>
            <w:shd w:val="clear" w:color="auto" w:fill="E2EFD9" w:themeFill="accent6" w:themeFillTint="33"/>
          </w:tcPr>
          <w:p w14:paraId="59E9A8DA" w14:textId="77777777" w:rsidR="00A5535E" w:rsidRPr="007F37C3" w:rsidRDefault="00A5535E" w:rsidP="002A14A5">
            <w:pPr>
              <w:widowControl w:val="0"/>
              <w:pBdr>
                <w:top w:val="nil"/>
                <w:left w:val="nil"/>
                <w:bottom w:val="nil"/>
                <w:right w:val="nil"/>
                <w:between w:val="nil"/>
              </w:pBdr>
              <w:spacing w:after="0"/>
              <w:jc w:val="right"/>
              <w:rPr>
                <w:rFonts w:ascii="Calibri" w:eastAsia="Calibri" w:hAnsi="Calibri" w:cs="Calibri"/>
                <w:b/>
              </w:rPr>
            </w:pPr>
            <w:r w:rsidRPr="007F37C3">
              <w:rPr>
                <w:rFonts w:ascii="Calibri" w:eastAsia="Calibri" w:hAnsi="Calibri" w:cs="Calibri"/>
                <w:b/>
              </w:rPr>
              <w:t>645</w:t>
            </w:r>
          </w:p>
        </w:tc>
      </w:tr>
    </w:tbl>
    <w:p w14:paraId="31395CC2" w14:textId="77777777" w:rsidR="00A5535E" w:rsidRDefault="00A5535E" w:rsidP="00A5535E">
      <w:pPr>
        <w:rPr>
          <w:rFonts w:ascii="Calibri" w:eastAsia="Calibri" w:hAnsi="Calibri" w:cs="Calibri"/>
        </w:rPr>
      </w:pPr>
    </w:p>
    <w:p w14:paraId="00A842E4" w14:textId="77777777" w:rsidR="00A5535E" w:rsidRDefault="00A5535E" w:rsidP="00A5535E">
      <w:pPr>
        <w:rPr>
          <w:rFonts w:ascii="Calibri" w:eastAsia="Calibri" w:hAnsi="Calibri" w:cs="Calibri"/>
        </w:rPr>
      </w:pPr>
      <w:r>
        <w:rPr>
          <w:rFonts w:ascii="Calibri" w:eastAsia="Calibri" w:hAnsi="Calibri" w:cs="Calibri"/>
        </w:rPr>
        <w:t xml:space="preserve">The labour intensity </w:t>
      </w:r>
      <w:r>
        <w:rPr>
          <w:rFonts w:ascii="Calibri" w:eastAsia="Calibri" w:hAnsi="Calibri" w:cs="Calibri"/>
          <w:i/>
        </w:rPr>
        <w:t>ifa(a</w:t>
      </w:r>
      <w:r>
        <w:rPr>
          <w:rFonts w:ascii="Calibri" w:eastAsia="Calibri" w:hAnsi="Calibri" w:cs="Calibri"/>
          <w:i/>
          <w:vertAlign w:val="subscript"/>
        </w:rPr>
        <w:t>elec</w:t>
      </w:r>
      <w:r>
        <w:rPr>
          <w:rFonts w:ascii="Calibri" w:eastAsia="Calibri" w:hAnsi="Calibri" w:cs="Calibri"/>
          <w:i/>
        </w:rPr>
        <w:t>, f</w:t>
      </w:r>
      <w:r>
        <w:rPr>
          <w:rFonts w:ascii="Calibri" w:eastAsia="Calibri" w:hAnsi="Calibri" w:cs="Calibri"/>
          <w:i/>
          <w:vertAlign w:val="subscript"/>
        </w:rPr>
        <w:t>labour,</w:t>
      </w:r>
      <w:r>
        <w:rPr>
          <w:rFonts w:ascii="Calibri" w:eastAsia="Calibri" w:hAnsi="Calibri" w:cs="Calibri"/>
          <w:i/>
        </w:rPr>
        <w:t>t)</w:t>
      </w:r>
      <w:r>
        <w:rPr>
          <w:rFonts w:ascii="Calibri" w:eastAsia="Calibri" w:hAnsi="Calibri" w:cs="Calibri"/>
        </w:rPr>
        <w:t xml:space="preserve"> for the electricity sector activity in year </w:t>
      </w:r>
      <w:r>
        <w:rPr>
          <w:rFonts w:ascii="Calibri" w:eastAsia="Calibri" w:hAnsi="Calibri" w:cs="Calibri"/>
          <w:i/>
        </w:rPr>
        <w:t xml:space="preserve">t </w:t>
      </w:r>
      <w:r>
        <w:rPr>
          <w:rFonts w:ascii="Calibri" w:eastAsia="Calibri" w:hAnsi="Calibri" w:cs="Calibri"/>
        </w:rPr>
        <w:t>is calculated from the results of SATIM as follows:</w:t>
      </w:r>
    </w:p>
    <w:p w14:paraId="69FA64BE" w14:textId="77777777" w:rsidR="00A5535E" w:rsidRDefault="00A5535E" w:rsidP="00A5535E">
      <w:pPr>
        <w:jc w:val="center"/>
        <w:rPr>
          <w:rFonts w:ascii="Calibri" w:eastAsia="Calibri" w:hAnsi="Calibri" w:cs="Calibri"/>
        </w:rPr>
      </w:pPr>
      <w:r>
        <w:rPr>
          <w:rFonts w:ascii="Calibri" w:eastAsia="Calibri" w:hAnsi="Calibri" w:cs="Calibri"/>
          <w:i/>
        </w:rPr>
        <w:t>∆ifa(a</w:t>
      </w:r>
      <w:r>
        <w:rPr>
          <w:rFonts w:ascii="Calibri" w:eastAsia="Calibri" w:hAnsi="Calibri" w:cs="Calibri"/>
          <w:i/>
          <w:vertAlign w:val="subscript"/>
        </w:rPr>
        <w:t>elec</w:t>
      </w:r>
      <w:r>
        <w:rPr>
          <w:rFonts w:ascii="Calibri" w:eastAsia="Calibri" w:hAnsi="Calibri" w:cs="Calibri"/>
          <w:i/>
        </w:rPr>
        <w:t>, f</w:t>
      </w:r>
      <w:r>
        <w:rPr>
          <w:rFonts w:ascii="Calibri" w:eastAsia="Calibri" w:hAnsi="Calibri" w:cs="Calibri"/>
          <w:i/>
          <w:vertAlign w:val="subscript"/>
        </w:rPr>
        <w:t>labour,</w:t>
      </w:r>
      <w:r>
        <w:rPr>
          <w:rFonts w:ascii="Calibri" w:eastAsia="Calibri" w:hAnsi="Calibri" w:cs="Calibri"/>
          <w:i/>
        </w:rPr>
        <w:t>t)</w:t>
      </w:r>
      <w:r>
        <w:rPr>
          <w:rFonts w:ascii="Calibri" w:eastAsia="Calibri" w:hAnsi="Calibri" w:cs="Calibri"/>
        </w:rPr>
        <w:t xml:space="preserve"> = sum(Capacity(PRC_Elec,t)*LabInt(PRC_Elec))/Elc_Dem(t),</w:t>
      </w:r>
    </w:p>
    <w:p w14:paraId="171DF281" w14:textId="7548C0A7" w:rsidR="00A5535E" w:rsidRDefault="00A5535E" w:rsidP="00A5535E">
      <w:pPr>
        <w:rPr>
          <w:rFonts w:ascii="Calibri" w:eastAsia="Calibri" w:hAnsi="Calibri" w:cs="Calibri"/>
        </w:rPr>
      </w:pPr>
      <w:r>
        <w:rPr>
          <w:rFonts w:ascii="Calibri" w:eastAsia="Calibri" w:hAnsi="Calibri" w:cs="Calibri"/>
        </w:rPr>
        <w:t xml:space="preserve">where </w:t>
      </w:r>
      <w:r w:rsidRPr="0060724C">
        <w:rPr>
          <w:rFonts w:ascii="Calibri" w:hAnsi="Calibri"/>
          <w:i/>
        </w:rPr>
        <w:t>PRC_Elec</w:t>
      </w:r>
      <w:r>
        <w:rPr>
          <w:rFonts w:ascii="Calibri" w:eastAsia="Calibri" w:hAnsi="Calibri" w:cs="Calibri"/>
        </w:rPr>
        <w:t xml:space="preserve"> are SATIM electricity sector technologies (including generation, transmission and distribution),</w:t>
      </w:r>
      <w:r w:rsidR="00384746">
        <w:rPr>
          <w:rFonts w:ascii="Calibri" w:eastAsia="Calibri" w:hAnsi="Calibri" w:cs="Calibri"/>
        </w:rPr>
        <w:t xml:space="preserve"> </w:t>
      </w:r>
      <w:proofErr w:type="gramStart"/>
      <w:r w:rsidRPr="0060724C">
        <w:rPr>
          <w:rFonts w:ascii="Calibri" w:hAnsi="Calibri"/>
          <w:i/>
        </w:rPr>
        <w:t>LabInt(</w:t>
      </w:r>
      <w:proofErr w:type="gramEnd"/>
      <w:r w:rsidRPr="0060724C">
        <w:rPr>
          <w:rFonts w:ascii="Calibri" w:hAnsi="Calibri"/>
          <w:i/>
        </w:rPr>
        <w:t>PRC_Elec)</w:t>
      </w:r>
      <w:r>
        <w:rPr>
          <w:rFonts w:ascii="Calibri" w:eastAsia="Calibri" w:hAnsi="Calibri" w:cs="Calibri"/>
        </w:rPr>
        <w:t xml:space="preserve"> in the labour intensity for each of the SATIM electricity technologies,</w:t>
      </w:r>
      <w:r w:rsidR="00384746">
        <w:rPr>
          <w:rFonts w:ascii="Calibri" w:eastAsia="Calibri" w:hAnsi="Calibri" w:cs="Calibri"/>
        </w:rPr>
        <w:t xml:space="preserve"> </w:t>
      </w:r>
      <w:r w:rsidRPr="0060724C">
        <w:rPr>
          <w:rFonts w:ascii="Calibri" w:hAnsi="Calibri"/>
          <w:i/>
        </w:rPr>
        <w:t>Elc_Dem</w:t>
      </w:r>
      <w:r>
        <w:rPr>
          <w:rFonts w:ascii="Calibri" w:eastAsia="Calibri" w:hAnsi="Calibri" w:cs="Calibri"/>
        </w:rPr>
        <w:t xml:space="preserve"> is the electricity demand, which is equal to sales at distribution level + exports.</w:t>
      </w:r>
    </w:p>
    <w:p w14:paraId="72ECE9DF" w14:textId="257692DB" w:rsidR="00A5535E" w:rsidRPr="003245F3" w:rsidRDefault="00A5535E" w:rsidP="003245F3">
      <w:pPr>
        <w:pStyle w:val="Heading2"/>
        <w:numPr>
          <w:ilvl w:val="2"/>
          <w:numId w:val="2"/>
        </w:numPr>
        <w:spacing w:line="276" w:lineRule="auto"/>
      </w:pPr>
      <w:bookmarkStart w:id="9" w:name="_cm6ohbxvup7y" w:colFirst="0" w:colLast="0"/>
      <w:bookmarkEnd w:id="9"/>
      <w:r>
        <w:t>Capit</w:t>
      </w:r>
      <w:r w:rsidR="00376097">
        <w:t>al intensity for the electricity secto</w:t>
      </w:r>
      <w:r>
        <w:t>r in eSAGE</w:t>
      </w:r>
    </w:p>
    <w:p w14:paraId="05D4F3E5" w14:textId="77777777" w:rsidR="00A5535E" w:rsidRDefault="00A5535E" w:rsidP="00A5535E">
      <w:pPr>
        <w:rPr>
          <w:rFonts w:ascii="Calibri" w:eastAsia="Calibri" w:hAnsi="Calibri" w:cs="Calibri"/>
        </w:rPr>
      </w:pPr>
      <w:r>
        <w:rPr>
          <w:rFonts w:ascii="Calibri" w:eastAsia="Calibri" w:hAnsi="Calibri" w:cs="Calibri"/>
        </w:rPr>
        <w:t xml:space="preserve">The electricity sector capital intensity coefficient in eSAGE </w:t>
      </w:r>
      <w:r>
        <w:rPr>
          <w:rFonts w:ascii="Calibri" w:eastAsia="Calibri" w:hAnsi="Calibri" w:cs="Calibri"/>
          <w:i/>
        </w:rPr>
        <w:t>ifa(a</w:t>
      </w:r>
      <w:r>
        <w:rPr>
          <w:rFonts w:ascii="Calibri" w:eastAsia="Calibri" w:hAnsi="Calibri" w:cs="Calibri"/>
          <w:i/>
          <w:vertAlign w:val="subscript"/>
        </w:rPr>
        <w:t>elec</w:t>
      </w:r>
      <w:r>
        <w:rPr>
          <w:rFonts w:ascii="Calibri" w:eastAsia="Calibri" w:hAnsi="Calibri" w:cs="Calibri"/>
          <w:i/>
        </w:rPr>
        <w:t>, f</w:t>
      </w:r>
      <w:r>
        <w:rPr>
          <w:rFonts w:ascii="Calibri" w:eastAsia="Calibri" w:hAnsi="Calibri" w:cs="Calibri"/>
          <w:i/>
          <w:vertAlign w:val="subscript"/>
        </w:rPr>
        <w:t>lcapital,</w:t>
      </w:r>
      <w:r>
        <w:rPr>
          <w:rFonts w:ascii="Calibri" w:eastAsia="Calibri" w:hAnsi="Calibri" w:cs="Calibri"/>
          <w:i/>
        </w:rPr>
        <w:t xml:space="preserve">t) </w:t>
      </w:r>
      <w:r>
        <w:rPr>
          <w:rFonts w:ascii="Calibri" w:eastAsia="Calibri" w:hAnsi="Calibri" w:cs="Calibri"/>
        </w:rPr>
        <w:t>is calculated in the following steps:</w:t>
      </w:r>
    </w:p>
    <w:p w14:paraId="559D509D" w14:textId="5593F11E" w:rsidR="00A5535E" w:rsidRDefault="00A5535E" w:rsidP="00A5535E">
      <w:pPr>
        <w:rPr>
          <w:rFonts w:ascii="Calibri" w:eastAsia="Calibri" w:hAnsi="Calibri" w:cs="Calibri"/>
        </w:rPr>
      </w:pPr>
      <w:r>
        <w:rPr>
          <w:rFonts w:ascii="Calibri" w:eastAsia="Calibri" w:hAnsi="Calibri" w:cs="Calibri"/>
        </w:rPr>
        <w:t>First</w:t>
      </w:r>
      <w:r w:rsidR="00AE3197">
        <w:rPr>
          <w:rFonts w:ascii="Calibri" w:eastAsia="Calibri" w:hAnsi="Calibri" w:cs="Calibri"/>
        </w:rPr>
        <w:t>,</w:t>
      </w:r>
      <w:r>
        <w:rPr>
          <w:rFonts w:ascii="Calibri" w:eastAsia="Calibri" w:hAnsi="Calibri" w:cs="Calibri"/>
        </w:rPr>
        <w:t xml:space="preserve"> the capital intensity per unit of electricity sold as observed in SATIM is calculated</w:t>
      </w:r>
      <w:r w:rsidR="00AE3197">
        <w:rPr>
          <w:rFonts w:ascii="Calibri" w:eastAsia="Calibri" w:hAnsi="Calibri" w:cs="Calibri"/>
        </w:rPr>
        <w:t xml:space="preserve"> as</w:t>
      </w:r>
      <w:r>
        <w:rPr>
          <w:rFonts w:ascii="Calibri" w:eastAsia="Calibri" w:hAnsi="Calibri" w:cs="Calibri"/>
        </w:rPr>
        <w:t>:</w:t>
      </w:r>
    </w:p>
    <w:p w14:paraId="68EE81EB" w14:textId="77777777" w:rsidR="00A5535E" w:rsidRPr="0060724C" w:rsidRDefault="00A5535E" w:rsidP="00A5535E">
      <w:pPr>
        <w:jc w:val="center"/>
        <w:rPr>
          <w:rFonts w:ascii="Calibri" w:hAnsi="Calibri"/>
          <w:i/>
        </w:rPr>
      </w:pPr>
      <w:r w:rsidRPr="0060724C">
        <w:rPr>
          <w:rFonts w:ascii="Calibri" w:hAnsi="Calibri"/>
          <w:i/>
        </w:rPr>
        <w:t>ElcCapitalIntensity(t) = TotAnnInvCost(t)/Elc_Dem(t),</w:t>
      </w:r>
    </w:p>
    <w:p w14:paraId="578868A8" w14:textId="77777777" w:rsidR="00A5535E" w:rsidRDefault="00A5535E" w:rsidP="00A5535E">
      <w:pPr>
        <w:rPr>
          <w:rFonts w:ascii="Calibri" w:eastAsia="Calibri" w:hAnsi="Calibri" w:cs="Calibri"/>
        </w:rPr>
      </w:pPr>
      <w:r>
        <w:rPr>
          <w:rFonts w:ascii="Calibri" w:eastAsia="Calibri" w:hAnsi="Calibri" w:cs="Calibri"/>
        </w:rPr>
        <w:t xml:space="preserve">where </w:t>
      </w:r>
      <w:r w:rsidRPr="00263AE6">
        <w:rPr>
          <w:rFonts w:ascii="Calibri" w:eastAsia="Calibri" w:hAnsi="Calibri" w:cs="Calibri"/>
          <w:i/>
        </w:rPr>
        <w:t xml:space="preserve">TotAnnInvCost </w:t>
      </w:r>
      <w:r>
        <w:rPr>
          <w:rFonts w:ascii="Calibri" w:eastAsia="Calibri" w:hAnsi="Calibri" w:cs="Calibri"/>
        </w:rPr>
        <w:t xml:space="preserve">is the total annualized investment cost of electricity sector technologies in SATIM. </w:t>
      </w:r>
    </w:p>
    <w:p w14:paraId="2723D624" w14:textId="77777777" w:rsidR="00A5535E" w:rsidRDefault="00A5535E" w:rsidP="00A5535E">
      <w:pPr>
        <w:rPr>
          <w:rFonts w:ascii="Calibri" w:eastAsia="Calibri" w:hAnsi="Calibri" w:cs="Calibri"/>
        </w:rPr>
      </w:pPr>
      <w:r>
        <w:rPr>
          <w:rFonts w:ascii="Calibri" w:eastAsia="Calibri" w:hAnsi="Calibri" w:cs="Calibri"/>
          <w:i/>
        </w:rPr>
        <w:t>ifa(a</w:t>
      </w:r>
      <w:r>
        <w:rPr>
          <w:rFonts w:ascii="Calibri" w:eastAsia="Calibri" w:hAnsi="Calibri" w:cs="Calibri"/>
          <w:i/>
          <w:vertAlign w:val="subscript"/>
        </w:rPr>
        <w:t>elec</w:t>
      </w:r>
      <w:r>
        <w:rPr>
          <w:rFonts w:ascii="Calibri" w:eastAsia="Calibri" w:hAnsi="Calibri" w:cs="Calibri"/>
          <w:i/>
        </w:rPr>
        <w:t>, f</w:t>
      </w:r>
      <w:r>
        <w:rPr>
          <w:rFonts w:ascii="Calibri" w:eastAsia="Calibri" w:hAnsi="Calibri" w:cs="Calibri"/>
          <w:i/>
          <w:vertAlign w:val="subscript"/>
        </w:rPr>
        <w:t>lcapital,</w:t>
      </w:r>
      <w:r>
        <w:rPr>
          <w:rFonts w:ascii="Calibri" w:eastAsia="Calibri" w:hAnsi="Calibri" w:cs="Calibri"/>
          <w:i/>
        </w:rPr>
        <w:t xml:space="preserve">t) </w:t>
      </w:r>
      <w:r>
        <w:rPr>
          <w:rFonts w:ascii="Calibri" w:eastAsia="Calibri" w:hAnsi="Calibri" w:cs="Calibri"/>
        </w:rPr>
        <w:t xml:space="preserve">is then calculated from the growth in </w:t>
      </w:r>
      <w:r w:rsidRPr="00263AE6">
        <w:rPr>
          <w:rFonts w:ascii="Calibri" w:eastAsia="Calibri" w:hAnsi="Calibri" w:cs="Calibri"/>
          <w:i/>
        </w:rPr>
        <w:t>ElcCapitalIntensity</w:t>
      </w:r>
      <w:r>
        <w:rPr>
          <w:rFonts w:ascii="Calibri" w:eastAsia="Calibri" w:hAnsi="Calibri" w:cs="Calibri"/>
        </w:rPr>
        <w:t>.</w:t>
      </w:r>
    </w:p>
    <w:p w14:paraId="7CBBBC5B" w14:textId="77777777" w:rsidR="00A5535E" w:rsidRDefault="00A5535E" w:rsidP="00A5535E">
      <w:pPr>
        <w:jc w:val="center"/>
        <w:rPr>
          <w:rFonts w:ascii="Calibri" w:eastAsia="Calibri" w:hAnsi="Calibri" w:cs="Calibri"/>
        </w:rPr>
      </w:pPr>
      <w:r>
        <w:rPr>
          <w:rFonts w:ascii="Calibri" w:eastAsia="Calibri" w:hAnsi="Calibri" w:cs="Calibri"/>
          <w:i/>
        </w:rPr>
        <w:t>∆</w:t>
      </w:r>
      <w:r>
        <w:rPr>
          <w:rFonts w:ascii="Calibri" w:eastAsia="Calibri" w:hAnsi="Calibri" w:cs="Calibri"/>
        </w:rPr>
        <w:t xml:space="preserve"> </w:t>
      </w:r>
      <w:r>
        <w:rPr>
          <w:rFonts w:ascii="Calibri" w:eastAsia="Calibri" w:hAnsi="Calibri" w:cs="Calibri"/>
          <w:i/>
        </w:rPr>
        <w:t>ifa(a</w:t>
      </w:r>
      <w:r>
        <w:rPr>
          <w:rFonts w:ascii="Calibri" w:eastAsia="Calibri" w:hAnsi="Calibri" w:cs="Calibri"/>
          <w:i/>
          <w:vertAlign w:val="subscript"/>
        </w:rPr>
        <w:t>elec</w:t>
      </w:r>
      <w:r>
        <w:rPr>
          <w:rFonts w:ascii="Calibri" w:eastAsia="Calibri" w:hAnsi="Calibri" w:cs="Calibri"/>
          <w:i/>
        </w:rPr>
        <w:t>, f</w:t>
      </w:r>
      <w:r>
        <w:rPr>
          <w:rFonts w:ascii="Calibri" w:eastAsia="Calibri" w:hAnsi="Calibri" w:cs="Calibri"/>
          <w:i/>
          <w:vertAlign w:val="subscript"/>
        </w:rPr>
        <w:t>lcapital,</w:t>
      </w:r>
      <w:r>
        <w:rPr>
          <w:rFonts w:ascii="Calibri" w:eastAsia="Calibri" w:hAnsi="Calibri" w:cs="Calibri"/>
          <w:i/>
        </w:rPr>
        <w:t>t)</w:t>
      </w:r>
      <w:r>
        <w:rPr>
          <w:rFonts w:ascii="Calibri" w:eastAsia="Calibri" w:hAnsi="Calibri" w:cs="Calibri"/>
        </w:rPr>
        <w:t xml:space="preserve"> = </w:t>
      </w:r>
      <w:r>
        <w:rPr>
          <w:rFonts w:ascii="Calibri" w:eastAsia="Calibri" w:hAnsi="Calibri" w:cs="Calibri"/>
          <w:i/>
        </w:rPr>
        <w:t>∆</w:t>
      </w:r>
      <w:r w:rsidRPr="0060724C">
        <w:rPr>
          <w:rFonts w:ascii="Calibri" w:hAnsi="Calibri"/>
          <w:i/>
        </w:rPr>
        <w:t>ElcCaptialIntensity(t),</w:t>
      </w:r>
    </w:p>
    <w:p w14:paraId="331D86A0" w14:textId="77777777" w:rsidR="00A5535E" w:rsidRPr="0060724C" w:rsidRDefault="00A5535E" w:rsidP="00A5535E">
      <w:pPr>
        <w:jc w:val="center"/>
        <w:rPr>
          <w:rFonts w:ascii="Calibri" w:hAnsi="Calibri"/>
          <w:lang w:val="pt-PT"/>
        </w:rPr>
      </w:pPr>
      <w:r>
        <w:rPr>
          <w:rFonts w:ascii="Calibri" w:eastAsia="Calibri" w:hAnsi="Calibri" w:cs="Calibri"/>
        </w:rPr>
        <w:t xml:space="preserve"> </w:t>
      </w:r>
      <w:r w:rsidRPr="0060724C">
        <w:rPr>
          <w:rFonts w:ascii="Calibri" w:hAnsi="Calibri"/>
          <w:i/>
          <w:lang w:val="pt-PT"/>
        </w:rPr>
        <w:t>ifa(a</w:t>
      </w:r>
      <w:r w:rsidRPr="0060724C">
        <w:rPr>
          <w:rFonts w:ascii="Calibri" w:hAnsi="Calibri"/>
          <w:i/>
          <w:vertAlign w:val="subscript"/>
          <w:lang w:val="pt-PT"/>
        </w:rPr>
        <w:t>elec</w:t>
      </w:r>
      <w:r w:rsidRPr="0060724C">
        <w:rPr>
          <w:rFonts w:ascii="Calibri" w:hAnsi="Calibri"/>
          <w:i/>
          <w:lang w:val="pt-PT"/>
        </w:rPr>
        <w:t>, f</w:t>
      </w:r>
      <w:r w:rsidRPr="0060724C">
        <w:rPr>
          <w:rFonts w:ascii="Calibri" w:hAnsi="Calibri"/>
          <w:i/>
          <w:vertAlign w:val="subscript"/>
          <w:lang w:val="pt-PT"/>
        </w:rPr>
        <w:t>lcapital,</w:t>
      </w:r>
      <w:r w:rsidRPr="0060724C">
        <w:rPr>
          <w:rFonts w:ascii="Calibri" w:hAnsi="Calibri"/>
          <w:i/>
          <w:lang w:val="pt-PT"/>
        </w:rPr>
        <w:t>t) = (1+∆</w:t>
      </w:r>
      <w:r w:rsidRPr="0060724C">
        <w:rPr>
          <w:rFonts w:ascii="Calibri" w:hAnsi="Calibri"/>
          <w:lang w:val="pt-PT"/>
        </w:rPr>
        <w:t xml:space="preserve"> </w:t>
      </w:r>
      <w:r w:rsidRPr="0060724C">
        <w:rPr>
          <w:rFonts w:ascii="Calibri" w:hAnsi="Calibri"/>
          <w:i/>
          <w:lang w:val="pt-PT"/>
        </w:rPr>
        <w:t>ifa(a</w:t>
      </w:r>
      <w:r w:rsidRPr="0060724C">
        <w:rPr>
          <w:rFonts w:ascii="Calibri" w:hAnsi="Calibri"/>
          <w:i/>
          <w:vertAlign w:val="subscript"/>
          <w:lang w:val="pt-PT"/>
        </w:rPr>
        <w:t>elec</w:t>
      </w:r>
      <w:r w:rsidRPr="0060724C">
        <w:rPr>
          <w:rFonts w:ascii="Calibri" w:hAnsi="Calibri"/>
          <w:i/>
          <w:lang w:val="pt-PT"/>
        </w:rPr>
        <w:t>, f</w:t>
      </w:r>
      <w:r w:rsidRPr="0060724C">
        <w:rPr>
          <w:rFonts w:ascii="Calibri" w:hAnsi="Calibri"/>
          <w:i/>
          <w:vertAlign w:val="subscript"/>
          <w:lang w:val="pt-PT"/>
        </w:rPr>
        <w:t>lcapital,</w:t>
      </w:r>
      <w:r w:rsidRPr="0060724C">
        <w:rPr>
          <w:rFonts w:ascii="Calibri" w:hAnsi="Calibri"/>
          <w:i/>
          <w:lang w:val="pt-PT"/>
        </w:rPr>
        <w:t>t) x ifa(a</w:t>
      </w:r>
      <w:r w:rsidRPr="0060724C">
        <w:rPr>
          <w:rFonts w:ascii="Calibri" w:hAnsi="Calibri"/>
          <w:i/>
          <w:vertAlign w:val="subscript"/>
          <w:lang w:val="pt-PT"/>
        </w:rPr>
        <w:t>elec</w:t>
      </w:r>
      <w:r w:rsidRPr="0060724C">
        <w:rPr>
          <w:rFonts w:ascii="Calibri" w:hAnsi="Calibri"/>
          <w:i/>
          <w:lang w:val="pt-PT"/>
        </w:rPr>
        <w:t>, f</w:t>
      </w:r>
      <w:r w:rsidRPr="0060724C">
        <w:rPr>
          <w:rFonts w:ascii="Calibri" w:hAnsi="Calibri"/>
          <w:i/>
          <w:vertAlign w:val="subscript"/>
          <w:lang w:val="pt-PT"/>
        </w:rPr>
        <w:t>lcapital,</w:t>
      </w:r>
      <w:r w:rsidRPr="0060724C">
        <w:rPr>
          <w:rFonts w:ascii="Calibri" w:hAnsi="Calibri"/>
          <w:i/>
          <w:lang w:val="pt-PT"/>
        </w:rPr>
        <w:t>t-1)).</w:t>
      </w:r>
    </w:p>
    <w:p w14:paraId="0EC27741" w14:textId="0313BF28" w:rsidR="00A5535E" w:rsidRPr="003245F3" w:rsidRDefault="00F371F3" w:rsidP="003245F3">
      <w:pPr>
        <w:pStyle w:val="Heading2"/>
        <w:numPr>
          <w:ilvl w:val="2"/>
          <w:numId w:val="2"/>
        </w:numPr>
        <w:spacing w:line="276" w:lineRule="auto"/>
      </w:pPr>
      <w:r w:rsidRPr="003245F3">
        <w:t>Specifying the</w:t>
      </w:r>
      <w:r w:rsidR="00AE3197" w:rsidRPr="003245F3">
        <w:t xml:space="preserve"> capital supply to the coal</w:t>
      </w:r>
      <w:r w:rsidR="00AE3197">
        <w:t>-</w:t>
      </w:r>
      <w:r w:rsidR="00AE3197" w:rsidRPr="003245F3">
        <w:t>mining sect</w:t>
      </w:r>
      <w:r w:rsidRPr="003245F3">
        <w:t>or in eSAGE</w:t>
      </w:r>
    </w:p>
    <w:p w14:paraId="75D8BF3D" w14:textId="27991802" w:rsidR="00F371F3" w:rsidRDefault="00F371F3" w:rsidP="00F371F3">
      <w:pPr>
        <w:rPr>
          <w:rFonts w:ascii="Calibri" w:eastAsia="Calibri" w:hAnsi="Calibri" w:cs="Calibri"/>
        </w:rPr>
      </w:pPr>
      <w:r>
        <w:rPr>
          <w:rFonts w:ascii="Calibri" w:eastAsia="Calibri" w:hAnsi="Calibri" w:cs="Calibri"/>
        </w:rPr>
        <w:t xml:space="preserve">In the case of the coal supply sector capital, stock changes </w:t>
      </w:r>
      <w:r w:rsidR="00AE3197">
        <w:rPr>
          <w:rFonts w:ascii="Calibri" w:eastAsia="Calibri" w:hAnsi="Calibri" w:cs="Calibri"/>
        </w:rPr>
        <w:t xml:space="preserve">are </w:t>
      </w:r>
      <w:r>
        <w:rPr>
          <w:rFonts w:ascii="Calibri" w:eastAsia="Calibri" w:hAnsi="Calibri" w:cs="Calibri"/>
        </w:rPr>
        <w:t>done exogenously, similarly to electricity. Although the original intention was to track actual investment in mines, the current available dataset is not complete enough in order to do this. Instead, we adopt a simplified approach still based on the results in SATIM.</w:t>
      </w:r>
    </w:p>
    <w:p w14:paraId="172D8558" w14:textId="373ABA3B" w:rsidR="00F371F3" w:rsidRDefault="00F371F3" w:rsidP="00F371F3">
      <w:pPr>
        <w:rPr>
          <w:rFonts w:ascii="Calibri" w:eastAsia="Calibri" w:hAnsi="Calibri" w:cs="Calibri"/>
        </w:rPr>
      </w:pPr>
      <w:r>
        <w:rPr>
          <w:rFonts w:ascii="Calibri" w:eastAsia="Calibri" w:hAnsi="Calibri" w:cs="Calibri"/>
        </w:rPr>
        <w:t xml:space="preserve">Percent change in capital stock for the coal supply sector activity in year </w:t>
      </w:r>
      <w:r>
        <w:rPr>
          <w:rFonts w:ascii="Calibri" w:eastAsia="Calibri" w:hAnsi="Calibri" w:cs="Calibri"/>
          <w:i/>
        </w:rPr>
        <w:t>t</w:t>
      </w:r>
      <w:r w:rsidR="00AE3197">
        <w:rPr>
          <w:rFonts w:ascii="Calibri" w:eastAsia="Calibri" w:hAnsi="Calibri" w:cs="Calibri"/>
          <w:i/>
        </w:rPr>
        <w:t xml:space="preserve"> </w:t>
      </w:r>
      <w:r w:rsidR="00AE3197">
        <w:rPr>
          <w:rFonts w:ascii="Calibri" w:eastAsia="Calibri" w:hAnsi="Calibri" w:cs="Calibri"/>
        </w:rPr>
        <w:t>is given by:</w:t>
      </w:r>
      <w:r>
        <w:rPr>
          <w:rFonts w:ascii="Calibri" w:eastAsia="Calibri" w:hAnsi="Calibri" w:cs="Calibri"/>
        </w:rPr>
        <w:t xml:space="preserve"> </w:t>
      </w:r>
    </w:p>
    <w:p w14:paraId="537952D8" w14:textId="6920FFF4" w:rsidR="00F371F3" w:rsidRDefault="00F371F3" w:rsidP="00F371F3">
      <w:pPr>
        <w:jc w:val="center"/>
        <w:rPr>
          <w:rFonts w:ascii="Calibri" w:eastAsia="Calibri" w:hAnsi="Calibri" w:cs="Calibri"/>
        </w:rPr>
      </w:pPr>
      <w:r>
        <w:rPr>
          <w:rFonts w:ascii="Calibri" w:eastAsia="Calibri" w:hAnsi="Calibri" w:cs="Calibri"/>
          <w:i/>
        </w:rPr>
        <w:t>∆qf(capital,</w:t>
      </w:r>
      <w:r w:rsidR="00875EDE">
        <w:rPr>
          <w:rFonts w:ascii="Calibri" w:eastAsia="Calibri" w:hAnsi="Calibri" w:cs="Calibri"/>
          <w:i/>
        </w:rPr>
        <w:t>coal</w:t>
      </w:r>
      <w:r>
        <w:rPr>
          <w:rFonts w:ascii="Calibri" w:eastAsia="Calibri" w:hAnsi="Calibri" w:cs="Calibri"/>
          <w:i/>
        </w:rPr>
        <w:t xml:space="preserve">,t) = </w:t>
      </w:r>
      <w:r w:rsidR="00875EDE">
        <w:rPr>
          <w:rFonts w:ascii="Calibri" w:eastAsia="Calibri" w:hAnsi="Calibri" w:cs="Calibri"/>
          <w:i/>
        </w:rPr>
        <w:t>∆Weighted</w:t>
      </w:r>
      <w:r>
        <w:rPr>
          <w:rFonts w:ascii="Calibri" w:eastAsia="Calibri" w:hAnsi="Calibri" w:cs="Calibri"/>
          <w:i/>
        </w:rPr>
        <w:t>CoalSupply</w:t>
      </w:r>
      <w:r w:rsidR="000A318F">
        <w:rPr>
          <w:rFonts w:ascii="Calibri" w:eastAsia="Calibri" w:hAnsi="Calibri" w:cs="Calibri"/>
          <w:i/>
        </w:rPr>
        <w:t>(t)</w:t>
      </w:r>
      <w:r>
        <w:rPr>
          <w:rFonts w:ascii="Calibri" w:eastAsia="Calibri" w:hAnsi="Calibri" w:cs="Calibri"/>
        </w:rPr>
        <w:t>,</w:t>
      </w:r>
    </w:p>
    <w:p w14:paraId="7D1F85A8" w14:textId="63072812" w:rsidR="00F371F3" w:rsidRDefault="00F371F3" w:rsidP="00F371F3">
      <w:pPr>
        <w:rPr>
          <w:rFonts w:ascii="Calibri" w:eastAsia="Calibri" w:hAnsi="Calibri" w:cs="Calibri"/>
          <w:i/>
        </w:rPr>
      </w:pPr>
      <w:r>
        <w:rPr>
          <w:rFonts w:ascii="Calibri" w:eastAsia="Calibri" w:hAnsi="Calibri" w:cs="Calibri"/>
        </w:rPr>
        <w:t xml:space="preserve">where </w:t>
      </w:r>
      <w:r>
        <w:rPr>
          <w:rFonts w:ascii="Calibri" w:eastAsia="Calibri" w:hAnsi="Calibri" w:cs="Calibri"/>
          <w:i/>
        </w:rPr>
        <w:t>∆</w:t>
      </w:r>
      <w:r w:rsidR="00875EDE">
        <w:rPr>
          <w:rFonts w:ascii="Calibri" w:eastAsia="Calibri" w:hAnsi="Calibri" w:cs="Calibri"/>
          <w:i/>
        </w:rPr>
        <w:t xml:space="preserve">WeightedCoalSupply </w:t>
      </w:r>
      <w:r>
        <w:rPr>
          <w:rFonts w:ascii="Calibri" w:eastAsia="Calibri" w:hAnsi="Calibri" w:cs="Calibri"/>
          <w:i/>
        </w:rPr>
        <w:t>(t)</w:t>
      </w:r>
      <w:r>
        <w:rPr>
          <w:rFonts w:ascii="Calibri" w:eastAsia="Calibri" w:hAnsi="Calibri" w:cs="Calibri"/>
        </w:rPr>
        <w:t xml:space="preserve"> is the percent change in the </w:t>
      </w:r>
      <w:r w:rsidR="000A318F">
        <w:rPr>
          <w:rFonts w:ascii="Calibri" w:eastAsia="Calibri" w:hAnsi="Calibri" w:cs="Calibri"/>
        </w:rPr>
        <w:t>weighted</w:t>
      </w:r>
      <w:r>
        <w:rPr>
          <w:rFonts w:ascii="Calibri" w:eastAsia="Calibri" w:hAnsi="Calibri" w:cs="Calibri"/>
        </w:rPr>
        <w:t xml:space="preserve"> </w:t>
      </w:r>
      <w:r w:rsidR="00875EDE">
        <w:rPr>
          <w:rFonts w:ascii="Calibri" w:eastAsia="Calibri" w:hAnsi="Calibri" w:cs="Calibri"/>
        </w:rPr>
        <w:t xml:space="preserve">coal supply </w:t>
      </w:r>
      <w:r w:rsidR="000A318F">
        <w:rPr>
          <w:rFonts w:ascii="Calibri" w:eastAsia="Calibri" w:hAnsi="Calibri" w:cs="Calibri"/>
        </w:rPr>
        <w:t>in year</w:t>
      </w:r>
      <w:r>
        <w:rPr>
          <w:rFonts w:ascii="Calibri" w:eastAsia="Calibri" w:hAnsi="Calibri" w:cs="Calibri"/>
        </w:rPr>
        <w:t xml:space="preserve"> </w:t>
      </w:r>
      <w:r>
        <w:rPr>
          <w:rFonts w:ascii="Calibri" w:eastAsia="Calibri" w:hAnsi="Calibri" w:cs="Calibri"/>
          <w:i/>
        </w:rPr>
        <w:t>t</w:t>
      </w:r>
      <w:r w:rsidR="00AE3197">
        <w:rPr>
          <w:rFonts w:ascii="Calibri" w:eastAsia="Calibri" w:hAnsi="Calibri" w:cs="Calibri"/>
          <w:i/>
        </w:rPr>
        <w:t>:</w:t>
      </w:r>
    </w:p>
    <w:p w14:paraId="3279C70F" w14:textId="33C69F29" w:rsidR="000A318F" w:rsidRDefault="000A318F" w:rsidP="000A318F">
      <w:pPr>
        <w:jc w:val="center"/>
        <w:rPr>
          <w:rFonts w:ascii="Calibri" w:eastAsia="Calibri" w:hAnsi="Calibri" w:cs="Calibri"/>
        </w:rPr>
      </w:pPr>
      <w:r>
        <w:rPr>
          <w:rFonts w:ascii="Calibri" w:eastAsia="Calibri" w:hAnsi="Calibri" w:cs="Calibri"/>
          <w:i/>
        </w:rPr>
        <w:t xml:space="preserve">WeightedCoalSupply (t) = </w:t>
      </w:r>
      <w:proofErr w:type="gramStart"/>
      <w:r>
        <w:rPr>
          <w:rFonts w:ascii="Calibri" w:eastAsia="Calibri" w:hAnsi="Calibri" w:cs="Calibri"/>
          <w:i/>
        </w:rPr>
        <w:t>CoalSupply(</w:t>
      </w:r>
      <w:proofErr w:type="gramEnd"/>
      <w:r>
        <w:rPr>
          <w:rFonts w:ascii="Calibri" w:eastAsia="Calibri" w:hAnsi="Calibri" w:cs="Calibri"/>
          <w:i/>
        </w:rPr>
        <w:t>HiGrade,t)xP</w:t>
      </w:r>
      <w:r w:rsidRPr="0060724C">
        <w:rPr>
          <w:rFonts w:ascii="Calibri" w:hAnsi="Calibri"/>
          <w:i/>
          <w:vertAlign w:val="subscript"/>
        </w:rPr>
        <w:t>0</w:t>
      </w:r>
      <w:r>
        <w:rPr>
          <w:rFonts w:ascii="Calibri" w:eastAsia="Calibri" w:hAnsi="Calibri" w:cs="Calibri"/>
          <w:i/>
        </w:rPr>
        <w:t>(HiGrade)+</w:t>
      </w:r>
      <w:r w:rsidRPr="000A318F">
        <w:rPr>
          <w:rFonts w:ascii="Calibri" w:eastAsia="Calibri" w:hAnsi="Calibri" w:cs="Calibri"/>
          <w:i/>
        </w:rPr>
        <w:t xml:space="preserve"> </w:t>
      </w:r>
      <w:r>
        <w:rPr>
          <w:rFonts w:ascii="Calibri" w:eastAsia="Calibri" w:hAnsi="Calibri" w:cs="Calibri"/>
          <w:i/>
        </w:rPr>
        <w:t>CoalSupply(LoGrade,t)xP</w:t>
      </w:r>
      <w:r w:rsidRPr="0060724C">
        <w:rPr>
          <w:rFonts w:ascii="Calibri" w:hAnsi="Calibri"/>
          <w:i/>
          <w:vertAlign w:val="subscript"/>
        </w:rPr>
        <w:t>0</w:t>
      </w:r>
      <w:r>
        <w:rPr>
          <w:rFonts w:ascii="Calibri" w:eastAsia="Calibri" w:hAnsi="Calibri" w:cs="Calibri"/>
          <w:i/>
        </w:rPr>
        <w:t>(LoGrade),</w:t>
      </w:r>
    </w:p>
    <w:p w14:paraId="3D5783A1" w14:textId="2494E687" w:rsidR="00F371F3" w:rsidRDefault="00AE3197" w:rsidP="00F371F3">
      <w:pPr>
        <w:rPr>
          <w:rFonts w:ascii="Calibri" w:eastAsia="Calibri" w:hAnsi="Calibri" w:cs="Calibri"/>
        </w:rPr>
      </w:pPr>
      <w:proofErr w:type="gramStart"/>
      <w:r>
        <w:rPr>
          <w:rFonts w:ascii="Calibri" w:eastAsia="Calibri" w:hAnsi="Calibri" w:cs="Calibri"/>
        </w:rPr>
        <w:t xml:space="preserve">where  </w:t>
      </w:r>
      <w:r w:rsidR="000A318F" w:rsidRPr="0060724C">
        <w:rPr>
          <w:rFonts w:ascii="Calibri" w:hAnsi="Calibri"/>
          <w:i/>
        </w:rPr>
        <w:t>CoalSupply</w:t>
      </w:r>
      <w:proofErr w:type="gramEnd"/>
      <w:r w:rsidR="000A318F" w:rsidRPr="0060724C">
        <w:rPr>
          <w:rFonts w:ascii="Calibri" w:hAnsi="Calibri"/>
          <w:i/>
        </w:rPr>
        <w:t xml:space="preserve"> (Hi/Lo)</w:t>
      </w:r>
      <w:r w:rsidR="000A318F">
        <w:rPr>
          <w:rFonts w:ascii="Calibri" w:eastAsia="Calibri" w:hAnsi="Calibri" w:cs="Calibri"/>
        </w:rPr>
        <w:t xml:space="preserve"> are the observed total supply of </w:t>
      </w:r>
      <w:r w:rsidR="003245F3">
        <w:rPr>
          <w:rFonts w:ascii="Calibri" w:eastAsia="Calibri" w:hAnsi="Calibri" w:cs="Calibri"/>
        </w:rPr>
        <w:t>high- and low-grade</w:t>
      </w:r>
      <w:r w:rsidR="000A318F">
        <w:rPr>
          <w:rFonts w:ascii="Calibri" w:eastAsia="Calibri" w:hAnsi="Calibri" w:cs="Calibri"/>
        </w:rPr>
        <w:t xml:space="preserve"> coal in SATIM, and </w:t>
      </w:r>
      <w:r w:rsidR="000A318F" w:rsidRPr="0060724C">
        <w:rPr>
          <w:rFonts w:ascii="Calibri" w:hAnsi="Calibri"/>
          <w:i/>
        </w:rPr>
        <w:t>P</w:t>
      </w:r>
      <w:r w:rsidR="000A318F" w:rsidRPr="0060724C">
        <w:rPr>
          <w:rFonts w:ascii="Calibri" w:hAnsi="Calibri"/>
          <w:i/>
          <w:vertAlign w:val="subscript"/>
        </w:rPr>
        <w:t>0</w:t>
      </w:r>
      <w:r w:rsidR="000A318F" w:rsidRPr="0060724C">
        <w:rPr>
          <w:rFonts w:ascii="Calibri" w:hAnsi="Calibri"/>
          <w:i/>
        </w:rPr>
        <w:t>(Hi/Lo)</w:t>
      </w:r>
      <w:r w:rsidR="000A318F">
        <w:rPr>
          <w:rFonts w:ascii="Calibri" w:eastAsia="Calibri" w:hAnsi="Calibri" w:cs="Calibri"/>
        </w:rPr>
        <w:t xml:space="preserve"> are the base-year coal prices in eSAGE.</w:t>
      </w:r>
    </w:p>
    <w:p w14:paraId="4E956487" w14:textId="370FC5C6" w:rsidR="00F371F3" w:rsidRDefault="00F371F3" w:rsidP="00F371F3">
      <w:pPr>
        <w:rPr>
          <w:rFonts w:ascii="Calibri" w:eastAsia="Calibri" w:hAnsi="Calibri" w:cs="Calibri"/>
        </w:rPr>
      </w:pPr>
      <w:r>
        <w:rPr>
          <w:rFonts w:ascii="Calibri" w:eastAsia="Calibri" w:hAnsi="Calibri" w:cs="Calibri"/>
        </w:rPr>
        <w:t xml:space="preserve">For the models to be aligned, the base year </w:t>
      </w:r>
      <w:r w:rsidR="00AE3197">
        <w:rPr>
          <w:rFonts w:ascii="Calibri" w:eastAsia="Calibri" w:hAnsi="Calibri" w:cs="Calibri"/>
        </w:rPr>
        <w:t xml:space="preserve">annualized </w:t>
      </w:r>
      <w:r>
        <w:rPr>
          <w:rFonts w:ascii="Calibri" w:eastAsia="Calibri" w:hAnsi="Calibri" w:cs="Calibri"/>
        </w:rPr>
        <w:t>investment cost</w:t>
      </w:r>
      <w:r w:rsidR="00AE3197">
        <w:rPr>
          <w:rFonts w:ascii="Calibri" w:eastAsia="Calibri" w:hAnsi="Calibri" w:cs="Calibri"/>
        </w:rPr>
        <w:t xml:space="preserve"> is</w:t>
      </w:r>
      <w:r>
        <w:rPr>
          <w:rFonts w:ascii="Calibri" w:eastAsia="Calibri" w:hAnsi="Calibri" w:cs="Calibri"/>
        </w:rPr>
        <w:t xml:space="preserve"> </w:t>
      </w:r>
      <w:r w:rsidRPr="0060724C">
        <w:rPr>
          <w:rFonts w:ascii="Calibri" w:hAnsi="Calibri"/>
          <w:i/>
        </w:rPr>
        <w:t>AElcInvCost(t</w:t>
      </w:r>
      <w:r w:rsidRPr="0060724C">
        <w:rPr>
          <w:rFonts w:ascii="Calibri" w:hAnsi="Calibri"/>
          <w:i/>
          <w:vertAlign w:val="subscript"/>
        </w:rPr>
        <w:t>0</w:t>
      </w:r>
      <w:r w:rsidRPr="0060724C">
        <w:rPr>
          <w:rFonts w:ascii="Calibri" w:hAnsi="Calibri"/>
          <w:i/>
        </w:rPr>
        <w:t>),</w:t>
      </w:r>
      <w:r>
        <w:rPr>
          <w:rFonts w:ascii="Calibri" w:eastAsia="Calibri" w:hAnsi="Calibri" w:cs="Calibri"/>
        </w:rPr>
        <w:t xml:space="preserve"> which does</w:t>
      </w:r>
      <w:r w:rsidR="00AE3197">
        <w:rPr>
          <w:rFonts w:ascii="Calibri" w:eastAsia="Calibri" w:hAnsi="Calibri" w:cs="Calibri"/>
        </w:rPr>
        <w:t xml:space="preserve"> </w:t>
      </w:r>
      <w:r>
        <w:rPr>
          <w:rFonts w:ascii="Calibri" w:eastAsia="Calibri" w:hAnsi="Calibri" w:cs="Calibri"/>
        </w:rPr>
        <w:t>n</w:t>
      </w:r>
      <w:r w:rsidR="00AE3197">
        <w:rPr>
          <w:rFonts w:ascii="Calibri" w:eastAsia="Calibri" w:hAnsi="Calibri" w:cs="Calibri"/>
        </w:rPr>
        <w:t>o</w:t>
      </w:r>
      <w:r>
        <w:rPr>
          <w:rFonts w:ascii="Calibri" w:eastAsia="Calibri" w:hAnsi="Calibri" w:cs="Calibri"/>
        </w:rPr>
        <w:t>t affect the optimization in SATIM (as it</w:t>
      </w:r>
      <w:r w:rsidR="00AE3197">
        <w:rPr>
          <w:rFonts w:ascii="Calibri" w:eastAsia="Calibri" w:hAnsi="Calibri" w:cs="Calibri"/>
        </w:rPr>
        <w:t xml:space="preserve"> i</w:t>
      </w:r>
      <w:r>
        <w:rPr>
          <w:rFonts w:ascii="Calibri" w:eastAsia="Calibri" w:hAnsi="Calibri" w:cs="Calibri"/>
        </w:rPr>
        <w:t xml:space="preserve">s already sunk capital), </w:t>
      </w:r>
      <w:r w:rsidR="00AE3197">
        <w:rPr>
          <w:rFonts w:ascii="Calibri" w:eastAsia="Calibri" w:hAnsi="Calibri" w:cs="Calibri"/>
        </w:rPr>
        <w:t xml:space="preserve">and </w:t>
      </w:r>
      <w:r>
        <w:rPr>
          <w:rFonts w:ascii="Calibri" w:eastAsia="Calibri" w:hAnsi="Calibri" w:cs="Calibri"/>
        </w:rPr>
        <w:t xml:space="preserve">needs to be scaled to be equal to </w:t>
      </w:r>
      <w:r w:rsidRPr="0060724C">
        <w:rPr>
          <w:rFonts w:ascii="Calibri" w:hAnsi="Calibri"/>
          <w:i/>
        </w:rPr>
        <w:t>qf(capital,elc,t</w:t>
      </w:r>
      <w:r w:rsidRPr="0060724C">
        <w:rPr>
          <w:rFonts w:ascii="Calibri" w:hAnsi="Calibri"/>
          <w:i/>
          <w:vertAlign w:val="subscript"/>
        </w:rPr>
        <w:t>0</w:t>
      </w:r>
      <w:r w:rsidRPr="0060724C">
        <w:rPr>
          <w:rFonts w:ascii="Calibri" w:hAnsi="Calibri"/>
          <w:i/>
        </w:rPr>
        <w:t>)</w:t>
      </w:r>
      <w:r w:rsidR="00AE3197">
        <w:rPr>
          <w:rFonts w:ascii="Calibri" w:hAnsi="Calibri"/>
          <w:i/>
        </w:rPr>
        <w:t>,</w:t>
      </w:r>
      <w:r>
        <w:rPr>
          <w:rFonts w:ascii="Calibri" w:eastAsia="Calibri" w:hAnsi="Calibri" w:cs="Calibri"/>
        </w:rPr>
        <w:t xml:space="preserve"> as observed in the SAM, as part of the calibration process.</w:t>
      </w:r>
    </w:p>
    <w:p w14:paraId="5FE918AE" w14:textId="73230203" w:rsidR="00F371F3" w:rsidRDefault="00F371F3" w:rsidP="00F371F3">
      <w:pPr>
        <w:rPr>
          <w:rFonts w:ascii="Calibri" w:eastAsia="Calibri" w:hAnsi="Calibri" w:cs="Calibri"/>
        </w:rPr>
      </w:pPr>
      <w:r>
        <w:rPr>
          <w:rFonts w:ascii="Calibri" w:eastAsia="Calibri" w:hAnsi="Calibri" w:cs="Calibri"/>
        </w:rPr>
        <w:t>For the model link to be more complete, one would ideally adjust the cost of capital (sector</w:t>
      </w:r>
      <w:r w:rsidR="00AE3197">
        <w:rPr>
          <w:rFonts w:ascii="Calibri" w:eastAsia="Calibri" w:hAnsi="Calibri" w:cs="Calibri"/>
        </w:rPr>
        <w:t>-</w:t>
      </w:r>
      <w:r>
        <w:rPr>
          <w:rFonts w:ascii="Calibri" w:eastAsia="Calibri" w:hAnsi="Calibri" w:cs="Calibri"/>
        </w:rPr>
        <w:t>specific discount rate) to be used in SATIM when calculating the annualized investment costs, based on changes in the cost of capital in eSAGE (which is endogenous).</w:t>
      </w:r>
      <w:r w:rsidR="00F81BB3">
        <w:rPr>
          <w:rFonts w:ascii="Calibri" w:eastAsia="Calibri" w:hAnsi="Calibri" w:cs="Calibri"/>
        </w:rPr>
        <w:t xml:space="preserve"> However, in the scenarios considered here, we observed that the cost of capital in eSAGE did not fluctuate enough in order to justify this link.</w:t>
      </w:r>
    </w:p>
    <w:p w14:paraId="378BCA08" w14:textId="21111910" w:rsidR="0009298A" w:rsidRPr="003245F3" w:rsidRDefault="0009298A" w:rsidP="003245F3">
      <w:pPr>
        <w:pStyle w:val="Heading2"/>
        <w:numPr>
          <w:ilvl w:val="2"/>
          <w:numId w:val="2"/>
        </w:numPr>
        <w:spacing w:line="276" w:lineRule="auto"/>
      </w:pPr>
      <w:r w:rsidRPr="003245F3">
        <w:t xml:space="preserve">Adjusting the labour/capital inputs of the </w:t>
      </w:r>
      <w:r w:rsidR="00AE3197" w:rsidRPr="003245F3">
        <w:t>coal</w:t>
      </w:r>
      <w:r w:rsidR="00AE3197">
        <w:t>-</w:t>
      </w:r>
      <w:r w:rsidR="00AE3197" w:rsidRPr="003245F3">
        <w:t>mining secto</w:t>
      </w:r>
      <w:r w:rsidRPr="003245F3">
        <w:t>r in eSAGE</w:t>
      </w:r>
    </w:p>
    <w:p w14:paraId="203D2B5C" w14:textId="27FB4AEA" w:rsidR="003245F3" w:rsidRPr="002677CF" w:rsidRDefault="0009298A" w:rsidP="002677CF">
      <w:r>
        <w:rPr>
          <w:rFonts w:ascii="Calibri" w:eastAsia="Calibri" w:hAnsi="Calibri" w:cs="Calibri"/>
        </w:rPr>
        <w:t>The Leontief formulation allows for adjustments to the labour and capital intensity to be made based on the mix of different mine types. However, the current dataset available is not complete enough to make those adjustments, so this is left for future work, and capital and labour intensity are kept constant over time.</w:t>
      </w:r>
      <w:r w:rsidR="00A5535E">
        <w:rPr>
          <w:rFonts w:eastAsia="Calibri"/>
          <w:color w:val="FF0000"/>
        </w:rPr>
        <w:t xml:space="preserve"> </w:t>
      </w:r>
      <w:bookmarkStart w:id="10" w:name="_fttxmu3suwqg" w:colFirst="0" w:colLast="0"/>
      <w:bookmarkEnd w:id="10"/>
    </w:p>
    <w:p w14:paraId="72FE7590" w14:textId="77777777" w:rsidR="003245F3" w:rsidRDefault="003245F3">
      <w:pPr>
        <w:spacing w:after="160" w:line="259" w:lineRule="auto"/>
        <w:jc w:val="left"/>
        <w:rPr>
          <w:rFonts w:eastAsia="Calibri" w:cs="Times New Roman"/>
          <w:b/>
          <w:bCs/>
          <w:caps/>
          <w:color w:val="FF0000"/>
          <w:sz w:val="28"/>
          <w:szCs w:val="28"/>
        </w:rPr>
      </w:pPr>
      <w:r>
        <w:rPr>
          <w:rFonts w:eastAsia="Calibri"/>
          <w:color w:val="FF0000"/>
        </w:rPr>
        <w:br w:type="page"/>
      </w:r>
    </w:p>
    <w:p w14:paraId="7076F06D" w14:textId="65B52FFA" w:rsidR="00A5535E" w:rsidRDefault="00A5535E" w:rsidP="00712C61">
      <w:pPr>
        <w:pStyle w:val="Heading1"/>
        <w:rPr>
          <w:rFonts w:eastAsia="Calibri"/>
        </w:rPr>
      </w:pPr>
      <w:r>
        <w:rPr>
          <w:rFonts w:eastAsia="Calibri"/>
        </w:rPr>
        <w:t>Scenarios and assumptions</w:t>
      </w:r>
    </w:p>
    <w:p w14:paraId="1DF27C96" w14:textId="6E75AD26" w:rsidR="00A5535E" w:rsidRDefault="00A5535E" w:rsidP="00A5535E">
      <w:pPr>
        <w:spacing w:before="200"/>
        <w:rPr>
          <w:rFonts w:ascii="Calibri" w:eastAsia="Calibri" w:hAnsi="Calibri" w:cs="Calibri"/>
        </w:rPr>
      </w:pPr>
      <w:r>
        <w:rPr>
          <w:rFonts w:ascii="Calibri" w:eastAsia="Calibri" w:hAnsi="Calibri" w:cs="Calibri"/>
        </w:rPr>
        <w:t>To assess the implications of the changes to the individual and linked models for energy planning two scenarios are considered. These are similar to those presented by Merven et al. (2018) and Hartley et al. (201</w:t>
      </w:r>
      <w:r w:rsidR="00DC3A14">
        <w:rPr>
          <w:rFonts w:ascii="Calibri" w:eastAsia="Calibri" w:hAnsi="Calibri" w:cs="Calibri"/>
        </w:rPr>
        <w:t>9b</w:t>
      </w:r>
      <w:r>
        <w:rPr>
          <w:rFonts w:ascii="Calibri" w:eastAsia="Calibri" w:hAnsi="Calibri" w:cs="Calibri"/>
        </w:rPr>
        <w:t xml:space="preserve">) using a previous version of the model. In this analysis we assess the impacts of a renewable capacity constrained and unconstrained scenario in which no climate mitigation policy is imposed on the economy (i.e. no carbon constraint is placed on the energy sector). Under the constrained renewable capacity scenario (i.e. </w:t>
      </w:r>
      <w:r w:rsidR="00263AE6" w:rsidRPr="002E796D">
        <w:rPr>
          <w:rFonts w:ascii="Calibri" w:eastAsia="Calibri" w:hAnsi="Calibri" w:cs="Calibri"/>
        </w:rPr>
        <w:t>Constrained</w:t>
      </w:r>
      <w:r>
        <w:rPr>
          <w:rFonts w:ascii="Calibri" w:eastAsia="Calibri" w:hAnsi="Calibri" w:cs="Calibri"/>
        </w:rPr>
        <w:t>), annual capacity build additions are limited to 1GW and 1.8GW for solar PV and wind power generation technologies. This is in</w:t>
      </w:r>
      <w:r w:rsidR="000C0884">
        <w:rPr>
          <w:rFonts w:ascii="Calibri" w:eastAsia="Calibri" w:hAnsi="Calibri" w:cs="Calibri"/>
        </w:rPr>
        <w:t xml:space="preserve"> </w:t>
      </w:r>
      <w:r>
        <w:rPr>
          <w:rFonts w:ascii="Calibri" w:eastAsia="Calibri" w:hAnsi="Calibri" w:cs="Calibri"/>
        </w:rPr>
        <w:t>line with the current 2019 Integrated Resource Plan (IRP) constraints (D</w:t>
      </w:r>
      <w:r w:rsidR="008A7A0F">
        <w:rPr>
          <w:rFonts w:ascii="Calibri" w:eastAsia="Calibri" w:hAnsi="Calibri" w:cs="Calibri"/>
        </w:rPr>
        <w:t>MR</w:t>
      </w:r>
      <w:r>
        <w:rPr>
          <w:rFonts w:ascii="Calibri" w:eastAsia="Calibri" w:hAnsi="Calibri" w:cs="Calibri"/>
        </w:rPr>
        <w:t xml:space="preserve">E, </w:t>
      </w:r>
      <w:r w:rsidR="00263AE6" w:rsidRPr="00263AE6">
        <w:rPr>
          <w:rFonts w:ascii="Calibri" w:eastAsia="Calibri" w:hAnsi="Calibri" w:cs="Calibri"/>
        </w:rPr>
        <w:t>2019</w:t>
      </w:r>
      <w:r>
        <w:rPr>
          <w:rFonts w:ascii="Calibri" w:eastAsia="Calibri" w:hAnsi="Calibri" w:cs="Calibri"/>
        </w:rPr>
        <w:t xml:space="preserve">). In the unconstrained renewable capacity scenario (i.e. </w:t>
      </w:r>
      <w:r w:rsidR="00263AE6" w:rsidRPr="000C0884">
        <w:rPr>
          <w:rFonts w:ascii="Calibri" w:eastAsia="Calibri" w:hAnsi="Calibri" w:cs="Calibri"/>
        </w:rPr>
        <w:t>Reference</w:t>
      </w:r>
      <w:r>
        <w:rPr>
          <w:rFonts w:ascii="Calibri" w:eastAsia="Calibri" w:hAnsi="Calibri" w:cs="Calibri"/>
        </w:rPr>
        <w:t>), these limitations are removed.</w:t>
      </w:r>
    </w:p>
    <w:p w14:paraId="02E60545" w14:textId="33808936" w:rsidR="00CD266C" w:rsidRDefault="00A5535E" w:rsidP="00CD266C">
      <w:pPr>
        <w:spacing w:before="240" w:after="240"/>
        <w:rPr>
          <w:rFonts w:ascii="Calibri" w:eastAsia="Calibri" w:hAnsi="Calibri" w:cs="Calibri"/>
        </w:rPr>
      </w:pPr>
      <w:r>
        <w:rPr>
          <w:rFonts w:ascii="Calibri" w:eastAsia="Calibri" w:hAnsi="Calibri" w:cs="Calibri"/>
        </w:rPr>
        <w:t>Most of the SATIM assumptions are aligned to those in Mc</w:t>
      </w:r>
      <w:r w:rsidR="000D7953">
        <w:rPr>
          <w:rFonts w:ascii="Calibri" w:eastAsia="Calibri" w:hAnsi="Calibri" w:cs="Calibri"/>
        </w:rPr>
        <w:t>C</w:t>
      </w:r>
      <w:r>
        <w:rPr>
          <w:rFonts w:ascii="Calibri" w:eastAsia="Calibri" w:hAnsi="Calibri" w:cs="Calibri"/>
        </w:rPr>
        <w:t>all et al</w:t>
      </w:r>
      <w:r w:rsidR="00DE3ACF">
        <w:rPr>
          <w:rFonts w:ascii="Calibri" w:eastAsia="Calibri" w:hAnsi="Calibri" w:cs="Calibri"/>
        </w:rPr>
        <w:t>. (</w:t>
      </w:r>
      <w:r>
        <w:rPr>
          <w:rFonts w:ascii="Calibri" w:eastAsia="Calibri" w:hAnsi="Calibri" w:cs="Calibri"/>
        </w:rPr>
        <w:t xml:space="preserve">2019). </w:t>
      </w:r>
      <w:r w:rsidRPr="00CD266C">
        <w:rPr>
          <w:rFonts w:ascii="Calibri" w:eastAsia="Calibri" w:hAnsi="Calibri" w:cs="Calibri"/>
        </w:rPr>
        <w:t>Coal export demand is</w:t>
      </w:r>
      <w:r w:rsidR="00CD266C">
        <w:rPr>
          <w:rFonts w:ascii="Calibri" w:eastAsia="Calibri" w:hAnsi="Calibri" w:cs="Calibri"/>
        </w:rPr>
        <w:t>, however,</w:t>
      </w:r>
      <w:r w:rsidRPr="00CD266C">
        <w:rPr>
          <w:rFonts w:ascii="Calibri" w:eastAsia="Calibri" w:hAnsi="Calibri" w:cs="Calibri"/>
        </w:rPr>
        <w:t xml:space="preserve"> assumed to remain relatively flat to 2025</w:t>
      </w:r>
      <w:r w:rsidR="000C0884">
        <w:rPr>
          <w:rFonts w:ascii="Calibri" w:eastAsia="Calibri" w:hAnsi="Calibri" w:cs="Calibri"/>
        </w:rPr>
        <w:t>,</w:t>
      </w:r>
      <w:r w:rsidRPr="00CD266C">
        <w:rPr>
          <w:rFonts w:ascii="Calibri" w:eastAsia="Calibri" w:hAnsi="Calibri" w:cs="Calibri"/>
        </w:rPr>
        <w:t xml:space="preserve"> then dropping to under 50Mton/year from that point on, as estimated by </w:t>
      </w:r>
      <w:r w:rsidR="00D76461" w:rsidRPr="00CD266C">
        <w:rPr>
          <w:rFonts w:ascii="Calibri" w:eastAsia="Calibri" w:hAnsi="Calibri" w:cs="Calibri"/>
        </w:rPr>
        <w:t>Huxham et al.</w:t>
      </w:r>
      <w:r w:rsidRPr="00CD266C">
        <w:rPr>
          <w:rFonts w:ascii="Calibri" w:eastAsia="Calibri" w:hAnsi="Calibri" w:cs="Calibri"/>
        </w:rPr>
        <w:t xml:space="preserve"> (2019) in their </w:t>
      </w:r>
      <w:r w:rsidR="00DE3ACF" w:rsidRPr="00CD266C">
        <w:rPr>
          <w:rFonts w:ascii="Calibri" w:eastAsia="Calibri" w:hAnsi="Calibri" w:cs="Calibri"/>
        </w:rPr>
        <w:t>2-degree</w:t>
      </w:r>
      <w:r w:rsidRPr="00CD266C">
        <w:rPr>
          <w:rFonts w:ascii="Calibri" w:eastAsia="Calibri" w:hAnsi="Calibri" w:cs="Calibri"/>
        </w:rPr>
        <w:t xml:space="preserve"> scenario</w:t>
      </w:r>
      <w:r w:rsidR="00351762">
        <w:rPr>
          <w:rFonts w:ascii="Calibri" w:eastAsia="Calibri" w:hAnsi="Calibri" w:cs="Calibri"/>
        </w:rPr>
        <w:t xml:space="preserve"> (derived from IEA projections)</w:t>
      </w:r>
      <w:r w:rsidRPr="00CD266C">
        <w:rPr>
          <w:rFonts w:ascii="Calibri" w:eastAsia="Calibri" w:hAnsi="Calibri" w:cs="Calibri"/>
        </w:rPr>
        <w:t xml:space="preserve">. </w:t>
      </w:r>
    </w:p>
    <w:p w14:paraId="5E59036B" w14:textId="16491DF1" w:rsidR="00A5535E" w:rsidRPr="00CD266C" w:rsidRDefault="00A5535E" w:rsidP="00CD266C">
      <w:pPr>
        <w:spacing w:before="240" w:after="240"/>
        <w:rPr>
          <w:rFonts w:ascii="Calibri" w:eastAsia="Calibri" w:hAnsi="Calibri" w:cs="Calibri"/>
        </w:rPr>
      </w:pPr>
      <w:r w:rsidRPr="00CD266C">
        <w:rPr>
          <w:rFonts w:ascii="Calibri" w:eastAsia="Calibri" w:hAnsi="Calibri" w:cs="Calibri"/>
        </w:rPr>
        <w:t xml:space="preserve">In the </w:t>
      </w:r>
      <w:r w:rsidR="00263AE6" w:rsidRPr="00CD266C">
        <w:rPr>
          <w:rFonts w:ascii="Calibri" w:eastAsia="Calibri" w:hAnsi="Calibri" w:cs="Calibri"/>
        </w:rPr>
        <w:t>R</w:t>
      </w:r>
      <w:r w:rsidRPr="00CD266C">
        <w:rPr>
          <w:rFonts w:ascii="Calibri" w:eastAsia="Calibri" w:hAnsi="Calibri" w:cs="Calibri"/>
        </w:rPr>
        <w:t xml:space="preserve">eference scenario, real GDP growth in the CGE model is targeted to meet actual growth between 2012 and 2017, whilst growth between 2018 and 2022 </w:t>
      </w:r>
      <w:r w:rsidR="000C0884">
        <w:rPr>
          <w:rFonts w:ascii="Calibri" w:eastAsia="Calibri" w:hAnsi="Calibri" w:cs="Calibri"/>
        </w:rPr>
        <w:t>is</w:t>
      </w:r>
      <w:r w:rsidR="000C0884" w:rsidRPr="00CD266C">
        <w:rPr>
          <w:rFonts w:ascii="Calibri" w:eastAsia="Calibri" w:hAnsi="Calibri" w:cs="Calibri"/>
        </w:rPr>
        <w:t xml:space="preserve"> </w:t>
      </w:r>
      <w:r w:rsidRPr="00CD266C">
        <w:rPr>
          <w:rFonts w:ascii="Calibri" w:eastAsia="Calibri" w:hAnsi="Calibri" w:cs="Calibri"/>
        </w:rPr>
        <w:t>based on projections from the 2018 Medium-Term Policy Statement (National Treasury, 2018) and October 2018 World Economic Outlook (I</w:t>
      </w:r>
      <w:r w:rsidR="00520830" w:rsidRPr="00CD266C">
        <w:rPr>
          <w:rFonts w:ascii="Calibri" w:eastAsia="Calibri" w:hAnsi="Calibri" w:cs="Calibri"/>
        </w:rPr>
        <w:t>MF</w:t>
      </w:r>
      <w:r w:rsidRPr="00CD266C">
        <w:rPr>
          <w:rFonts w:ascii="Calibri" w:eastAsia="Calibri" w:hAnsi="Calibri" w:cs="Calibri"/>
        </w:rPr>
        <w:t xml:space="preserve">, 2018). </w:t>
      </w:r>
      <w:r w:rsidR="000C0884" w:rsidRPr="00CD266C">
        <w:rPr>
          <w:rFonts w:ascii="Calibri" w:eastAsia="Calibri" w:hAnsi="Calibri" w:cs="Calibri"/>
        </w:rPr>
        <w:t>Longer</w:t>
      </w:r>
      <w:r w:rsidR="000C0884">
        <w:rPr>
          <w:rFonts w:ascii="Calibri" w:eastAsia="Calibri" w:hAnsi="Calibri" w:cs="Calibri"/>
        </w:rPr>
        <w:t>-</w:t>
      </w:r>
      <w:r w:rsidRPr="00CD266C">
        <w:rPr>
          <w:rFonts w:ascii="Calibri" w:eastAsia="Calibri" w:hAnsi="Calibri" w:cs="Calibri"/>
        </w:rPr>
        <w:t>term growth projects are aligned to meet the Department of Energy’s planning growth rate of ~3.0% to 2050. The structure of the economy does not shift dramatically although the share of mining in</w:t>
      </w:r>
      <w:r w:rsidR="000C0884" w:rsidRPr="00CD266C">
        <w:rPr>
          <w:rFonts w:ascii="Calibri" w:eastAsia="Calibri" w:hAnsi="Calibri" w:cs="Calibri"/>
        </w:rPr>
        <w:t xml:space="preserve"> gross value adde</w:t>
      </w:r>
      <w:r w:rsidRPr="00CD266C">
        <w:rPr>
          <w:rFonts w:ascii="Calibri" w:eastAsia="Calibri" w:hAnsi="Calibri" w:cs="Calibri"/>
        </w:rPr>
        <w:t xml:space="preserve">d (GVA) decreases, while manufacturing and services increase marginally. The supply of labour is assumed to increase in line with population growth (~0.56%, UNEP 2016), although upward sloping labour supply curves are assumed for all skill categories, given the long-term nature of the analysis. Government spending and foreign savings increase by 3% per annum, although the increase in foreign savings decreases over time as debt is repaid. Total factor productivity is adjusted in the reference case to reach the real GDP growth forecasts discussed above. The macroeconomic closures included are aligned to the stylized facts for South Africa; it is assumed that investment is driven by the total level of savings in the economy, investment and government expenditure are however fixed shares of absorption resulting in a balanced savings-investment closure; government savings are flexible, and no fiscal rule is imposed; and the exchange rate is flexible. Existing capital is assumed to be </w:t>
      </w:r>
      <w:r w:rsidR="000D7953" w:rsidRPr="00CD266C">
        <w:rPr>
          <w:rFonts w:ascii="Calibri" w:eastAsia="Calibri" w:hAnsi="Calibri" w:cs="Calibri"/>
        </w:rPr>
        <w:t>fully employed</w:t>
      </w:r>
      <w:r w:rsidRPr="00CD266C">
        <w:rPr>
          <w:rFonts w:ascii="Calibri" w:eastAsia="Calibri" w:hAnsi="Calibri" w:cs="Calibri"/>
        </w:rPr>
        <w:t xml:space="preserve"> and activity specific.</w:t>
      </w:r>
    </w:p>
    <w:p w14:paraId="1A41EB6D" w14:textId="77777777" w:rsidR="00202EE7" w:rsidRDefault="00202EE7">
      <w:pPr>
        <w:spacing w:after="160" w:line="259" w:lineRule="auto"/>
        <w:jc w:val="left"/>
        <w:rPr>
          <w:rFonts w:eastAsia="Calibri" w:cs="Times New Roman"/>
          <w:b/>
          <w:bCs/>
          <w:caps/>
          <w:color w:val="538135" w:themeColor="accent6" w:themeShade="BF"/>
          <w:sz w:val="28"/>
          <w:szCs w:val="28"/>
        </w:rPr>
      </w:pPr>
      <w:r>
        <w:rPr>
          <w:rFonts w:eastAsia="Calibri"/>
        </w:rPr>
        <w:br w:type="page"/>
      </w:r>
    </w:p>
    <w:p w14:paraId="17E4FF08" w14:textId="425D8EF4" w:rsidR="00A5535E" w:rsidRPr="00712C61" w:rsidRDefault="00A5535E" w:rsidP="00712C61">
      <w:pPr>
        <w:pStyle w:val="Heading1"/>
        <w:rPr>
          <w:rFonts w:eastAsia="Calibri"/>
        </w:rPr>
      </w:pPr>
      <w:r w:rsidRPr="00712C61">
        <w:rPr>
          <w:rFonts w:eastAsia="Calibri"/>
        </w:rPr>
        <w:t>Results</w:t>
      </w:r>
    </w:p>
    <w:p w14:paraId="4718A39B" w14:textId="2D168A9B" w:rsidR="00A5535E" w:rsidRDefault="00486285" w:rsidP="000C5000">
      <w:pPr>
        <w:pStyle w:val="Heading2"/>
        <w:rPr>
          <w:rFonts w:eastAsia="Calibri"/>
        </w:rPr>
      </w:pPr>
      <w:bookmarkStart w:id="11" w:name="_udw1lteeu28m" w:colFirst="0" w:colLast="0"/>
      <w:bookmarkEnd w:id="11"/>
      <w:r>
        <w:rPr>
          <w:rFonts w:eastAsia="Calibri"/>
        </w:rPr>
        <w:t>Power capacity and production</w:t>
      </w:r>
    </w:p>
    <w:p w14:paraId="34206A59" w14:textId="2BD8AF79" w:rsidR="00C0750E" w:rsidRDefault="000C5000" w:rsidP="00C0750E">
      <w:pPr>
        <w:rPr>
          <w:rFonts w:ascii="Calibri" w:eastAsia="Calibri" w:hAnsi="Calibri" w:cs="Calibri"/>
        </w:rPr>
      </w:pPr>
      <w:r w:rsidRPr="000C5000">
        <w:rPr>
          <w:rFonts w:ascii="Calibri" w:eastAsia="Calibri" w:hAnsi="Calibri" w:cs="Calibri"/>
        </w:rPr>
        <w:t>Figure 7 shows the projected peak demand and total installed capacity for the two scenarios considered</w:t>
      </w:r>
      <w:r w:rsidR="000C0884">
        <w:rPr>
          <w:rFonts w:ascii="Calibri" w:eastAsia="Calibri" w:hAnsi="Calibri" w:cs="Calibri"/>
        </w:rPr>
        <w:t>,</w:t>
      </w:r>
      <w:r w:rsidRPr="000C5000">
        <w:rPr>
          <w:rFonts w:ascii="Calibri" w:eastAsia="Calibri" w:hAnsi="Calibri" w:cs="Calibri"/>
        </w:rPr>
        <w:t xml:space="preserve"> and Figure 8 new annual capacity additions. Whereas in the Reference case we see no new coal, we see around 25 GW of new coal when we constrain PV and </w:t>
      </w:r>
      <w:r w:rsidR="000C0884">
        <w:rPr>
          <w:rFonts w:ascii="Calibri" w:eastAsia="Calibri" w:hAnsi="Calibri" w:cs="Calibri"/>
        </w:rPr>
        <w:t>w</w:t>
      </w:r>
      <w:r w:rsidR="000C0884" w:rsidRPr="000C5000">
        <w:rPr>
          <w:rFonts w:ascii="Calibri" w:eastAsia="Calibri" w:hAnsi="Calibri" w:cs="Calibri"/>
        </w:rPr>
        <w:t>ind</w:t>
      </w:r>
      <w:r w:rsidRPr="000C5000">
        <w:rPr>
          <w:rFonts w:ascii="Calibri" w:eastAsia="Calibri" w:hAnsi="Calibri" w:cs="Calibri"/>
        </w:rPr>
        <w:t xml:space="preserve">, mostly coming online after 2030. </w:t>
      </w:r>
      <w:r w:rsidR="00A20568">
        <w:rPr>
          <w:rFonts w:ascii="Calibri" w:eastAsia="Calibri" w:hAnsi="Calibri" w:cs="Calibri"/>
        </w:rPr>
        <w:t>Figure 9</w:t>
      </w:r>
      <w:r w:rsidRPr="000C5000">
        <w:rPr>
          <w:rFonts w:ascii="Calibri" w:eastAsia="Calibri" w:hAnsi="Calibri" w:cs="Calibri"/>
        </w:rPr>
        <w:t xml:space="preserve"> shows the timing of the retirement of the existing coal plants in both scenarios and the coal additions in the Constrained </w:t>
      </w:r>
      <w:r w:rsidR="000C0884">
        <w:rPr>
          <w:rFonts w:ascii="Calibri" w:eastAsia="Calibri" w:hAnsi="Calibri" w:cs="Calibri"/>
        </w:rPr>
        <w:t>s</w:t>
      </w:r>
      <w:r w:rsidR="000C0884" w:rsidRPr="000C5000">
        <w:rPr>
          <w:rFonts w:ascii="Calibri" w:eastAsia="Calibri" w:hAnsi="Calibri" w:cs="Calibri"/>
        </w:rPr>
        <w:t>cenario</w:t>
      </w:r>
      <w:r w:rsidR="000C0884">
        <w:rPr>
          <w:rFonts w:ascii="Calibri" w:eastAsia="Calibri" w:hAnsi="Calibri" w:cs="Calibri"/>
        </w:rPr>
        <w:t>,</w:t>
      </w:r>
      <w:r w:rsidR="000C0884" w:rsidRPr="000C5000">
        <w:rPr>
          <w:rFonts w:ascii="Calibri" w:eastAsia="Calibri" w:hAnsi="Calibri" w:cs="Calibri"/>
        </w:rPr>
        <w:t xml:space="preserve"> </w:t>
      </w:r>
      <w:r w:rsidRPr="000C5000">
        <w:rPr>
          <w:rFonts w:ascii="Calibri" w:eastAsia="Calibri" w:hAnsi="Calibri" w:cs="Calibri"/>
        </w:rPr>
        <w:t xml:space="preserve">and Table 3 shows which existing plants get refurbished in order to meet the MES regulation. In the Constrained </w:t>
      </w:r>
      <w:r w:rsidR="000C0884">
        <w:rPr>
          <w:rFonts w:ascii="Calibri" w:eastAsia="Calibri" w:hAnsi="Calibri" w:cs="Calibri"/>
        </w:rPr>
        <w:t>s</w:t>
      </w:r>
      <w:r w:rsidR="000C0884" w:rsidRPr="000C5000">
        <w:rPr>
          <w:rFonts w:ascii="Calibri" w:eastAsia="Calibri" w:hAnsi="Calibri" w:cs="Calibri"/>
        </w:rPr>
        <w:t xml:space="preserve">cenario </w:t>
      </w:r>
      <w:r w:rsidRPr="000C5000">
        <w:rPr>
          <w:rFonts w:ascii="Calibri" w:eastAsia="Calibri" w:hAnsi="Calibri" w:cs="Calibri"/>
        </w:rPr>
        <w:t>we see Majuba Wet, an extra unit at Kendal and Lethabo being refurbished compared to the Reference, which also sees the refurbishments of Matla, Duvha, Matimba, and Tutuk</w:t>
      </w:r>
      <w:r w:rsidR="00A20568">
        <w:rPr>
          <w:rFonts w:ascii="Calibri" w:eastAsia="Calibri" w:hAnsi="Calibri" w:cs="Calibri"/>
        </w:rPr>
        <w:t>a.</w:t>
      </w:r>
    </w:p>
    <w:p w14:paraId="1B5C8BD5" w14:textId="77777777" w:rsidR="00202EE7" w:rsidRDefault="00202EE7" w:rsidP="00C0750E">
      <w:pPr>
        <w:rPr>
          <w:rFonts w:ascii="Calibri" w:eastAsia="Calibri" w:hAnsi="Calibri" w:cs="Calibri"/>
        </w:rPr>
      </w:pPr>
    </w:p>
    <w:p w14:paraId="3FC42793" w14:textId="44E7B0B2" w:rsidR="00F640E3" w:rsidRDefault="000E070E" w:rsidP="00A20568">
      <w:pPr>
        <w:keepNext/>
        <w:jc w:val="center"/>
      </w:pPr>
      <w:r>
        <w:rPr>
          <w:noProof/>
        </w:rPr>
        <w:drawing>
          <wp:inline distT="0" distB="0" distL="0" distR="0" wp14:anchorId="5FB674B0" wp14:editId="07FB3AD5">
            <wp:extent cx="6172722" cy="31799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722" cy="3179928"/>
                    </a:xfrm>
                    <a:prstGeom prst="rect">
                      <a:avLst/>
                    </a:prstGeom>
                  </pic:spPr>
                </pic:pic>
              </a:graphicData>
            </a:graphic>
          </wp:inline>
        </w:drawing>
      </w:r>
    </w:p>
    <w:p w14:paraId="2D758BBF" w14:textId="0F916249" w:rsidR="00A20568" w:rsidRDefault="00F640E3" w:rsidP="00A20568">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7</w:t>
      </w:r>
      <w:r>
        <w:fldChar w:fldCharType="end"/>
      </w:r>
      <w:r w:rsidR="000C0884">
        <w:t>:</w:t>
      </w:r>
      <w:r>
        <w:t xml:space="preserve"> Comparison of </w:t>
      </w:r>
      <w:r w:rsidR="000C0884">
        <w:t>electricity sector ca</w:t>
      </w:r>
      <w:r>
        <w:t>pacity</w:t>
      </w:r>
    </w:p>
    <w:p w14:paraId="69F8C6EA" w14:textId="5F2BC6C6" w:rsidR="00A20568" w:rsidRDefault="00A20568" w:rsidP="00A20568">
      <w:pPr>
        <w:pStyle w:val="Caption"/>
        <w:spacing w:before="0" w:after="240"/>
        <w:jc w:val="center"/>
      </w:pPr>
      <w:r>
        <w:rPr>
          <w:noProof/>
        </w:rPr>
        <w:drawing>
          <wp:inline distT="0" distB="0" distL="0" distR="0" wp14:anchorId="352B3C75" wp14:editId="45D88EEA">
            <wp:extent cx="5915628" cy="3384645"/>
            <wp:effectExtent l="0" t="0" r="9525"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516" cy="3386870"/>
                    </a:xfrm>
                    <a:prstGeom prst="rect">
                      <a:avLst/>
                    </a:prstGeom>
                  </pic:spPr>
                </pic:pic>
              </a:graphicData>
            </a:graphic>
          </wp:inline>
        </w:drawing>
      </w:r>
    </w:p>
    <w:p w14:paraId="07F3F5D9" w14:textId="7A57AB2A" w:rsidR="00A20568" w:rsidRDefault="00A20568" w:rsidP="00A20568">
      <w:pPr>
        <w:pStyle w:val="Caption"/>
        <w:spacing w:before="0" w:after="240"/>
        <w:jc w:val="center"/>
      </w:pPr>
      <w:bookmarkStart w:id="12" w:name="_Ref22720587"/>
      <w:r>
        <w:t xml:space="preserve">Figure </w:t>
      </w:r>
      <w:r>
        <w:fldChar w:fldCharType="begin"/>
      </w:r>
      <w:r>
        <w:instrText xml:space="preserve"> SEQ Figure \* ARABIC </w:instrText>
      </w:r>
      <w:r>
        <w:fldChar w:fldCharType="separate"/>
      </w:r>
      <w:r w:rsidR="00CD6E58">
        <w:rPr>
          <w:noProof/>
        </w:rPr>
        <w:t>8</w:t>
      </w:r>
      <w:r>
        <w:fldChar w:fldCharType="end"/>
      </w:r>
      <w:bookmarkEnd w:id="12"/>
      <w:r w:rsidR="000C0884">
        <w:t>:</w:t>
      </w:r>
      <w:r>
        <w:t xml:space="preserve"> Annua</w:t>
      </w:r>
      <w:r w:rsidR="000C0884">
        <w:t>l new capacity additions</w:t>
      </w:r>
    </w:p>
    <w:p w14:paraId="230A4233" w14:textId="77777777" w:rsidR="002677CF" w:rsidRPr="002677CF" w:rsidRDefault="002677CF" w:rsidP="002677CF"/>
    <w:p w14:paraId="3DC16493" w14:textId="386A270E" w:rsidR="00F640E3" w:rsidRDefault="00F640E3" w:rsidP="00F640E3">
      <w:pPr>
        <w:keepNext/>
      </w:pPr>
      <w:r>
        <w:rPr>
          <w:noProof/>
        </w:rPr>
        <w:drawing>
          <wp:inline distT="0" distB="0" distL="0" distR="0" wp14:anchorId="33C1885D" wp14:editId="070CBF7C">
            <wp:extent cx="5976122" cy="3179929"/>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660" cy="3180747"/>
                    </a:xfrm>
                    <a:prstGeom prst="rect">
                      <a:avLst/>
                    </a:prstGeom>
                  </pic:spPr>
                </pic:pic>
              </a:graphicData>
            </a:graphic>
          </wp:inline>
        </w:drawing>
      </w:r>
    </w:p>
    <w:p w14:paraId="38A4361A" w14:textId="07D12DFB" w:rsidR="00C0750E" w:rsidRDefault="00F640E3" w:rsidP="003D0196">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9</w:t>
      </w:r>
      <w:r>
        <w:fldChar w:fldCharType="end"/>
      </w:r>
      <w:r w:rsidR="000C0884">
        <w:t>:</w:t>
      </w:r>
      <w:r>
        <w:t xml:space="preserve"> Comparison o</w:t>
      </w:r>
      <w:r w:rsidR="000C0884">
        <w:t>f coal capacit</w:t>
      </w:r>
      <w:r>
        <w:t>y</w:t>
      </w:r>
    </w:p>
    <w:p w14:paraId="097B9537" w14:textId="77777777" w:rsidR="00202EE7" w:rsidRDefault="00202EE7">
      <w:pPr>
        <w:spacing w:after="160" w:line="259" w:lineRule="auto"/>
        <w:jc w:val="left"/>
        <w:rPr>
          <w:b/>
          <w:i/>
          <w:iCs/>
          <w:color w:val="44546A" w:themeColor="text2"/>
          <w:szCs w:val="18"/>
        </w:rPr>
      </w:pPr>
      <w:r>
        <w:br w:type="page"/>
      </w:r>
    </w:p>
    <w:p w14:paraId="70F51BB7" w14:textId="49406461" w:rsidR="00202EE7" w:rsidRDefault="00202EE7" w:rsidP="00202EE7">
      <w:pPr>
        <w:pStyle w:val="Caption"/>
        <w:keepNext/>
        <w:spacing w:after="0"/>
      </w:pPr>
      <w:r>
        <w:t xml:space="preserve">Table </w:t>
      </w:r>
      <w:r>
        <w:fldChar w:fldCharType="begin"/>
      </w:r>
      <w:r>
        <w:instrText xml:space="preserve"> SEQ Table \* ARABIC </w:instrText>
      </w:r>
      <w:r>
        <w:fldChar w:fldCharType="separate"/>
      </w:r>
      <w:r w:rsidR="00CD6E58">
        <w:rPr>
          <w:noProof/>
        </w:rPr>
        <w:t>3</w:t>
      </w:r>
      <w:r>
        <w:fldChar w:fldCharType="end"/>
      </w:r>
      <w:r>
        <w:t xml:space="preserve"> </w:t>
      </w:r>
      <w:r w:rsidRPr="003D0196">
        <w:t xml:space="preserve">Selected </w:t>
      </w:r>
      <w:r w:rsidR="0060724C">
        <w:t>c</w:t>
      </w:r>
      <w:r w:rsidRPr="003D0196">
        <w:t xml:space="preserve">oal </w:t>
      </w:r>
      <w:r w:rsidR="0060724C">
        <w:t>MES retrofits</w:t>
      </w:r>
    </w:p>
    <w:tbl>
      <w:tblPr>
        <w:tblStyle w:val="GridTable1Light-Accent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854"/>
        <w:gridCol w:w="789"/>
        <w:gridCol w:w="892"/>
        <w:gridCol w:w="707"/>
        <w:gridCol w:w="751"/>
        <w:gridCol w:w="1038"/>
        <w:gridCol w:w="923"/>
      </w:tblGrid>
      <w:tr w:rsidR="002F61BF" w:rsidRPr="002677CF" w14:paraId="6E377A45" w14:textId="77777777" w:rsidTr="000C088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44546A" w:themeFill="text2"/>
            <w:vAlign w:val="center"/>
          </w:tcPr>
          <w:p w14:paraId="678F742D" w14:textId="331C4F22" w:rsidR="000C0884" w:rsidRPr="002E796D" w:rsidRDefault="000C0884" w:rsidP="00A27442">
            <w:pPr>
              <w:widowControl w:val="0"/>
              <w:spacing w:after="0"/>
              <w:jc w:val="center"/>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Coal power station</w:t>
            </w:r>
          </w:p>
        </w:tc>
        <w:tc>
          <w:tcPr>
            <w:tcW w:w="0" w:type="dxa"/>
            <w:shd w:val="clear" w:color="auto" w:fill="44546A" w:themeFill="text2"/>
            <w:vAlign w:val="center"/>
          </w:tcPr>
          <w:p w14:paraId="0568C7F4" w14:textId="74E5D45A"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Majuba Wet</w:t>
            </w:r>
          </w:p>
        </w:tc>
        <w:tc>
          <w:tcPr>
            <w:tcW w:w="0" w:type="dxa"/>
            <w:shd w:val="clear" w:color="auto" w:fill="44546A" w:themeFill="text2"/>
            <w:vAlign w:val="center"/>
          </w:tcPr>
          <w:p w14:paraId="1FCB9ACF"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Kendal</w:t>
            </w:r>
          </w:p>
        </w:tc>
        <w:tc>
          <w:tcPr>
            <w:tcW w:w="0" w:type="dxa"/>
            <w:shd w:val="clear" w:color="auto" w:fill="44546A" w:themeFill="text2"/>
            <w:vAlign w:val="center"/>
          </w:tcPr>
          <w:p w14:paraId="60FEAF65"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Lethabo</w:t>
            </w:r>
          </w:p>
        </w:tc>
        <w:tc>
          <w:tcPr>
            <w:tcW w:w="0" w:type="dxa"/>
            <w:shd w:val="clear" w:color="auto" w:fill="44546A" w:themeFill="text2"/>
            <w:vAlign w:val="center"/>
          </w:tcPr>
          <w:p w14:paraId="259B9860"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Matla</w:t>
            </w:r>
          </w:p>
        </w:tc>
        <w:tc>
          <w:tcPr>
            <w:tcW w:w="751" w:type="dxa"/>
            <w:shd w:val="clear" w:color="auto" w:fill="44546A" w:themeFill="text2"/>
            <w:vAlign w:val="center"/>
          </w:tcPr>
          <w:p w14:paraId="5D3156D1"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Duvha</w:t>
            </w:r>
          </w:p>
        </w:tc>
        <w:tc>
          <w:tcPr>
            <w:tcW w:w="0" w:type="dxa"/>
            <w:shd w:val="clear" w:color="auto" w:fill="44546A" w:themeFill="text2"/>
            <w:vAlign w:val="center"/>
          </w:tcPr>
          <w:p w14:paraId="48DC75C1"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Matimba-WB</w:t>
            </w:r>
          </w:p>
        </w:tc>
        <w:tc>
          <w:tcPr>
            <w:tcW w:w="923" w:type="dxa"/>
            <w:shd w:val="clear" w:color="auto" w:fill="44546A" w:themeFill="text2"/>
            <w:vAlign w:val="center"/>
          </w:tcPr>
          <w:p w14:paraId="4C9E412F" w14:textId="77777777" w:rsidR="000C0884" w:rsidRPr="002E796D" w:rsidRDefault="000C0884" w:rsidP="00A27442">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sz w:val="20"/>
                <w:szCs w:val="20"/>
              </w:rPr>
            </w:pPr>
            <w:r w:rsidRPr="002E796D">
              <w:rPr>
                <w:rFonts w:ascii="Calibri" w:eastAsia="Calibri" w:hAnsi="Calibri" w:cs="Calibri"/>
                <w:color w:val="FFFFFF" w:themeColor="background1"/>
                <w:sz w:val="20"/>
                <w:szCs w:val="20"/>
              </w:rPr>
              <w:t>Tutuka</w:t>
            </w:r>
          </w:p>
        </w:tc>
      </w:tr>
      <w:tr w:rsidR="000C0884" w:rsidRPr="002677CF" w14:paraId="68C00EF7" w14:textId="77777777" w:rsidTr="002E796D">
        <w:trPr>
          <w:trHeight w:val="335"/>
          <w:jc w:val="center"/>
        </w:trPr>
        <w:tc>
          <w:tcPr>
            <w:cnfStyle w:val="001000000000" w:firstRow="0" w:lastRow="0" w:firstColumn="1" w:lastColumn="0" w:oddVBand="0" w:evenVBand="0" w:oddHBand="0" w:evenHBand="0" w:firstRowFirstColumn="0" w:firstRowLastColumn="0" w:lastRowFirstColumn="0" w:lastRowLastColumn="0"/>
            <w:tcW w:w="2040" w:type="dxa"/>
            <w:vAlign w:val="center"/>
          </w:tcPr>
          <w:p w14:paraId="69DB1EC0" w14:textId="50F7DD7B" w:rsidR="000C0884" w:rsidRPr="002E796D" w:rsidRDefault="000C0884" w:rsidP="00A27442">
            <w:pPr>
              <w:widowControl w:val="0"/>
              <w:spacing w:after="0"/>
              <w:jc w:val="center"/>
              <w:rPr>
                <w:rFonts w:ascii="Calibri" w:eastAsia="Calibri" w:hAnsi="Calibri" w:cs="Calibri"/>
                <w:b w:val="0"/>
                <w:sz w:val="20"/>
                <w:szCs w:val="20"/>
              </w:rPr>
            </w:pPr>
            <w:r w:rsidRPr="000C0884">
              <w:rPr>
                <w:rFonts w:ascii="Calibri" w:eastAsia="Calibri" w:hAnsi="Calibri" w:cs="Calibri"/>
                <w:sz w:val="20"/>
                <w:szCs w:val="20"/>
              </w:rPr>
              <w:t>Reference scenario</w:t>
            </w:r>
          </w:p>
        </w:tc>
        <w:tc>
          <w:tcPr>
            <w:tcW w:w="0" w:type="dxa"/>
            <w:vAlign w:val="center"/>
          </w:tcPr>
          <w:p w14:paraId="1637A07E" w14:textId="77777777"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0" w:type="dxa"/>
            <w:vAlign w:val="center"/>
          </w:tcPr>
          <w:p w14:paraId="6F14B519" w14:textId="6F581DE8"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3</w:t>
            </w:r>
            <w:r>
              <w:rPr>
                <w:rFonts w:ascii="Calibri" w:eastAsia="Calibri" w:hAnsi="Calibri" w:cs="Calibri"/>
                <w:sz w:val="20"/>
                <w:szCs w:val="20"/>
              </w:rPr>
              <w:t xml:space="preserve"> </w:t>
            </w:r>
            <w:r w:rsidRPr="000C0884">
              <w:rPr>
                <w:rFonts w:ascii="Calibri" w:eastAsia="Calibri" w:hAnsi="Calibri" w:cs="Calibri"/>
                <w:sz w:val="20"/>
                <w:szCs w:val="20"/>
              </w:rPr>
              <w:t>200</w:t>
            </w:r>
          </w:p>
        </w:tc>
        <w:tc>
          <w:tcPr>
            <w:tcW w:w="0" w:type="dxa"/>
            <w:vAlign w:val="center"/>
          </w:tcPr>
          <w:p w14:paraId="08746A2F" w14:textId="541E8FA2"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2</w:t>
            </w:r>
            <w:r>
              <w:rPr>
                <w:rFonts w:ascii="Calibri" w:eastAsia="Calibri" w:hAnsi="Calibri" w:cs="Calibri"/>
                <w:sz w:val="20"/>
                <w:szCs w:val="20"/>
              </w:rPr>
              <w:t xml:space="preserve"> </w:t>
            </w:r>
            <w:r w:rsidRPr="000C0884">
              <w:rPr>
                <w:rFonts w:ascii="Calibri" w:eastAsia="Calibri" w:hAnsi="Calibri" w:cs="Calibri"/>
                <w:sz w:val="20"/>
                <w:szCs w:val="20"/>
              </w:rPr>
              <w:t>950</w:t>
            </w:r>
          </w:p>
        </w:tc>
        <w:tc>
          <w:tcPr>
            <w:tcW w:w="0" w:type="dxa"/>
            <w:vAlign w:val="center"/>
          </w:tcPr>
          <w:p w14:paraId="751A4857" w14:textId="33792287"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2</w:t>
            </w:r>
            <w:r>
              <w:rPr>
                <w:rFonts w:ascii="Calibri" w:eastAsia="Calibri" w:hAnsi="Calibri" w:cs="Calibri"/>
                <w:sz w:val="20"/>
                <w:szCs w:val="20"/>
              </w:rPr>
              <w:t xml:space="preserve"> </w:t>
            </w:r>
            <w:r w:rsidRPr="000C0884">
              <w:rPr>
                <w:rFonts w:ascii="Calibri" w:eastAsia="Calibri" w:hAnsi="Calibri" w:cs="Calibri"/>
                <w:sz w:val="20"/>
                <w:szCs w:val="20"/>
              </w:rPr>
              <w:t>782</w:t>
            </w:r>
          </w:p>
        </w:tc>
        <w:tc>
          <w:tcPr>
            <w:tcW w:w="751" w:type="dxa"/>
            <w:vAlign w:val="center"/>
          </w:tcPr>
          <w:p w14:paraId="0C562573" w14:textId="02D5EE35"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2</w:t>
            </w:r>
            <w:r>
              <w:rPr>
                <w:rFonts w:ascii="Calibri" w:eastAsia="Calibri" w:hAnsi="Calibri" w:cs="Calibri"/>
                <w:sz w:val="20"/>
                <w:szCs w:val="20"/>
              </w:rPr>
              <w:t xml:space="preserve"> </w:t>
            </w:r>
            <w:r w:rsidRPr="000C0884">
              <w:rPr>
                <w:rFonts w:ascii="Calibri" w:eastAsia="Calibri" w:hAnsi="Calibri" w:cs="Calibri"/>
                <w:sz w:val="20"/>
                <w:szCs w:val="20"/>
              </w:rPr>
              <w:t>825</w:t>
            </w:r>
          </w:p>
        </w:tc>
        <w:tc>
          <w:tcPr>
            <w:tcW w:w="0" w:type="dxa"/>
            <w:vAlign w:val="center"/>
          </w:tcPr>
          <w:p w14:paraId="5FE7595C" w14:textId="64202C43"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3</w:t>
            </w:r>
            <w:r>
              <w:rPr>
                <w:rFonts w:ascii="Calibri" w:eastAsia="Calibri" w:hAnsi="Calibri" w:cs="Calibri"/>
                <w:sz w:val="20"/>
                <w:szCs w:val="20"/>
              </w:rPr>
              <w:t xml:space="preserve"> </w:t>
            </w:r>
            <w:r w:rsidRPr="000C0884">
              <w:rPr>
                <w:rFonts w:ascii="Calibri" w:eastAsia="Calibri" w:hAnsi="Calibri" w:cs="Calibri"/>
                <w:sz w:val="20"/>
                <w:szCs w:val="20"/>
              </w:rPr>
              <w:t>720</w:t>
            </w:r>
          </w:p>
        </w:tc>
        <w:tc>
          <w:tcPr>
            <w:tcW w:w="923" w:type="dxa"/>
            <w:vAlign w:val="center"/>
          </w:tcPr>
          <w:p w14:paraId="495BFB2F" w14:textId="3304A0FF"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1</w:t>
            </w:r>
            <w:r>
              <w:rPr>
                <w:rFonts w:ascii="Calibri" w:eastAsia="Calibri" w:hAnsi="Calibri" w:cs="Calibri"/>
                <w:sz w:val="20"/>
                <w:szCs w:val="20"/>
              </w:rPr>
              <w:t xml:space="preserve"> </w:t>
            </w:r>
            <w:r w:rsidRPr="000C0884">
              <w:rPr>
                <w:rFonts w:ascii="Calibri" w:eastAsia="Calibri" w:hAnsi="Calibri" w:cs="Calibri"/>
                <w:sz w:val="20"/>
                <w:szCs w:val="20"/>
              </w:rPr>
              <w:t>190</w:t>
            </w:r>
          </w:p>
        </w:tc>
      </w:tr>
      <w:tr w:rsidR="002F61BF" w:rsidRPr="002677CF" w14:paraId="6C6BE450" w14:textId="77777777" w:rsidTr="000C0884">
        <w:trPr>
          <w:trHeight w:val="318"/>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4" w:space="0" w:color="auto"/>
            </w:tcBorders>
            <w:shd w:val="clear" w:color="auto" w:fill="E2EFD9" w:themeFill="accent6" w:themeFillTint="33"/>
            <w:vAlign w:val="center"/>
          </w:tcPr>
          <w:p w14:paraId="62C6A4D1" w14:textId="523CBBF2" w:rsidR="000C0884" w:rsidRPr="002E796D" w:rsidRDefault="000C0884" w:rsidP="00A27442">
            <w:pPr>
              <w:widowControl w:val="0"/>
              <w:spacing w:after="0"/>
              <w:jc w:val="center"/>
              <w:rPr>
                <w:rFonts w:ascii="Calibri" w:eastAsia="Calibri" w:hAnsi="Calibri" w:cs="Calibri"/>
                <w:b w:val="0"/>
                <w:sz w:val="20"/>
                <w:szCs w:val="20"/>
              </w:rPr>
            </w:pPr>
            <w:r w:rsidRPr="000C0884">
              <w:rPr>
                <w:rFonts w:ascii="Calibri" w:eastAsia="Calibri" w:hAnsi="Calibri" w:cs="Calibri"/>
                <w:sz w:val="20"/>
                <w:szCs w:val="20"/>
              </w:rPr>
              <w:t>Constrained scenario</w:t>
            </w:r>
          </w:p>
        </w:tc>
        <w:tc>
          <w:tcPr>
            <w:tcW w:w="0" w:type="dxa"/>
            <w:tcBorders>
              <w:bottom w:val="single" w:sz="4" w:space="0" w:color="auto"/>
            </w:tcBorders>
            <w:shd w:val="clear" w:color="auto" w:fill="E2EFD9" w:themeFill="accent6" w:themeFillTint="33"/>
            <w:vAlign w:val="center"/>
          </w:tcPr>
          <w:p w14:paraId="79ADC1C9" w14:textId="53A13725"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1</w:t>
            </w:r>
            <w:r>
              <w:rPr>
                <w:rFonts w:ascii="Calibri" w:eastAsia="Calibri" w:hAnsi="Calibri" w:cs="Calibri"/>
                <w:sz w:val="20"/>
                <w:szCs w:val="20"/>
              </w:rPr>
              <w:t xml:space="preserve"> </w:t>
            </w:r>
            <w:r w:rsidRPr="000C0884">
              <w:rPr>
                <w:rFonts w:ascii="Calibri" w:eastAsia="Calibri" w:hAnsi="Calibri" w:cs="Calibri"/>
                <w:sz w:val="20"/>
                <w:szCs w:val="20"/>
              </w:rPr>
              <w:t>894</w:t>
            </w:r>
          </w:p>
        </w:tc>
        <w:tc>
          <w:tcPr>
            <w:tcW w:w="0" w:type="dxa"/>
            <w:tcBorders>
              <w:bottom w:val="single" w:sz="4" w:space="0" w:color="auto"/>
            </w:tcBorders>
            <w:shd w:val="clear" w:color="auto" w:fill="E2EFD9" w:themeFill="accent6" w:themeFillTint="33"/>
            <w:vAlign w:val="center"/>
          </w:tcPr>
          <w:p w14:paraId="19F03063" w14:textId="228035BC"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3</w:t>
            </w:r>
            <w:r>
              <w:rPr>
                <w:rFonts w:ascii="Calibri" w:eastAsia="Calibri" w:hAnsi="Calibri" w:cs="Calibri"/>
                <w:sz w:val="20"/>
                <w:szCs w:val="20"/>
              </w:rPr>
              <w:t xml:space="preserve"> </w:t>
            </w:r>
            <w:r w:rsidRPr="000C0884">
              <w:rPr>
                <w:rFonts w:ascii="Calibri" w:eastAsia="Calibri" w:hAnsi="Calibri" w:cs="Calibri"/>
                <w:sz w:val="20"/>
                <w:szCs w:val="20"/>
              </w:rPr>
              <w:t>840</w:t>
            </w:r>
          </w:p>
        </w:tc>
        <w:tc>
          <w:tcPr>
            <w:tcW w:w="0" w:type="dxa"/>
            <w:tcBorders>
              <w:bottom w:val="single" w:sz="4" w:space="0" w:color="auto"/>
            </w:tcBorders>
            <w:shd w:val="clear" w:color="auto" w:fill="E2EFD9" w:themeFill="accent6" w:themeFillTint="33"/>
            <w:vAlign w:val="center"/>
          </w:tcPr>
          <w:p w14:paraId="2E7CFCE4" w14:textId="2B9A28DE"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3</w:t>
            </w:r>
            <w:r>
              <w:rPr>
                <w:rFonts w:ascii="Calibri" w:eastAsia="Calibri" w:hAnsi="Calibri" w:cs="Calibri"/>
                <w:sz w:val="20"/>
                <w:szCs w:val="20"/>
              </w:rPr>
              <w:t xml:space="preserve"> </w:t>
            </w:r>
            <w:r w:rsidRPr="000C0884">
              <w:rPr>
                <w:rFonts w:ascii="Calibri" w:eastAsia="Calibri" w:hAnsi="Calibri" w:cs="Calibri"/>
                <w:sz w:val="20"/>
                <w:szCs w:val="20"/>
              </w:rPr>
              <w:t>540</w:t>
            </w:r>
          </w:p>
        </w:tc>
        <w:tc>
          <w:tcPr>
            <w:tcW w:w="0" w:type="dxa"/>
            <w:tcBorders>
              <w:bottom w:val="single" w:sz="4" w:space="0" w:color="auto"/>
            </w:tcBorders>
            <w:shd w:val="clear" w:color="auto" w:fill="E2EFD9" w:themeFill="accent6" w:themeFillTint="33"/>
            <w:vAlign w:val="center"/>
          </w:tcPr>
          <w:p w14:paraId="0BFE6FC7" w14:textId="492E655E"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2</w:t>
            </w:r>
            <w:r>
              <w:rPr>
                <w:rFonts w:ascii="Calibri" w:eastAsia="Calibri" w:hAnsi="Calibri" w:cs="Calibri"/>
                <w:sz w:val="20"/>
                <w:szCs w:val="20"/>
              </w:rPr>
              <w:t xml:space="preserve"> </w:t>
            </w:r>
            <w:r w:rsidRPr="000C0884">
              <w:rPr>
                <w:rFonts w:ascii="Calibri" w:eastAsia="Calibri" w:hAnsi="Calibri" w:cs="Calibri"/>
                <w:sz w:val="20"/>
                <w:szCs w:val="20"/>
              </w:rPr>
              <w:t>782</w:t>
            </w:r>
          </w:p>
        </w:tc>
        <w:tc>
          <w:tcPr>
            <w:tcW w:w="751" w:type="dxa"/>
            <w:tcBorders>
              <w:bottom w:val="single" w:sz="4" w:space="0" w:color="auto"/>
            </w:tcBorders>
            <w:shd w:val="clear" w:color="auto" w:fill="E2EFD9" w:themeFill="accent6" w:themeFillTint="33"/>
            <w:vAlign w:val="center"/>
          </w:tcPr>
          <w:p w14:paraId="3B12DA91" w14:textId="13F39633"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2</w:t>
            </w:r>
            <w:r>
              <w:rPr>
                <w:rFonts w:ascii="Calibri" w:eastAsia="Calibri" w:hAnsi="Calibri" w:cs="Calibri"/>
                <w:sz w:val="20"/>
                <w:szCs w:val="20"/>
              </w:rPr>
              <w:t xml:space="preserve"> </w:t>
            </w:r>
            <w:r w:rsidRPr="000C0884">
              <w:rPr>
                <w:rFonts w:ascii="Calibri" w:eastAsia="Calibri" w:hAnsi="Calibri" w:cs="Calibri"/>
                <w:sz w:val="20"/>
                <w:szCs w:val="20"/>
              </w:rPr>
              <w:t>900</w:t>
            </w:r>
          </w:p>
        </w:tc>
        <w:tc>
          <w:tcPr>
            <w:tcW w:w="0" w:type="dxa"/>
            <w:tcBorders>
              <w:bottom w:val="single" w:sz="4" w:space="0" w:color="auto"/>
            </w:tcBorders>
            <w:shd w:val="clear" w:color="auto" w:fill="E2EFD9" w:themeFill="accent6" w:themeFillTint="33"/>
            <w:vAlign w:val="center"/>
          </w:tcPr>
          <w:p w14:paraId="5D57CC22" w14:textId="414EEB59"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3</w:t>
            </w:r>
            <w:r>
              <w:rPr>
                <w:rFonts w:ascii="Calibri" w:eastAsia="Calibri" w:hAnsi="Calibri" w:cs="Calibri"/>
                <w:sz w:val="20"/>
                <w:szCs w:val="20"/>
              </w:rPr>
              <w:t xml:space="preserve"> </w:t>
            </w:r>
            <w:r w:rsidRPr="000C0884">
              <w:rPr>
                <w:rFonts w:ascii="Calibri" w:eastAsia="Calibri" w:hAnsi="Calibri" w:cs="Calibri"/>
                <w:sz w:val="20"/>
                <w:szCs w:val="20"/>
              </w:rPr>
              <w:t>720</w:t>
            </w:r>
          </w:p>
        </w:tc>
        <w:tc>
          <w:tcPr>
            <w:tcW w:w="923" w:type="dxa"/>
            <w:tcBorders>
              <w:bottom w:val="single" w:sz="4" w:space="0" w:color="auto"/>
            </w:tcBorders>
            <w:shd w:val="clear" w:color="auto" w:fill="E2EFD9" w:themeFill="accent6" w:themeFillTint="33"/>
            <w:vAlign w:val="center"/>
          </w:tcPr>
          <w:p w14:paraId="0C3F1DEE" w14:textId="0BA77A1F" w:rsidR="000C0884" w:rsidRPr="000C0884" w:rsidRDefault="000C0884" w:rsidP="00A27442">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C0884">
              <w:rPr>
                <w:rFonts w:ascii="Calibri" w:eastAsia="Calibri" w:hAnsi="Calibri" w:cs="Calibri"/>
                <w:sz w:val="20"/>
                <w:szCs w:val="20"/>
              </w:rPr>
              <w:t>1</w:t>
            </w:r>
            <w:r>
              <w:rPr>
                <w:rFonts w:ascii="Calibri" w:eastAsia="Calibri" w:hAnsi="Calibri" w:cs="Calibri"/>
                <w:sz w:val="20"/>
                <w:szCs w:val="20"/>
              </w:rPr>
              <w:t xml:space="preserve"> </w:t>
            </w:r>
            <w:r w:rsidRPr="000C0884">
              <w:rPr>
                <w:rFonts w:ascii="Calibri" w:eastAsia="Calibri" w:hAnsi="Calibri" w:cs="Calibri"/>
                <w:sz w:val="20"/>
                <w:szCs w:val="20"/>
              </w:rPr>
              <w:t>190</w:t>
            </w:r>
          </w:p>
        </w:tc>
      </w:tr>
    </w:tbl>
    <w:p w14:paraId="22E61D0C" w14:textId="77777777" w:rsidR="00202EE7" w:rsidRDefault="00202EE7" w:rsidP="000C5000"/>
    <w:p w14:paraId="7A423A5D" w14:textId="6E8ABFFC" w:rsidR="000C5000" w:rsidRDefault="000C5000" w:rsidP="000C5000">
      <w:r w:rsidRPr="000C5000">
        <w:t xml:space="preserve">Figure </w:t>
      </w:r>
      <w:r w:rsidR="00A20568">
        <w:t>10</w:t>
      </w:r>
      <w:r w:rsidRPr="000C5000">
        <w:t xml:space="preserve"> shows the supply and demand for </w:t>
      </w:r>
      <w:r w:rsidR="000C0884">
        <w:t>c</w:t>
      </w:r>
      <w:r w:rsidR="000C0884" w:rsidRPr="000C5000">
        <w:t xml:space="preserve">oal </w:t>
      </w:r>
      <w:r w:rsidRPr="000C5000">
        <w:t xml:space="preserve">in the Reference </w:t>
      </w:r>
      <w:r w:rsidR="000C0884">
        <w:t>s</w:t>
      </w:r>
      <w:r w:rsidR="000C0884" w:rsidRPr="000C5000">
        <w:t>cenario</w:t>
      </w:r>
      <w:r w:rsidRPr="000C5000">
        <w:t>, showing in detail which mines the coal is coming from. As one can see, around half the supply</w:t>
      </w:r>
      <w:r w:rsidR="00966EC6">
        <w:t xml:space="preserve"> (in energy terms)</w:t>
      </w:r>
      <w:r w:rsidRPr="000C5000">
        <w:t xml:space="preserve"> is coming from mines that fall outside the current detailed coal mines dataset, which are characterized in a more generic way according to </w:t>
      </w:r>
      <w:r w:rsidR="008008CE" w:rsidRPr="000C5000">
        <w:t xml:space="preserve">Merven </w:t>
      </w:r>
      <w:r w:rsidRPr="000C5000">
        <w:t>(2016). In the Reference scenario, coal demand decline</w:t>
      </w:r>
      <w:r w:rsidR="00966EC6">
        <w:t>s</w:t>
      </w:r>
      <w:r w:rsidRPr="000C5000">
        <w:t xml:space="preserve"> in all sectors, except in the </w:t>
      </w:r>
      <w:r w:rsidR="000C0884" w:rsidRPr="000C5000">
        <w:t>industry secto</w:t>
      </w:r>
      <w:r w:rsidRPr="000C5000">
        <w:t xml:space="preserve">r, where we see a slight increase. The figure shows that the </w:t>
      </w:r>
      <w:r w:rsidR="00966EC6">
        <w:t xml:space="preserve">Secunda </w:t>
      </w:r>
      <w:r w:rsidR="00804F69" w:rsidRPr="000C5000">
        <w:t>coal</w:t>
      </w:r>
      <w:r w:rsidR="00804F69">
        <w:t>-</w:t>
      </w:r>
      <w:r w:rsidR="00804F69" w:rsidRPr="000C5000">
        <w:t>to</w:t>
      </w:r>
      <w:r w:rsidR="00804F69">
        <w:t>-</w:t>
      </w:r>
      <w:r w:rsidR="00804F69" w:rsidRPr="000C5000">
        <w:t>liquids</w:t>
      </w:r>
      <w:r w:rsidRPr="000C5000">
        <w:t xml:space="preserve"> (CTL)</w:t>
      </w:r>
      <w:r w:rsidR="00804F69" w:rsidRPr="000C5000">
        <w:t xml:space="preserve"> p</w:t>
      </w:r>
      <w:r w:rsidRPr="000C5000">
        <w:t xml:space="preserve">lant is </w:t>
      </w:r>
      <w:r w:rsidR="0060724C">
        <w:t xml:space="preserve">exogenously </w:t>
      </w:r>
      <w:r w:rsidRPr="000C5000">
        <w:t>set to phase out between 2035 and 2040, and the assumed trajectory fo</w:t>
      </w:r>
      <w:r w:rsidR="00804F69" w:rsidRPr="000C5000">
        <w:t>r coal exp</w:t>
      </w:r>
      <w:r w:rsidRPr="000C5000">
        <w:t>orts, as per</w:t>
      </w:r>
      <w:r w:rsidR="008008CE">
        <w:t xml:space="preserve"> </w:t>
      </w:r>
      <w:r w:rsidR="008008CE" w:rsidRPr="00D76461">
        <w:rPr>
          <w:rFonts w:ascii="Calibri" w:eastAsia="Calibri" w:hAnsi="Calibri" w:cs="Calibri"/>
        </w:rPr>
        <w:t>Huxham</w:t>
      </w:r>
      <w:r w:rsidR="008008CE">
        <w:rPr>
          <w:rFonts w:ascii="Calibri" w:eastAsia="Calibri" w:hAnsi="Calibri" w:cs="Calibri"/>
        </w:rPr>
        <w:t xml:space="preserve"> et al.</w:t>
      </w:r>
      <w:r w:rsidRPr="000C5000">
        <w:t xml:space="preserve"> (2019). The same trajectories for the CTL plant and exports are assumed in the Constrained </w:t>
      </w:r>
      <w:r w:rsidR="00804F69">
        <w:t>s</w:t>
      </w:r>
      <w:r w:rsidR="00804F69" w:rsidRPr="000C5000">
        <w:t>cenario</w:t>
      </w:r>
      <w:r w:rsidRPr="000C5000">
        <w:t>, which also sees growth in coal use from 2040</w:t>
      </w:r>
      <w:r w:rsidR="00966EC6">
        <w:t xml:space="preserve"> (as more coal plants are built to meet growing demand)</w:t>
      </w:r>
      <w:r w:rsidRPr="000C5000">
        <w:t xml:space="preserve">, after a slower decline until then, compared to the Reference </w:t>
      </w:r>
      <w:r w:rsidR="00804F69">
        <w:t>s</w:t>
      </w:r>
      <w:r w:rsidRPr="000C5000">
        <w:t>cenario.</w:t>
      </w:r>
    </w:p>
    <w:p w14:paraId="44651D07" w14:textId="77777777" w:rsidR="00202EE7" w:rsidRPr="000C5000" w:rsidRDefault="00202EE7" w:rsidP="000C5000"/>
    <w:p w14:paraId="3E2FA32F" w14:textId="77777777" w:rsidR="00956036" w:rsidRDefault="00956036" w:rsidP="000C12C0">
      <w:pPr>
        <w:keepNext/>
        <w:spacing w:after="0"/>
      </w:pPr>
      <w:r>
        <w:rPr>
          <w:noProof/>
        </w:rPr>
        <w:drawing>
          <wp:anchor distT="0" distB="0" distL="114300" distR="114300" simplePos="0" relativeHeight="251671040" behindDoc="0" locked="0" layoutInCell="1" allowOverlap="1" wp14:anchorId="7AA3359B" wp14:editId="7D4EDE2E">
            <wp:simplePos x="0" y="0"/>
            <wp:positionH relativeFrom="column">
              <wp:posOffset>1412866</wp:posOffset>
            </wp:positionH>
            <wp:positionV relativeFrom="paragraph">
              <wp:posOffset>156608</wp:posOffset>
            </wp:positionV>
            <wp:extent cx="1232535" cy="1528549"/>
            <wp:effectExtent l="0" t="0" r="571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523" cy="1533494"/>
                    </a:xfrm>
                    <a:prstGeom prst="rect">
                      <a:avLst/>
                    </a:prstGeom>
                  </pic:spPr>
                </pic:pic>
              </a:graphicData>
            </a:graphic>
            <wp14:sizeRelH relativeFrom="margin">
              <wp14:pctWidth>0</wp14:pctWidth>
            </wp14:sizeRelH>
            <wp14:sizeRelV relativeFrom="margin">
              <wp14:pctHeight>0</wp14:pctHeight>
            </wp14:sizeRelV>
          </wp:anchor>
        </w:drawing>
      </w:r>
      <w:r w:rsidR="009619D0">
        <w:rPr>
          <w:noProof/>
        </w:rPr>
        <w:drawing>
          <wp:inline distT="0" distB="0" distL="0" distR="0" wp14:anchorId="169D25B9" wp14:editId="117AB5E9">
            <wp:extent cx="5718412" cy="359966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8412" cy="3599668"/>
                    </a:xfrm>
                    <a:prstGeom prst="rect">
                      <a:avLst/>
                    </a:prstGeom>
                  </pic:spPr>
                </pic:pic>
              </a:graphicData>
            </a:graphic>
          </wp:inline>
        </w:drawing>
      </w:r>
    </w:p>
    <w:p w14:paraId="4494116C" w14:textId="388F88F2" w:rsidR="00956036" w:rsidRDefault="00956036" w:rsidP="00C822BA">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10</w:t>
      </w:r>
      <w:r>
        <w:fldChar w:fldCharType="end"/>
      </w:r>
      <w:r w:rsidR="00804F69">
        <w:t>:</w:t>
      </w:r>
      <w:r>
        <w:t xml:space="preserve"> Coal </w:t>
      </w:r>
      <w:r w:rsidR="00804F69">
        <w:t>suppl</w:t>
      </w:r>
      <w:r>
        <w:t xml:space="preserve">y and demand for </w:t>
      </w:r>
      <w:r w:rsidR="00804F69">
        <w:t xml:space="preserve">the </w:t>
      </w:r>
      <w:r>
        <w:t xml:space="preserve">Reference </w:t>
      </w:r>
      <w:r w:rsidR="00804F69">
        <w:t>c</w:t>
      </w:r>
      <w:r>
        <w:t>ase</w:t>
      </w:r>
    </w:p>
    <w:p w14:paraId="6A9F779A" w14:textId="77777777" w:rsidR="00202EE7" w:rsidRDefault="00202EE7">
      <w:pPr>
        <w:spacing w:after="160" w:line="259" w:lineRule="auto"/>
        <w:jc w:val="left"/>
      </w:pPr>
      <w:r>
        <w:br w:type="page"/>
      </w:r>
    </w:p>
    <w:p w14:paraId="0A876B85" w14:textId="6B1D5775" w:rsidR="00486285" w:rsidRDefault="00486285" w:rsidP="00486285">
      <w:pPr>
        <w:pStyle w:val="Heading2"/>
        <w:rPr>
          <w:rFonts w:eastAsia="Calibri"/>
        </w:rPr>
      </w:pPr>
      <w:r>
        <w:rPr>
          <w:rFonts w:eastAsia="Calibri"/>
        </w:rPr>
        <w:t>GDP and employment impact</w:t>
      </w:r>
    </w:p>
    <w:p w14:paraId="1509B9AF" w14:textId="1F2D8EAE" w:rsidR="002D282B" w:rsidRDefault="002534DA" w:rsidP="00DC64AB">
      <w:pPr>
        <w:keepNext/>
        <w:rPr>
          <w:noProof/>
        </w:rPr>
      </w:pPr>
      <w:r>
        <w:t>The economic impact of constraining renewable energy in the electricity mix, as per the constrained scenario</w:t>
      </w:r>
      <w:r w:rsidR="00A8442B">
        <w:t>,</w:t>
      </w:r>
      <w:r w:rsidR="00ED0FF4">
        <w:t xml:space="preserve"> is found to be negative in the long term</w:t>
      </w:r>
      <w:r w:rsidR="00737D80">
        <w:t>,</w:t>
      </w:r>
      <w:r w:rsidR="00ED0FF4">
        <w:t xml:space="preserve"> with little impact </w:t>
      </w:r>
      <w:r w:rsidR="00CA742B">
        <w:t xml:space="preserve">on the economy </w:t>
      </w:r>
      <w:r w:rsidR="00ED0FF4">
        <w:t>in the short-to</w:t>
      </w:r>
      <w:r w:rsidR="00737D80">
        <w:t>-</w:t>
      </w:r>
      <w:r w:rsidR="00ED0FF4">
        <w:t>medium term</w:t>
      </w:r>
      <w:r w:rsidR="00F11007">
        <w:t xml:space="preserve">. By 2050, the level of real GDP is 2.8% lower in the </w:t>
      </w:r>
      <w:r w:rsidR="00737D80">
        <w:t xml:space="preserve">Constrained </w:t>
      </w:r>
      <w:r w:rsidR="00F11007">
        <w:t xml:space="preserve">scenario relative to the </w:t>
      </w:r>
      <w:r w:rsidR="00737D80">
        <w:t xml:space="preserve">Reference </w:t>
      </w:r>
      <w:r w:rsidR="00F11007">
        <w:t>case</w:t>
      </w:r>
      <w:r w:rsidR="00737D80">
        <w:t>,</w:t>
      </w:r>
      <w:r w:rsidR="00F11007">
        <w:t xml:space="preserve"> with ~1 million fewer jobs being created (see Figure 1</w:t>
      </w:r>
      <w:r w:rsidR="00202EE7">
        <w:t>1</w:t>
      </w:r>
      <w:r w:rsidR="00F11007">
        <w:t>)</w:t>
      </w:r>
      <w:r w:rsidR="00ED0FF4">
        <w:t>.</w:t>
      </w:r>
      <w:r w:rsidR="00F11007">
        <w:t xml:space="preserve"> </w:t>
      </w:r>
      <w:r w:rsidR="00A32C1F">
        <w:t>The negative impact is driven by lower GDP across sectors</w:t>
      </w:r>
      <w:r w:rsidR="007239C1">
        <w:t xml:space="preserve"> (see Figure 12)</w:t>
      </w:r>
      <w:r w:rsidR="00A32C1F">
        <w:t>, although the largest contributor to the decline, due to its size, is the services sector.</w:t>
      </w:r>
      <w:r w:rsidR="00DC64AB">
        <w:t xml:space="preserve"> Overall GDP in the mining sector is lower than in the reference case despite higher GDP in the coal mining sub-sector.</w:t>
      </w:r>
    </w:p>
    <w:p w14:paraId="0F8F1068" w14:textId="0FE600E9" w:rsidR="00F11007" w:rsidRDefault="00901D1D" w:rsidP="00F11007">
      <w:pPr>
        <w:spacing w:after="0"/>
        <w:jc w:val="center"/>
      </w:pPr>
      <w:r w:rsidRPr="00901D1D">
        <w:rPr>
          <w:noProof/>
        </w:rPr>
        <w:drawing>
          <wp:inline distT="0" distB="0" distL="0" distR="0" wp14:anchorId="28657AF0" wp14:editId="6F7A0B1F">
            <wp:extent cx="4789208" cy="3168102"/>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577" cy="3169669"/>
                    </a:xfrm>
                    <a:prstGeom prst="rect">
                      <a:avLst/>
                    </a:prstGeom>
                    <a:noFill/>
                    <a:ln>
                      <a:noFill/>
                    </a:ln>
                  </pic:spPr>
                </pic:pic>
              </a:graphicData>
            </a:graphic>
          </wp:inline>
        </w:drawing>
      </w:r>
    </w:p>
    <w:p w14:paraId="6E9E7BE7" w14:textId="767D93F1" w:rsidR="00F11007" w:rsidRDefault="00F11007" w:rsidP="00F11007">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11</w:t>
      </w:r>
      <w:r>
        <w:fldChar w:fldCharType="end"/>
      </w:r>
      <w:r w:rsidR="00737D80">
        <w:t>:</w:t>
      </w:r>
      <w:r>
        <w:t xml:space="preserve"> Change in real GDP and employment levels relative to the </w:t>
      </w:r>
      <w:r w:rsidR="00737D80">
        <w:t xml:space="preserve">Reference </w:t>
      </w:r>
      <w:r>
        <w:t>case</w:t>
      </w:r>
    </w:p>
    <w:p w14:paraId="3E527C29" w14:textId="77777777" w:rsidR="00A8442B" w:rsidRDefault="00A8442B" w:rsidP="00A8442B">
      <w:pPr>
        <w:spacing w:after="0"/>
        <w:jc w:val="center"/>
      </w:pPr>
      <w:r w:rsidRPr="006A7A78">
        <w:rPr>
          <w:noProof/>
        </w:rPr>
        <w:drawing>
          <wp:inline distT="0" distB="0" distL="0" distR="0" wp14:anchorId="18EAB8CD" wp14:editId="005CD5FC">
            <wp:extent cx="4774152" cy="3331222"/>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6773" cy="3333051"/>
                    </a:xfrm>
                    <a:prstGeom prst="rect">
                      <a:avLst/>
                    </a:prstGeom>
                    <a:noFill/>
                    <a:ln>
                      <a:noFill/>
                    </a:ln>
                  </pic:spPr>
                </pic:pic>
              </a:graphicData>
            </a:graphic>
          </wp:inline>
        </w:drawing>
      </w:r>
    </w:p>
    <w:p w14:paraId="71EA2320" w14:textId="63111D8E" w:rsidR="00A8442B" w:rsidRPr="00A8442B" w:rsidRDefault="00A8442B" w:rsidP="00A8442B">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12</w:t>
      </w:r>
      <w:r>
        <w:fldChar w:fldCharType="end"/>
      </w:r>
      <w:r w:rsidR="00737D80">
        <w:t>:</w:t>
      </w:r>
      <w:r>
        <w:t xml:space="preserve"> </w:t>
      </w:r>
      <w:r w:rsidRPr="002A14A5">
        <w:t>Change in sector GDP level and employment in 2050 relative to the</w:t>
      </w:r>
      <w:r w:rsidR="00737D80">
        <w:t xml:space="preserve"> R</w:t>
      </w:r>
      <w:r w:rsidRPr="002A14A5">
        <w:t>eference case</w:t>
      </w:r>
    </w:p>
    <w:p w14:paraId="53EBB9F9" w14:textId="78C75D25" w:rsidR="001063BF" w:rsidRDefault="00486285" w:rsidP="00A8442B">
      <w:r>
        <w:t>The metals manufacturing sector, which comprises the iron and steel, non-ferrous and metal products sub-sectors, is the most negatively affected</w:t>
      </w:r>
      <w:r w:rsidR="001F7A1C">
        <w:t>,</w:t>
      </w:r>
      <w:r>
        <w:t xml:space="preserve"> with the level of real GDP in the sector 6.7% lower by 2050 in the </w:t>
      </w:r>
      <w:r w:rsidR="001F7A1C">
        <w:t xml:space="preserve">Constrained </w:t>
      </w:r>
      <w:r>
        <w:t xml:space="preserve">scenario relative to the </w:t>
      </w:r>
      <w:r w:rsidR="001F7A1C">
        <w:t xml:space="preserve">Reference </w:t>
      </w:r>
      <w:r>
        <w:t>case. Employment in the sector decreases by ~35</w:t>
      </w:r>
      <w:r w:rsidR="001F7A1C">
        <w:t> </w:t>
      </w:r>
      <w:r>
        <w:t xml:space="preserve">000. The non-ferrous and iron and steel sub-sectors are among the </w:t>
      </w:r>
      <w:r w:rsidR="001F7A1C">
        <w:t xml:space="preserve">five </w:t>
      </w:r>
      <w:r>
        <w:t>most electricity intensive sub-sectors in the economy. Other electricity</w:t>
      </w:r>
      <w:r w:rsidR="001F7A1C">
        <w:t>-</w:t>
      </w:r>
      <w:r>
        <w:t>intensive sectors</w:t>
      </w:r>
      <w:r w:rsidR="001F7A1C">
        <w:t>,</w:t>
      </w:r>
      <w:r>
        <w:t xml:space="preserve"> such as other mining (total mining excluding coal mining)</w:t>
      </w:r>
      <w:r w:rsidR="001F7A1C">
        <w:t>,</w:t>
      </w:r>
      <w:r>
        <w:t xml:space="preserve"> </w:t>
      </w:r>
      <w:r w:rsidR="001F7A1C">
        <w:t>are</w:t>
      </w:r>
      <w:r>
        <w:t xml:space="preserve"> also amongst the most negatively affected sectors</w:t>
      </w:r>
      <w:r w:rsidR="001F7A1C">
        <w:t>,</w:t>
      </w:r>
      <w:r>
        <w:t xml:space="preserve"> with the level of real GDP in the sector 5.5% lower than in the reference case and employment ~36</w:t>
      </w:r>
      <w:r w:rsidR="001F7A1C">
        <w:t> </w:t>
      </w:r>
      <w:r>
        <w:t xml:space="preserve">000 less. </w:t>
      </w:r>
    </w:p>
    <w:p w14:paraId="4CBE1622" w14:textId="54B82666" w:rsidR="001063BF" w:rsidRDefault="00486285" w:rsidP="001063BF">
      <w:pPr>
        <w:spacing w:after="0"/>
      </w:pPr>
      <w:r>
        <w:t>Real GDP in the coal</w:t>
      </w:r>
      <w:r w:rsidR="001F7A1C">
        <w:t>-</w:t>
      </w:r>
      <w:r>
        <w:t xml:space="preserve">mining sector is higher in the </w:t>
      </w:r>
      <w:r w:rsidR="001F7A1C">
        <w:t xml:space="preserve">Constrained </w:t>
      </w:r>
      <w:r>
        <w:t xml:space="preserve">case due to continued coal use for power generation. The </w:t>
      </w:r>
      <w:r w:rsidR="00AB30B1">
        <w:t>coal</w:t>
      </w:r>
      <w:r w:rsidR="001F7A1C">
        <w:t>-</w:t>
      </w:r>
      <w:r w:rsidR="00AB30B1">
        <w:t xml:space="preserve">mining sector </w:t>
      </w:r>
      <w:r>
        <w:t>real GDP is 30% higher with ~14</w:t>
      </w:r>
      <w:r w:rsidR="001F7A1C">
        <w:t> </w:t>
      </w:r>
      <w:r>
        <w:t>000 more jobs created. This increase is</w:t>
      </w:r>
      <w:r w:rsidR="001F7A1C">
        <w:t>,</w:t>
      </w:r>
      <w:r>
        <w:t xml:space="preserve"> however</w:t>
      </w:r>
      <w:r w:rsidR="001F7A1C">
        <w:t>,</w:t>
      </w:r>
      <w:r>
        <w:t xml:space="preserve"> small and only contributes 0.16 percentage points to total GDP and is unable to offset the decline in activity and employment in other sectors of the economy (see Figure 13).</w:t>
      </w:r>
      <w:r w:rsidR="001063BF">
        <w:t xml:space="preserve"> A large proportion of employment in the </w:t>
      </w:r>
      <w:r w:rsidR="001F7A1C">
        <w:t>coal-</w:t>
      </w:r>
      <w:r w:rsidR="001063BF">
        <w:t>mining sub-sector is made of secondary and tertiary skills (Grades 12 and higher) as opposed to unskilled labour</w:t>
      </w:r>
      <w:r w:rsidR="001F7A1C">
        <w:t>,</w:t>
      </w:r>
      <w:r w:rsidR="001063BF">
        <w:t xml:space="preserve"> </w:t>
      </w:r>
      <w:r w:rsidR="001F7A1C">
        <w:t>as</w:t>
      </w:r>
      <w:r w:rsidR="001063BF">
        <w:t xml:space="preserve"> is often assumed. Limiting the inclusion of renewable energy does</w:t>
      </w:r>
      <w:r w:rsidR="001F7A1C">
        <w:t xml:space="preserve"> not,</w:t>
      </w:r>
      <w:r w:rsidR="001063BF">
        <w:t xml:space="preserve"> therefore</w:t>
      </w:r>
      <w:r w:rsidR="001F7A1C">
        <w:t>,</w:t>
      </w:r>
      <w:r w:rsidR="001063BF">
        <w:t xml:space="preserve"> protect a large share of unskilled jobs. Instead</w:t>
      </w:r>
      <w:r w:rsidR="001F7A1C">
        <w:t>,</w:t>
      </w:r>
      <w:r w:rsidR="001063BF">
        <w:t xml:space="preserve"> the cap on renewable energy power capacity limits the potential to create employment for </w:t>
      </w:r>
      <w:r w:rsidR="001F7A1C">
        <w:t>lower-</w:t>
      </w:r>
      <w:r w:rsidR="001063BF">
        <w:t>skilled workers in other sectors of the economy.</w:t>
      </w:r>
      <w:r w:rsidR="00AB30B1">
        <w:t xml:space="preserve"> There is a clear trade-off between protecting the </w:t>
      </w:r>
      <w:r w:rsidR="001F7A1C">
        <w:t>coal-</w:t>
      </w:r>
      <w:r w:rsidR="00AB30B1">
        <w:t>mining sector and thus coal employment through artificially increasing the use of coal in the power sector and the creation of jobs across the economy.</w:t>
      </w:r>
    </w:p>
    <w:p w14:paraId="7C0F30F9" w14:textId="77777777" w:rsidR="001063BF" w:rsidRDefault="001063BF" w:rsidP="001063BF">
      <w:pPr>
        <w:spacing w:after="0"/>
      </w:pPr>
    </w:p>
    <w:p w14:paraId="702B7C05" w14:textId="7EDE4647" w:rsidR="00890323" w:rsidRDefault="001063BF" w:rsidP="00890323">
      <w:pPr>
        <w:jc w:val="center"/>
      </w:pPr>
      <w:r>
        <w:rPr>
          <w:noProof/>
        </w:rPr>
        <w:drawing>
          <wp:inline distT="0" distB="0" distL="0" distR="0" wp14:anchorId="303B1B36" wp14:editId="668FC58D">
            <wp:extent cx="5379720" cy="3642360"/>
            <wp:effectExtent l="0" t="0" r="11430" b="15240"/>
            <wp:docPr id="97" name="Chart 97">
              <a:extLst xmlns:a="http://schemas.openxmlformats.org/drawingml/2006/main">
                <a:ext uri="{FF2B5EF4-FFF2-40B4-BE49-F238E27FC236}">
                  <a16:creationId xmlns:a16="http://schemas.microsoft.com/office/drawing/2014/main" id="{F50583F1-F4CD-460D-9721-0E5E16D4F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7589C4" w14:textId="7168B550" w:rsidR="00E56453" w:rsidRDefault="00E56453" w:rsidP="00E56453">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13</w:t>
      </w:r>
      <w:r>
        <w:fldChar w:fldCharType="end"/>
      </w:r>
      <w:r w:rsidR="001F7A1C">
        <w:t>:</w:t>
      </w:r>
      <w:r>
        <w:t xml:space="preserve"> </w:t>
      </w:r>
      <w:r w:rsidRPr="002A14A5">
        <w:t xml:space="preserve">Change in sector employment by skill </w:t>
      </w:r>
      <w:r w:rsidR="001063BF">
        <w:t>by</w:t>
      </w:r>
      <w:r w:rsidRPr="002A14A5">
        <w:t xml:space="preserve"> 2050 relative to the</w:t>
      </w:r>
      <w:r w:rsidR="001F7A1C">
        <w:t xml:space="preserve"> R</w:t>
      </w:r>
      <w:r w:rsidRPr="002A14A5">
        <w:t>eference case</w:t>
      </w:r>
    </w:p>
    <w:p w14:paraId="75F6215F" w14:textId="18A38459" w:rsidR="00486285" w:rsidRDefault="00486285" w:rsidP="00121708">
      <w:pPr>
        <w:tabs>
          <w:tab w:val="left" w:pos="1560"/>
        </w:tabs>
      </w:pPr>
      <w:r w:rsidRPr="00A8442B">
        <w:t>The negative impact</w:t>
      </w:r>
      <w:r w:rsidR="001063BF">
        <w:t xml:space="preserve"> </w:t>
      </w:r>
      <w:r w:rsidRPr="00A8442B">
        <w:t xml:space="preserve">is driven by higher </w:t>
      </w:r>
      <w:r w:rsidR="00FC5026">
        <w:t xml:space="preserve">investment in the </w:t>
      </w:r>
      <w:r w:rsidRPr="00A8442B">
        <w:t xml:space="preserve">power sector in the </w:t>
      </w:r>
      <w:r w:rsidR="001F7A1C">
        <w:t>C</w:t>
      </w:r>
      <w:r w:rsidR="001F7A1C" w:rsidRPr="00A8442B">
        <w:t xml:space="preserve">onstrained </w:t>
      </w:r>
      <w:r w:rsidRPr="00A8442B">
        <w:t xml:space="preserve">scenario relative to the </w:t>
      </w:r>
      <w:r w:rsidR="001F7A1C">
        <w:t>R</w:t>
      </w:r>
      <w:r w:rsidR="001F7A1C" w:rsidRPr="00A8442B">
        <w:t xml:space="preserve">eference </w:t>
      </w:r>
      <w:r w:rsidRPr="00A8442B">
        <w:t>case as well as</w:t>
      </w:r>
      <w:r w:rsidR="001F7A1C">
        <w:t xml:space="preserve"> by</w:t>
      </w:r>
      <w:r w:rsidR="00FC5026">
        <w:t xml:space="preserve"> </w:t>
      </w:r>
      <w:r>
        <w:t>the</w:t>
      </w:r>
      <w:r w:rsidRPr="00A8442B">
        <w:t xml:space="preserve"> higher electricity price</w:t>
      </w:r>
      <w:r w:rsidR="001F7A1C">
        <w:t>,</w:t>
      </w:r>
      <w:r w:rsidR="0060724C">
        <w:t xml:space="preserve"> which is also driven by the coal fuel cost</w:t>
      </w:r>
      <w:r w:rsidRPr="00A8442B">
        <w:t>. By 2050, cumulative investment in the constrained scenario is 17% (</w:t>
      </w:r>
      <w:r w:rsidR="001F7A1C">
        <w:t xml:space="preserve">ZAR </w:t>
      </w:r>
      <w:r w:rsidRPr="00A8442B">
        <w:t xml:space="preserve">389 bn) higher than in the reference case. The electricity price is nearly 40% or </w:t>
      </w:r>
      <w:r w:rsidR="001F7A1C">
        <w:t xml:space="preserve">ZAR </w:t>
      </w:r>
      <w:r w:rsidRPr="00A8442B">
        <w:t xml:space="preserve">0.33 (2015 </w:t>
      </w:r>
      <w:r w:rsidR="001F7A1C">
        <w:t>ZA</w:t>
      </w:r>
      <w:r w:rsidRPr="00A8442B">
        <w:t>R/kWh) higher (see Figure 1</w:t>
      </w:r>
      <w:r w:rsidR="001063BF">
        <w:t>4</w:t>
      </w:r>
      <w:r w:rsidRPr="00A8442B">
        <w:t>).</w:t>
      </w:r>
    </w:p>
    <w:p w14:paraId="0CD2187C" w14:textId="58FCD14B" w:rsidR="00486285" w:rsidRDefault="00486285" w:rsidP="00486285">
      <w:r>
        <w:rPr>
          <w:noProof/>
        </w:rPr>
        <w:drawing>
          <wp:inline distT="0" distB="0" distL="0" distR="0" wp14:anchorId="307E9379" wp14:editId="02EC4820">
            <wp:extent cx="2801257" cy="2162175"/>
            <wp:effectExtent l="0" t="0" r="18415" b="9525"/>
            <wp:docPr id="30" name="Chart 30">
              <a:extLst xmlns:a="http://schemas.openxmlformats.org/drawingml/2006/main">
                <a:ext uri="{FF2B5EF4-FFF2-40B4-BE49-F238E27FC236}">
                  <a16:creationId xmlns:a16="http://schemas.microsoft.com/office/drawing/2014/main" id="{32CC34B2-F7AC-4E50-A5DA-2279552C8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D97ABD2" wp14:editId="7EA779F8">
            <wp:extent cx="2902857" cy="2159635"/>
            <wp:effectExtent l="0" t="0" r="12065" b="12065"/>
            <wp:docPr id="31" name="Chart 31">
              <a:extLst xmlns:a="http://schemas.openxmlformats.org/drawingml/2006/main">
                <a:ext uri="{FF2B5EF4-FFF2-40B4-BE49-F238E27FC236}">
                  <a16:creationId xmlns:a16="http://schemas.microsoft.com/office/drawing/2014/main" id="{600A471C-A79D-475D-9232-441AD8EB3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020B76" w14:textId="3175C74A" w:rsidR="00486285" w:rsidRDefault="00486285" w:rsidP="00486285">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14</w:t>
      </w:r>
      <w:r>
        <w:fldChar w:fldCharType="end"/>
      </w:r>
      <w:r w:rsidR="001F7A1C">
        <w:t>:</w:t>
      </w:r>
      <w:r>
        <w:t xml:space="preserve"> </w:t>
      </w:r>
      <w:r w:rsidRPr="002A14A5">
        <w:t xml:space="preserve">Average </w:t>
      </w:r>
      <w:r w:rsidR="00A01CD6">
        <w:t>u</w:t>
      </w:r>
      <w:r w:rsidRPr="002A14A5">
        <w:t xml:space="preserve">nit </w:t>
      </w:r>
      <w:r w:rsidR="00A01CD6">
        <w:t>c</w:t>
      </w:r>
      <w:r w:rsidRPr="002A14A5">
        <w:t xml:space="preserve">ost of </w:t>
      </w:r>
      <w:r w:rsidR="00A01CD6">
        <w:t>e</w:t>
      </w:r>
      <w:r w:rsidRPr="002A14A5">
        <w:t xml:space="preserve">lectricity and </w:t>
      </w:r>
      <w:r w:rsidR="00A01CD6">
        <w:t>c</w:t>
      </w:r>
      <w:r w:rsidRPr="002A14A5">
        <w:t xml:space="preserve">umulative </w:t>
      </w:r>
      <w:r w:rsidR="00A01CD6">
        <w:t>i</w:t>
      </w:r>
      <w:r w:rsidRPr="002A14A5">
        <w:t xml:space="preserve">nvestment in </w:t>
      </w:r>
      <w:r w:rsidR="001F7A1C">
        <w:t xml:space="preserve">the </w:t>
      </w:r>
      <w:r w:rsidR="00A01CD6">
        <w:t>e</w:t>
      </w:r>
      <w:r w:rsidRPr="002A14A5">
        <w:t>lectricity sector</w:t>
      </w:r>
    </w:p>
    <w:p w14:paraId="0A1C8B76" w14:textId="06956171" w:rsidR="00A01CD6" w:rsidRDefault="00F11007" w:rsidP="002D282B">
      <w:r>
        <w:t xml:space="preserve">Total and power sector emissions </w:t>
      </w:r>
      <w:r w:rsidR="002D282B">
        <w:t>are</w:t>
      </w:r>
      <w:r>
        <w:t xml:space="preserve"> higher in the </w:t>
      </w:r>
      <w:r w:rsidR="001F7A1C">
        <w:t xml:space="preserve">Constrained </w:t>
      </w:r>
      <w:r>
        <w:t xml:space="preserve">scenario than in the </w:t>
      </w:r>
      <w:r w:rsidR="001F7A1C">
        <w:t xml:space="preserve">Reference </w:t>
      </w:r>
      <w:r>
        <w:t>case</w:t>
      </w:r>
      <w:r w:rsidR="002D282B">
        <w:t xml:space="preserve"> (see Figure </w:t>
      </w:r>
      <w:r w:rsidR="00BC2B91">
        <w:t>1</w:t>
      </w:r>
      <w:r w:rsidR="00A01CD6">
        <w:t>5</w:t>
      </w:r>
      <w:r w:rsidR="002D282B">
        <w:t xml:space="preserve">). By 2050, total emissions are </w:t>
      </w:r>
      <w:r w:rsidR="00BC2B91">
        <w:t>172</w:t>
      </w:r>
      <w:r w:rsidR="002D282B">
        <w:t xml:space="preserve"> M</w:t>
      </w:r>
      <w:r w:rsidR="00D74EDB">
        <w:t xml:space="preserve">t </w:t>
      </w:r>
      <w:r w:rsidR="002D282B">
        <w:t>CO</w:t>
      </w:r>
      <w:r w:rsidR="00D74EDB">
        <w:rPr>
          <w:vertAlign w:val="subscript"/>
        </w:rPr>
        <w:t>2</w:t>
      </w:r>
      <w:r w:rsidR="00D74EDB">
        <w:t>-</w:t>
      </w:r>
      <w:r w:rsidR="002D282B">
        <w:t xml:space="preserve">eq higher in the </w:t>
      </w:r>
      <w:r w:rsidR="00D74EDB">
        <w:t xml:space="preserve">RE </w:t>
      </w:r>
      <w:r w:rsidR="001F7A1C">
        <w:t xml:space="preserve">Constrained </w:t>
      </w:r>
      <w:r w:rsidR="002D282B">
        <w:t xml:space="preserve">scenario than in the </w:t>
      </w:r>
      <w:r w:rsidR="001F7A1C">
        <w:t xml:space="preserve">Reference </w:t>
      </w:r>
      <w:r w:rsidR="002D282B">
        <w:t xml:space="preserve">case and power sector emissions are </w:t>
      </w:r>
      <w:r w:rsidR="00BC2B91">
        <w:t>170</w:t>
      </w:r>
      <w:r w:rsidR="002D282B">
        <w:t xml:space="preserve"> </w:t>
      </w:r>
      <w:r w:rsidR="00D74EDB">
        <w:t>Mt CO</w:t>
      </w:r>
      <w:r w:rsidR="00D74EDB">
        <w:rPr>
          <w:vertAlign w:val="subscript"/>
        </w:rPr>
        <w:t>2</w:t>
      </w:r>
      <w:r w:rsidR="00D74EDB">
        <w:t xml:space="preserve">-eq </w:t>
      </w:r>
      <w:r w:rsidR="002D282B">
        <w:t>higher.</w:t>
      </w:r>
    </w:p>
    <w:p w14:paraId="541E6C2D" w14:textId="79CC0E62" w:rsidR="003D588C" w:rsidRDefault="002A5328" w:rsidP="002D282B">
      <w:pPr>
        <w:jc w:val="center"/>
      </w:pPr>
      <w:r>
        <w:rPr>
          <w:noProof/>
        </w:rPr>
        <w:drawing>
          <wp:inline distT="0" distB="0" distL="0" distR="0" wp14:anchorId="1331C3FB" wp14:editId="195D6EC1">
            <wp:extent cx="4103827" cy="2750515"/>
            <wp:effectExtent l="0" t="0" r="11430" b="12065"/>
            <wp:docPr id="92" name="Chart 92">
              <a:extLst xmlns:a="http://schemas.openxmlformats.org/drawingml/2006/main">
                <a:ext uri="{FF2B5EF4-FFF2-40B4-BE49-F238E27FC236}">
                  <a16:creationId xmlns:a16="http://schemas.microsoft.com/office/drawing/2014/main" id="{99DC5AA2-CFC7-455E-B9F2-21E975FA25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7C613" w14:textId="7AA13170" w:rsidR="002A14A5" w:rsidRDefault="002A14A5" w:rsidP="00C822BA">
      <w:pPr>
        <w:pStyle w:val="Caption"/>
        <w:spacing w:before="0" w:after="240"/>
        <w:jc w:val="center"/>
      </w:pPr>
      <w:r>
        <w:t xml:space="preserve">Figure </w:t>
      </w:r>
      <w:r>
        <w:fldChar w:fldCharType="begin"/>
      </w:r>
      <w:r>
        <w:instrText xml:space="preserve"> SEQ Figure \* ARABIC </w:instrText>
      </w:r>
      <w:r>
        <w:fldChar w:fldCharType="separate"/>
      </w:r>
      <w:r w:rsidR="00CD6E58">
        <w:rPr>
          <w:noProof/>
        </w:rPr>
        <w:t>15</w:t>
      </w:r>
      <w:r>
        <w:fldChar w:fldCharType="end"/>
      </w:r>
      <w:r w:rsidR="001F7A1C">
        <w:t>:</w:t>
      </w:r>
      <w:r>
        <w:t xml:space="preserve"> Total </w:t>
      </w:r>
      <w:r w:rsidR="00F81BB3">
        <w:t xml:space="preserve">(excluding </w:t>
      </w:r>
      <w:r w:rsidR="001F7A1C">
        <w:t xml:space="preserve">waste </w:t>
      </w:r>
      <w:r w:rsidR="00F81BB3">
        <w:t xml:space="preserve">and AFOLU) </w:t>
      </w:r>
      <w:r>
        <w:t>and power sector emissions by scenario</w:t>
      </w:r>
    </w:p>
    <w:p w14:paraId="3E75D343" w14:textId="38A67700" w:rsidR="002A14A5" w:rsidRDefault="002A14A5" w:rsidP="003A485E">
      <w:pPr>
        <w:pStyle w:val="Caption"/>
        <w:spacing w:before="0" w:after="240"/>
        <w:jc w:val="center"/>
      </w:pPr>
      <w:bookmarkStart w:id="13" w:name="_we871i1csd8p" w:colFirst="0" w:colLast="0"/>
      <w:bookmarkEnd w:id="13"/>
    </w:p>
    <w:p w14:paraId="6C030B18" w14:textId="77777777" w:rsidR="00202EE7" w:rsidRDefault="00202EE7">
      <w:pPr>
        <w:spacing w:after="160" w:line="259" w:lineRule="auto"/>
        <w:jc w:val="left"/>
        <w:rPr>
          <w:rFonts w:eastAsia="Times New Roman" w:cs="Times New Roman"/>
          <w:b/>
          <w:bCs/>
          <w:caps/>
          <w:color w:val="538135" w:themeColor="accent6" w:themeShade="BF"/>
          <w:sz w:val="28"/>
          <w:szCs w:val="28"/>
        </w:rPr>
      </w:pPr>
      <w:r>
        <w:br w:type="page"/>
      </w:r>
    </w:p>
    <w:p w14:paraId="6066A343" w14:textId="35251E2A" w:rsidR="00792546" w:rsidRDefault="00792546" w:rsidP="00792546">
      <w:pPr>
        <w:pStyle w:val="Heading1"/>
        <w:spacing w:line="276" w:lineRule="auto"/>
      </w:pPr>
      <w:r>
        <w:t>Conclusion</w:t>
      </w:r>
    </w:p>
    <w:p w14:paraId="01517FCD" w14:textId="2A090CBA" w:rsidR="00C77EB2" w:rsidRDefault="00792546" w:rsidP="00D85951">
      <w:r>
        <w:t xml:space="preserve">This paper </w:t>
      </w:r>
      <w:r w:rsidR="00F9062E">
        <w:t xml:space="preserve">has presented an updated modelling methodology for </w:t>
      </w:r>
      <w:r w:rsidR="00766E19">
        <w:t xml:space="preserve">analysing </w:t>
      </w:r>
      <w:r w:rsidR="00F9062E">
        <w:t>energy</w:t>
      </w:r>
      <w:r w:rsidR="00766E19">
        <w:t xml:space="preserve"> and emissions</w:t>
      </w:r>
      <w:r w:rsidR="00F9062E">
        <w:t xml:space="preserve"> pathways for South Africa and their corresponding impacts on economic development. </w:t>
      </w:r>
      <w:r w:rsidR="00D74EDB">
        <w:t>T</w:t>
      </w:r>
      <w:r w:rsidR="00F9062E">
        <w:t>he updated methodology inclu</w:t>
      </w:r>
      <w:r w:rsidR="00D74EDB">
        <w:t>des higher detail</w:t>
      </w:r>
      <w:r w:rsidR="00F9062E">
        <w:t xml:space="preserve"> of the coal and electricity sectors in the energy model and strengthens the relationship between these sectors in the</w:t>
      </w:r>
      <w:r w:rsidR="00040B5E">
        <w:t xml:space="preserve"> hard-linked</w:t>
      </w:r>
      <w:r w:rsidR="00766E19">
        <w:t xml:space="preserve"> energy-economic</w:t>
      </w:r>
      <w:r w:rsidR="00F9062E">
        <w:t xml:space="preserve"> model</w:t>
      </w:r>
      <w:r w:rsidR="00C77EB2">
        <w:t xml:space="preserve"> </w:t>
      </w:r>
      <w:r w:rsidR="00D74EDB">
        <w:t>(</w:t>
      </w:r>
      <w:r w:rsidR="00C77EB2">
        <w:t>thus improving the consistency between the two models</w:t>
      </w:r>
      <w:r w:rsidR="00D74EDB">
        <w:t>)</w:t>
      </w:r>
      <w:r w:rsidR="00F9062E">
        <w:t>.</w:t>
      </w:r>
      <w:r w:rsidR="00475D2F">
        <w:t xml:space="preserve"> </w:t>
      </w:r>
      <w:r w:rsidR="00C77EB2">
        <w:t xml:space="preserve">A key advancement in the methodology is the improved link to employment impacts through </w:t>
      </w:r>
      <w:r w:rsidR="00D74EDB">
        <w:t xml:space="preserve">explicit technology-specific </w:t>
      </w:r>
      <w:r w:rsidR="00C77EB2">
        <w:t>labour intensities.</w:t>
      </w:r>
    </w:p>
    <w:p w14:paraId="5C9223B8" w14:textId="2BFCC50E" w:rsidR="00792546" w:rsidRDefault="008008CE" w:rsidP="00D85951">
      <w:r>
        <w:t xml:space="preserve">The updated framework </w:t>
      </w:r>
      <w:r w:rsidR="00040B5E">
        <w:t xml:space="preserve">provides </w:t>
      </w:r>
      <w:r>
        <w:t xml:space="preserve">useful </w:t>
      </w:r>
      <w:r w:rsidR="00040B5E">
        <w:t xml:space="preserve">information </w:t>
      </w:r>
      <w:r>
        <w:t xml:space="preserve">for policy development </w:t>
      </w:r>
      <w:r w:rsidR="00040B5E">
        <w:t>aimed at limiting the</w:t>
      </w:r>
      <w:r w:rsidR="00A27442">
        <w:t xml:space="preserve"> costs to the economy</w:t>
      </w:r>
      <w:r w:rsidR="00040B5E">
        <w:t xml:space="preserve"> o</w:t>
      </w:r>
      <w:r>
        <w:t>f changes in the energy system</w:t>
      </w:r>
      <w:r w:rsidR="00040B5E">
        <w:t>.</w:t>
      </w:r>
      <w:r>
        <w:t xml:space="preserve"> </w:t>
      </w:r>
      <w:r w:rsidR="00C807B3">
        <w:t xml:space="preserve">As </w:t>
      </w:r>
      <w:r w:rsidR="009C2174">
        <w:t>illustrated</w:t>
      </w:r>
      <w:r w:rsidR="00B61BCB">
        <w:t>,</w:t>
      </w:r>
      <w:r w:rsidR="00C807B3">
        <w:t xml:space="preserve"> the outputs from the framework present</w:t>
      </w:r>
      <w:r w:rsidR="009C2174">
        <w:t xml:space="preserve"> the</w:t>
      </w:r>
      <w:r w:rsidR="00C807B3">
        <w:t xml:space="preserve"> timing of power station</w:t>
      </w:r>
      <w:r w:rsidR="00A27442">
        <w:t xml:space="preserve"> ramp downs and closures and the associated impacts on coal demand decline</w:t>
      </w:r>
      <w:r w:rsidR="009C2174">
        <w:t>s</w:t>
      </w:r>
      <w:r w:rsidR="00A27442">
        <w:t xml:space="preserve"> </w:t>
      </w:r>
      <w:r w:rsidR="00C807B3">
        <w:t>linked</w:t>
      </w:r>
      <w:r w:rsidR="00A27442">
        <w:t xml:space="preserve"> to the</w:t>
      </w:r>
      <w:r w:rsidR="009C2174">
        <w:t>se and the</w:t>
      </w:r>
      <w:r w:rsidR="00A27442">
        <w:t xml:space="preserve"> </w:t>
      </w:r>
      <w:r w:rsidR="009C2174">
        <w:t>respective</w:t>
      </w:r>
      <w:r w:rsidR="00C807B3">
        <w:t xml:space="preserve"> mines</w:t>
      </w:r>
      <w:r w:rsidR="00A27442">
        <w:t>.</w:t>
      </w:r>
      <w:r w:rsidR="00BD5F98">
        <w:t xml:space="preserve"> The methodology furthermore</w:t>
      </w:r>
      <w:r w:rsidR="00475D2F">
        <w:t xml:space="preserve"> allows for</w:t>
      </w:r>
      <w:r w:rsidR="00BD5F98">
        <w:t xml:space="preserve"> identifi</w:t>
      </w:r>
      <w:r w:rsidR="00475D2F">
        <w:t>cation and costing of refurbishments needed to the existing power fleet to ensure that they are legislatively compliant as in McCall et al. (2019).</w:t>
      </w:r>
      <w:r w:rsidR="00BD5F98">
        <w:t xml:space="preserve"> </w:t>
      </w:r>
    </w:p>
    <w:p w14:paraId="1EF03E45" w14:textId="1B2078EA" w:rsidR="009C2174" w:rsidRDefault="00A27442" w:rsidP="00A27442">
      <w:pPr>
        <w:rPr>
          <w:rFonts w:ascii="Calibri" w:eastAsia="Calibri" w:hAnsi="Calibri" w:cs="Calibri"/>
        </w:rPr>
      </w:pPr>
      <w:r>
        <w:rPr>
          <w:rFonts w:ascii="Calibri" w:eastAsia="Calibri" w:hAnsi="Calibri" w:cs="Calibri"/>
        </w:rPr>
        <w:t xml:space="preserve">As a model application, the paper assesses the economic impacts of constraining renewable energy capacity in electricity production relative to not doing so. </w:t>
      </w:r>
      <w:r w:rsidR="00040B5E">
        <w:t xml:space="preserve">The key findings from this </w:t>
      </w:r>
      <w:r>
        <w:t>analysis shows that</w:t>
      </w:r>
      <w:r w:rsidR="006004A5">
        <w:t>,</w:t>
      </w:r>
      <w:r>
        <w:t xml:space="preserve"> with rising coal costs and</w:t>
      </w:r>
      <w:r w:rsidR="00712C61">
        <w:rPr>
          <w:rFonts w:ascii="Calibri" w:eastAsia="Calibri" w:hAnsi="Calibri" w:cs="Calibri"/>
        </w:rPr>
        <w:t xml:space="preserve"> lower </w:t>
      </w:r>
      <w:r>
        <w:rPr>
          <w:rFonts w:ascii="Calibri" w:eastAsia="Calibri" w:hAnsi="Calibri" w:cs="Calibri"/>
        </w:rPr>
        <w:t xml:space="preserve">coal export </w:t>
      </w:r>
      <w:r w:rsidR="00712C61">
        <w:rPr>
          <w:rFonts w:ascii="Calibri" w:eastAsia="Calibri" w:hAnsi="Calibri" w:cs="Calibri"/>
        </w:rPr>
        <w:t>demand</w:t>
      </w:r>
      <w:r w:rsidR="00C77EB2">
        <w:rPr>
          <w:rFonts w:ascii="Calibri" w:eastAsia="Calibri" w:hAnsi="Calibri" w:cs="Calibri"/>
        </w:rPr>
        <w:t>,</w:t>
      </w:r>
      <w:r w:rsidR="00712C61">
        <w:rPr>
          <w:rFonts w:ascii="Calibri" w:eastAsia="Calibri" w:hAnsi="Calibri" w:cs="Calibri"/>
        </w:rPr>
        <w:t xml:space="preserve"> persisting with </w:t>
      </w:r>
      <w:r w:rsidR="00CD266C">
        <w:rPr>
          <w:rFonts w:ascii="Calibri" w:eastAsia="Calibri" w:hAnsi="Calibri" w:cs="Calibri"/>
        </w:rPr>
        <w:t>coal-based</w:t>
      </w:r>
      <w:r>
        <w:rPr>
          <w:rFonts w:ascii="Calibri" w:eastAsia="Calibri" w:hAnsi="Calibri" w:cs="Calibri"/>
        </w:rPr>
        <w:t xml:space="preserve"> power generation</w:t>
      </w:r>
      <w:r w:rsidR="00712C61">
        <w:rPr>
          <w:rFonts w:ascii="Calibri" w:eastAsia="Calibri" w:hAnsi="Calibri" w:cs="Calibri"/>
        </w:rPr>
        <w:t xml:space="preserve"> does not “save jobs” </w:t>
      </w:r>
      <w:r>
        <w:rPr>
          <w:rFonts w:ascii="Calibri" w:eastAsia="Calibri" w:hAnsi="Calibri" w:cs="Calibri"/>
        </w:rPr>
        <w:t>in</w:t>
      </w:r>
      <w:r w:rsidR="00712C61">
        <w:rPr>
          <w:rFonts w:ascii="Calibri" w:eastAsia="Calibri" w:hAnsi="Calibri" w:cs="Calibri"/>
        </w:rPr>
        <w:t xml:space="preserve"> South Africa at </w:t>
      </w:r>
      <w:r>
        <w:rPr>
          <w:rFonts w:ascii="Calibri" w:eastAsia="Calibri" w:hAnsi="Calibri" w:cs="Calibri"/>
        </w:rPr>
        <w:t>the aggregate</w:t>
      </w:r>
      <w:r w:rsidR="00712C61">
        <w:rPr>
          <w:rFonts w:ascii="Calibri" w:eastAsia="Calibri" w:hAnsi="Calibri" w:cs="Calibri"/>
        </w:rPr>
        <w:t xml:space="preserve"> level</w:t>
      </w:r>
      <w:r>
        <w:rPr>
          <w:rFonts w:ascii="Calibri" w:eastAsia="Calibri" w:hAnsi="Calibri" w:cs="Calibri"/>
        </w:rPr>
        <w:t xml:space="preserve">. Relative to the reference case, the constrained scenario results in ~1 million fewer jobs being created in the economy </w:t>
      </w:r>
      <w:r w:rsidR="00CD266C">
        <w:rPr>
          <w:rFonts w:ascii="Calibri" w:eastAsia="Calibri" w:hAnsi="Calibri" w:cs="Calibri"/>
        </w:rPr>
        <w:t>(</w:t>
      </w:r>
      <w:r>
        <w:rPr>
          <w:rFonts w:ascii="Calibri" w:eastAsia="Calibri" w:hAnsi="Calibri" w:cs="Calibri"/>
        </w:rPr>
        <w:t>net the jobs saved in coal</w:t>
      </w:r>
      <w:r w:rsidR="006004A5">
        <w:rPr>
          <w:rFonts w:ascii="Calibri" w:eastAsia="Calibri" w:hAnsi="Calibri" w:cs="Calibri"/>
        </w:rPr>
        <w:t>-</w:t>
      </w:r>
      <w:r>
        <w:rPr>
          <w:rFonts w:ascii="Calibri" w:eastAsia="Calibri" w:hAnsi="Calibri" w:cs="Calibri"/>
        </w:rPr>
        <w:t>mining</w:t>
      </w:r>
      <w:r w:rsidR="00CD266C">
        <w:rPr>
          <w:rFonts w:ascii="Calibri" w:eastAsia="Calibri" w:hAnsi="Calibri" w:cs="Calibri"/>
        </w:rPr>
        <w:t>), including fewer unskilled jobs. Apart from the higher investment levels needed in the constrained scenario, the electricity price is also higher</w:t>
      </w:r>
      <w:r w:rsidR="00C77EB2">
        <w:rPr>
          <w:rFonts w:ascii="Calibri" w:eastAsia="Calibri" w:hAnsi="Calibri" w:cs="Calibri"/>
        </w:rPr>
        <w:t xml:space="preserve">, </w:t>
      </w:r>
      <w:r w:rsidR="00CD266C">
        <w:rPr>
          <w:rFonts w:ascii="Calibri" w:eastAsia="Calibri" w:hAnsi="Calibri" w:cs="Calibri"/>
        </w:rPr>
        <w:t>negatively affect</w:t>
      </w:r>
      <w:r w:rsidR="00C77EB2">
        <w:rPr>
          <w:rFonts w:ascii="Calibri" w:eastAsia="Calibri" w:hAnsi="Calibri" w:cs="Calibri"/>
        </w:rPr>
        <w:t>ing</w:t>
      </w:r>
      <w:r w:rsidR="00CD266C">
        <w:rPr>
          <w:rFonts w:ascii="Calibri" w:eastAsia="Calibri" w:hAnsi="Calibri" w:cs="Calibri"/>
        </w:rPr>
        <w:t xml:space="preserve"> production</w:t>
      </w:r>
      <w:r w:rsidR="006004A5">
        <w:rPr>
          <w:rFonts w:ascii="Calibri" w:eastAsia="Calibri" w:hAnsi="Calibri" w:cs="Calibri"/>
        </w:rPr>
        <w:t>,</w:t>
      </w:r>
      <w:r w:rsidR="00CD266C">
        <w:rPr>
          <w:rFonts w:ascii="Calibri" w:eastAsia="Calibri" w:hAnsi="Calibri" w:cs="Calibri"/>
        </w:rPr>
        <w:t xml:space="preserve"> particularly in electricity-intensive sectors which are also key export sectors. Furthermore, the results show that lost coal</w:t>
      </w:r>
      <w:r w:rsidR="00103CA8">
        <w:rPr>
          <w:rFonts w:ascii="Calibri" w:eastAsia="Calibri" w:hAnsi="Calibri" w:cs="Calibri"/>
        </w:rPr>
        <w:t>-based</w:t>
      </w:r>
      <w:r w:rsidR="00CD266C">
        <w:rPr>
          <w:rFonts w:ascii="Calibri" w:eastAsia="Calibri" w:hAnsi="Calibri" w:cs="Calibri"/>
        </w:rPr>
        <w:t xml:space="preserve"> power generation jobs are more than offset by increased employment in other generation technologies</w:t>
      </w:r>
      <w:r w:rsidR="004B7DE3">
        <w:rPr>
          <w:rFonts w:ascii="Calibri" w:eastAsia="Calibri" w:hAnsi="Calibri" w:cs="Calibri"/>
        </w:rPr>
        <w:t>,</w:t>
      </w:r>
      <w:r w:rsidR="00CD266C">
        <w:rPr>
          <w:rFonts w:ascii="Calibri" w:eastAsia="Calibri" w:hAnsi="Calibri" w:cs="Calibri"/>
        </w:rPr>
        <w:t xml:space="preserve"> such as solar PV and </w:t>
      </w:r>
      <w:r w:rsidR="00103CA8">
        <w:rPr>
          <w:rFonts w:ascii="Calibri" w:eastAsia="Calibri" w:hAnsi="Calibri" w:cs="Calibri"/>
        </w:rPr>
        <w:t>wind</w:t>
      </w:r>
      <w:r w:rsidR="00CD266C">
        <w:rPr>
          <w:rFonts w:ascii="Calibri" w:eastAsia="Calibri" w:hAnsi="Calibri" w:cs="Calibri"/>
        </w:rPr>
        <w:t>.</w:t>
      </w:r>
      <w:r w:rsidR="004C75B5">
        <w:rPr>
          <w:rFonts w:ascii="Calibri" w:eastAsia="Calibri" w:hAnsi="Calibri" w:cs="Calibri"/>
        </w:rPr>
        <w:t xml:space="preserve"> </w:t>
      </w:r>
    </w:p>
    <w:p w14:paraId="4DF8306D" w14:textId="38B8B2F2" w:rsidR="009673C0" w:rsidRDefault="004C75B5" w:rsidP="00A27442">
      <w:pPr>
        <w:rPr>
          <w:rFonts w:ascii="Calibri" w:eastAsia="Calibri" w:hAnsi="Calibri" w:cs="Calibri"/>
        </w:rPr>
      </w:pPr>
      <w:r>
        <w:rPr>
          <w:rFonts w:ascii="Calibri" w:eastAsia="Calibri" w:hAnsi="Calibri" w:cs="Calibri"/>
        </w:rPr>
        <w:t>Constraining renewable additions</w:t>
      </w:r>
      <w:r w:rsidR="00103CA8">
        <w:rPr>
          <w:rFonts w:ascii="Calibri" w:eastAsia="Calibri" w:hAnsi="Calibri" w:cs="Calibri"/>
        </w:rPr>
        <w:t xml:space="preserve"> also</w:t>
      </w:r>
      <w:r>
        <w:rPr>
          <w:rFonts w:ascii="Calibri" w:eastAsia="Calibri" w:hAnsi="Calibri" w:cs="Calibri"/>
        </w:rPr>
        <w:t xml:space="preserve"> limits the ability </w:t>
      </w:r>
      <w:r w:rsidR="004B7DE3">
        <w:rPr>
          <w:rFonts w:ascii="Calibri" w:eastAsia="Calibri" w:hAnsi="Calibri" w:cs="Calibri"/>
        </w:rPr>
        <w:t xml:space="preserve">of </w:t>
      </w:r>
      <w:r>
        <w:rPr>
          <w:rFonts w:ascii="Calibri" w:eastAsia="Calibri" w:hAnsi="Calibri" w:cs="Calibri"/>
        </w:rPr>
        <w:t xml:space="preserve">South Africa to reduce its emissions and achieve the </w:t>
      </w:r>
      <w:r w:rsidR="004B7DE3">
        <w:rPr>
          <w:rFonts w:ascii="Calibri" w:eastAsia="Calibri" w:hAnsi="Calibri" w:cs="Calibri"/>
        </w:rPr>
        <w:t>set-</w:t>
      </w:r>
      <w:r>
        <w:rPr>
          <w:rFonts w:ascii="Calibri" w:eastAsia="Calibri" w:hAnsi="Calibri" w:cs="Calibri"/>
        </w:rPr>
        <w:t xml:space="preserve">out Nationally Determined Contribution. As is well </w:t>
      </w:r>
      <w:r w:rsidR="009C2174">
        <w:rPr>
          <w:rFonts w:ascii="Calibri" w:eastAsia="Calibri" w:hAnsi="Calibri" w:cs="Calibri"/>
        </w:rPr>
        <w:t>understood,</w:t>
      </w:r>
      <w:r>
        <w:rPr>
          <w:rFonts w:ascii="Calibri" w:eastAsia="Calibri" w:hAnsi="Calibri" w:cs="Calibri"/>
        </w:rPr>
        <w:t xml:space="preserve"> </w:t>
      </w:r>
      <w:r w:rsidR="004B7DE3">
        <w:rPr>
          <w:rFonts w:ascii="Calibri" w:eastAsia="Calibri" w:hAnsi="Calibri" w:cs="Calibri"/>
        </w:rPr>
        <w:t xml:space="preserve">decarbonization </w:t>
      </w:r>
      <w:r>
        <w:rPr>
          <w:rFonts w:ascii="Calibri" w:eastAsia="Calibri" w:hAnsi="Calibri" w:cs="Calibri"/>
        </w:rPr>
        <w:t>in the power sector is key to reducing</w:t>
      </w:r>
      <w:r w:rsidR="009C2174">
        <w:rPr>
          <w:rFonts w:ascii="Calibri" w:eastAsia="Calibri" w:hAnsi="Calibri" w:cs="Calibri"/>
        </w:rPr>
        <w:t xml:space="preserve"> national</w:t>
      </w:r>
      <w:r>
        <w:rPr>
          <w:rFonts w:ascii="Calibri" w:eastAsia="Calibri" w:hAnsi="Calibri" w:cs="Calibri"/>
        </w:rPr>
        <w:t xml:space="preserve"> emissions</w:t>
      </w:r>
      <w:r w:rsidR="004B7DE3">
        <w:rPr>
          <w:rFonts w:ascii="Calibri" w:eastAsia="Calibri" w:hAnsi="Calibri" w:cs="Calibri"/>
        </w:rPr>
        <w:t>,</w:t>
      </w:r>
      <w:r w:rsidR="009673C0">
        <w:rPr>
          <w:rFonts w:ascii="Calibri" w:eastAsia="Calibri" w:hAnsi="Calibri" w:cs="Calibri"/>
        </w:rPr>
        <w:t xml:space="preserve"> and the only way to do this is to reduce the level of coal used </w:t>
      </w:r>
      <w:r w:rsidR="00103CA8">
        <w:rPr>
          <w:rFonts w:ascii="Calibri" w:eastAsia="Calibri" w:hAnsi="Calibri" w:cs="Calibri"/>
        </w:rPr>
        <w:t>in</w:t>
      </w:r>
      <w:r w:rsidR="009673C0">
        <w:rPr>
          <w:rFonts w:ascii="Calibri" w:eastAsia="Calibri" w:hAnsi="Calibri" w:cs="Calibri"/>
        </w:rPr>
        <w:t xml:space="preserve"> power generation</w:t>
      </w:r>
      <w:r>
        <w:rPr>
          <w:rFonts w:ascii="Calibri" w:eastAsia="Calibri" w:hAnsi="Calibri" w:cs="Calibri"/>
        </w:rPr>
        <w:t>.</w:t>
      </w:r>
      <w:r w:rsidR="009C2174">
        <w:rPr>
          <w:rFonts w:ascii="Calibri" w:eastAsia="Calibri" w:hAnsi="Calibri" w:cs="Calibri"/>
        </w:rPr>
        <w:t xml:space="preserve"> </w:t>
      </w:r>
      <w:r w:rsidR="00376831">
        <w:rPr>
          <w:rFonts w:ascii="Calibri" w:eastAsia="Calibri" w:hAnsi="Calibri" w:cs="Calibri"/>
        </w:rPr>
        <w:t>Polic</w:t>
      </w:r>
      <w:r w:rsidR="00103CA8">
        <w:rPr>
          <w:rFonts w:ascii="Calibri" w:eastAsia="Calibri" w:hAnsi="Calibri" w:cs="Calibri"/>
        </w:rPr>
        <w:t>ymakers</w:t>
      </w:r>
      <w:r w:rsidR="00376831">
        <w:rPr>
          <w:rFonts w:ascii="Calibri" w:eastAsia="Calibri" w:hAnsi="Calibri" w:cs="Calibri"/>
        </w:rPr>
        <w:t xml:space="preserve"> therefore need to address the challenges facing </w:t>
      </w:r>
      <w:r w:rsidR="004B7DE3">
        <w:rPr>
          <w:rFonts w:ascii="Calibri" w:eastAsia="Calibri" w:hAnsi="Calibri" w:cs="Calibri"/>
        </w:rPr>
        <w:t>coal-</w:t>
      </w:r>
      <w:r w:rsidR="00376831">
        <w:rPr>
          <w:rFonts w:ascii="Calibri" w:eastAsia="Calibri" w:hAnsi="Calibri" w:cs="Calibri"/>
        </w:rPr>
        <w:t xml:space="preserve">producing regions </w:t>
      </w:r>
      <w:r w:rsidR="00103CA8">
        <w:rPr>
          <w:rFonts w:ascii="Calibri" w:eastAsia="Calibri" w:hAnsi="Calibri" w:cs="Calibri"/>
        </w:rPr>
        <w:t xml:space="preserve">and develop policies that enable new activities in these regions </w:t>
      </w:r>
      <w:proofErr w:type="gramStart"/>
      <w:r w:rsidR="00103CA8">
        <w:rPr>
          <w:rFonts w:ascii="Calibri" w:eastAsia="Calibri" w:hAnsi="Calibri" w:cs="Calibri"/>
        </w:rPr>
        <w:t>and also</w:t>
      </w:r>
      <w:proofErr w:type="gramEnd"/>
      <w:r w:rsidR="00103CA8">
        <w:rPr>
          <w:rFonts w:ascii="Calibri" w:eastAsia="Calibri" w:hAnsi="Calibri" w:cs="Calibri"/>
        </w:rPr>
        <w:t xml:space="preserve"> assist displaced workers to transition into other employment opportunities.</w:t>
      </w:r>
    </w:p>
    <w:p w14:paraId="5AE8BA82" w14:textId="20B5B82C" w:rsidR="00E226D3" w:rsidRPr="00103CA8" w:rsidRDefault="009C2174" w:rsidP="00103CA8">
      <w:r>
        <w:t>While the paper includes several of the necessary links for improved analysis of the impacts of a transition away from coal (e.g. employment intensity by power plant</w:t>
      </w:r>
      <w:r w:rsidR="00103CA8">
        <w:t>,</w:t>
      </w:r>
      <w:r>
        <w:t xml:space="preserve"> coal supply source per plant</w:t>
      </w:r>
      <w:r w:rsidR="00103CA8">
        <w:t xml:space="preserve"> and the structure to include employment intensity by coal mine</w:t>
      </w:r>
      <w:r>
        <w:t xml:space="preserve">) further research and data </w:t>
      </w:r>
      <w:r w:rsidR="004B7DE3">
        <w:t xml:space="preserve">are </w:t>
      </w:r>
      <w:r>
        <w:t>required to strengthen and enhance these links and more fully capture the cost of energy transitions. Th</w:t>
      </w:r>
      <w:r w:rsidR="00103CA8">
        <w:t xml:space="preserve">e most critical of these </w:t>
      </w:r>
      <w:r>
        <w:t xml:space="preserve">is </w:t>
      </w:r>
      <w:r w:rsidR="00103CA8">
        <w:t>the availability</w:t>
      </w:r>
      <w:r>
        <w:t xml:space="preserve"> </w:t>
      </w:r>
      <w:r w:rsidR="00103CA8">
        <w:t>of</w:t>
      </w:r>
      <w:r>
        <w:t xml:space="preserve"> data</w:t>
      </w:r>
      <w:r w:rsidR="00103CA8">
        <w:t>, particularly that of</w:t>
      </w:r>
      <w:r>
        <w:t xml:space="preserve"> employment by mine and </w:t>
      </w:r>
      <w:r w:rsidR="004B7DE3">
        <w:t xml:space="preserve">by </w:t>
      </w:r>
      <w:r>
        <w:t>level</w:t>
      </w:r>
      <w:r w:rsidR="006A7016">
        <w:t>s</w:t>
      </w:r>
      <w:r>
        <w:t xml:space="preserve"> of education</w:t>
      </w:r>
      <w:r w:rsidR="006A7016">
        <w:t xml:space="preserve"> and skills amongst workers</w:t>
      </w:r>
      <w:r w:rsidR="00103CA8">
        <w:t xml:space="preserve">. More information is also needed to better understand and model </w:t>
      </w:r>
      <w:r>
        <w:t xml:space="preserve">coal demand and supply outside of the power sector. Further </w:t>
      </w:r>
      <w:r w:rsidR="00103CA8">
        <w:t xml:space="preserve">research on </w:t>
      </w:r>
      <w:r>
        <w:t xml:space="preserve">the geographic and sectoral </w:t>
      </w:r>
      <w:r w:rsidR="006A7016">
        <w:t>(</w:t>
      </w:r>
      <w:r>
        <w:t>im</w:t>
      </w:r>
      <w:r w:rsidR="006A7016">
        <w:t>)</w:t>
      </w:r>
      <w:r>
        <w:t>mobility of labour is also needed to better account for and understand the costs of transitions in the energy system</w:t>
      </w:r>
      <w:r w:rsidR="00103CA8">
        <w:t xml:space="preserve"> and the policy responses needed to mitigate these</w:t>
      </w:r>
      <w:r>
        <w:t>.</w:t>
      </w:r>
      <w:r w:rsidR="00E226D3">
        <w:br w:type="page"/>
      </w:r>
    </w:p>
    <w:p w14:paraId="70EB72C8" w14:textId="2298CC77" w:rsidR="00792546" w:rsidRDefault="00792546" w:rsidP="00D215AB">
      <w:pPr>
        <w:pStyle w:val="Heading1"/>
        <w:numPr>
          <w:ilvl w:val="0"/>
          <w:numId w:val="0"/>
        </w:numPr>
        <w:spacing w:line="276" w:lineRule="auto"/>
      </w:pPr>
      <w:r>
        <w:t>References</w:t>
      </w:r>
    </w:p>
    <w:p w14:paraId="6C803169" w14:textId="766723AF"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Alton, T., C. Arndt, R. Davies, F. Hartley, K. Makrelov, J. Thurlow, and D. Ubogu (2014). Introducing carbon taxes in South Africa. </w:t>
      </w:r>
      <w:r w:rsidRPr="002E796D">
        <w:rPr>
          <w:rFonts w:ascii="Calibri" w:eastAsia="Calibri" w:hAnsi="Calibri" w:cs="Calibri"/>
          <w:i/>
        </w:rPr>
        <w:t>Applied Energy</w:t>
      </w:r>
      <w:r w:rsidRPr="00D908EE">
        <w:rPr>
          <w:rFonts w:ascii="Calibri" w:eastAsia="Calibri" w:hAnsi="Calibri" w:cs="Calibri"/>
        </w:rPr>
        <w:t xml:space="preserve"> 116: 344-354.</w:t>
      </w:r>
    </w:p>
    <w:p w14:paraId="0CF46B27" w14:textId="746CCC44"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Arndt, C., Davies, R.,  Gabriel, S., Makrelov, K., Merven, B., Hartley, F. and Thurlow, J. 2016. A sequential approach to integrated energy </w:t>
      </w:r>
      <w:r w:rsidR="00CE7201" w:rsidRPr="00D908EE">
        <w:rPr>
          <w:rFonts w:ascii="Calibri" w:eastAsia="Calibri" w:hAnsi="Calibri" w:cs="Calibri"/>
        </w:rPr>
        <w:t>modelling</w:t>
      </w:r>
      <w:r w:rsidRPr="00D908EE">
        <w:rPr>
          <w:rFonts w:ascii="Calibri" w:eastAsia="Calibri" w:hAnsi="Calibri" w:cs="Calibri"/>
        </w:rPr>
        <w:t xml:space="preserve"> in South Africa. </w:t>
      </w:r>
      <w:r w:rsidRPr="002E796D">
        <w:rPr>
          <w:rFonts w:ascii="Calibri" w:eastAsia="Calibri" w:hAnsi="Calibri" w:cs="Calibri"/>
          <w:i/>
        </w:rPr>
        <w:t xml:space="preserve"> Applied Energy</w:t>
      </w:r>
      <w:r w:rsidRPr="00D908EE">
        <w:rPr>
          <w:rFonts w:ascii="Calibri" w:eastAsia="Calibri" w:hAnsi="Calibri" w:cs="Calibri"/>
        </w:rPr>
        <w:t xml:space="preserve"> 161: 591-599.</w:t>
      </w:r>
    </w:p>
    <w:p w14:paraId="271E3B9D" w14:textId="060EED76" w:rsidR="00D91DD2" w:rsidRPr="00D908EE" w:rsidRDefault="00D91DD2"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Burton, J., Caetano, T. and McCall, B. 2018. Coal </w:t>
      </w:r>
      <w:r w:rsidR="004B7DE3">
        <w:rPr>
          <w:rFonts w:ascii="Calibri" w:eastAsia="Calibri" w:hAnsi="Calibri" w:cs="Calibri"/>
        </w:rPr>
        <w:t>t</w:t>
      </w:r>
      <w:r w:rsidR="004B7DE3" w:rsidRPr="00D908EE">
        <w:rPr>
          <w:rFonts w:ascii="Calibri" w:eastAsia="Calibri" w:hAnsi="Calibri" w:cs="Calibri"/>
        </w:rPr>
        <w:t xml:space="preserve">ransitions </w:t>
      </w:r>
      <w:r w:rsidRPr="00D908EE">
        <w:rPr>
          <w:rFonts w:ascii="Calibri" w:eastAsia="Calibri" w:hAnsi="Calibri" w:cs="Calibri"/>
        </w:rPr>
        <w:t xml:space="preserve">in South Africa: </w:t>
      </w:r>
      <w:r w:rsidR="004B7DE3">
        <w:rPr>
          <w:rFonts w:ascii="Calibri" w:eastAsia="Calibri" w:hAnsi="Calibri" w:cs="Calibri"/>
        </w:rPr>
        <w:t>U</w:t>
      </w:r>
      <w:r w:rsidR="004B7DE3" w:rsidRPr="00D908EE">
        <w:rPr>
          <w:rFonts w:ascii="Calibri" w:eastAsia="Calibri" w:hAnsi="Calibri" w:cs="Calibri"/>
        </w:rPr>
        <w:t xml:space="preserve">nderstanding </w:t>
      </w:r>
      <w:r w:rsidRPr="00D908EE">
        <w:rPr>
          <w:rFonts w:ascii="Calibri" w:eastAsia="Calibri" w:hAnsi="Calibri" w:cs="Calibri"/>
        </w:rPr>
        <w:t>the implications of a 2C-compatible coal phase out plan for South Africa. Energy Research Centre, University of Cape Town, Cape Town.</w:t>
      </w:r>
    </w:p>
    <w:p w14:paraId="2F6FA862" w14:textId="0DC935EC" w:rsidR="00D76461" w:rsidRPr="00D908EE" w:rsidRDefault="00D76461" w:rsidP="00D908EE">
      <w:pPr>
        <w:spacing w:after="0" w:line="276" w:lineRule="auto"/>
        <w:ind w:left="227" w:hanging="227"/>
        <w:jc w:val="left"/>
        <w:rPr>
          <w:rFonts w:ascii="Calibri" w:eastAsia="Calibri" w:hAnsi="Calibri" w:cs="Calibri"/>
        </w:rPr>
      </w:pPr>
      <w:r w:rsidRPr="00D908EE">
        <w:rPr>
          <w:rFonts w:ascii="Calibri" w:eastAsia="Calibri" w:hAnsi="Calibri" w:cs="Calibri"/>
        </w:rPr>
        <w:t>Dentons, 2015. Report in respect of the investigation into the status of the business and challenges experienced by Eskom.  2 July 2015.</w:t>
      </w:r>
    </w:p>
    <w:p w14:paraId="57A835A7" w14:textId="7777777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Dervis. K., de Melo, J. and Robinson, S. 1982. </w:t>
      </w:r>
      <w:r w:rsidRPr="002E796D">
        <w:rPr>
          <w:rFonts w:ascii="Calibri" w:eastAsia="Calibri" w:hAnsi="Calibri" w:cs="Calibri"/>
          <w:i/>
        </w:rPr>
        <w:t xml:space="preserve">General equilibrium models for development policy. </w:t>
      </w:r>
      <w:r w:rsidRPr="00D908EE">
        <w:rPr>
          <w:rFonts w:ascii="Calibri" w:eastAsia="Calibri" w:hAnsi="Calibri" w:cs="Calibri"/>
        </w:rPr>
        <w:t>New York, USA: Cambridge University Press.</w:t>
      </w:r>
    </w:p>
    <w:p w14:paraId="6B1F251A" w14:textId="647E24CA"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Diao, X. and Thurlow, J. 2012. A recursive dynamic computable general equilibrium model. In: Diao, X</w:t>
      </w:r>
      <w:r w:rsidR="00893BE8" w:rsidRPr="00D908EE">
        <w:rPr>
          <w:rFonts w:ascii="Calibri" w:eastAsia="Calibri" w:hAnsi="Calibri" w:cs="Calibri"/>
        </w:rPr>
        <w:t>.</w:t>
      </w:r>
      <w:r w:rsidRPr="00D908EE">
        <w:rPr>
          <w:rFonts w:ascii="Calibri" w:eastAsia="Calibri" w:hAnsi="Calibri" w:cs="Calibri"/>
        </w:rPr>
        <w:t xml:space="preserve">, Thurlow, J., Benin, S. and Fan, S. (eds), </w:t>
      </w:r>
      <w:r w:rsidRPr="002E796D">
        <w:rPr>
          <w:rFonts w:ascii="Calibri" w:eastAsia="Calibri" w:hAnsi="Calibri" w:cs="Calibri"/>
          <w:i/>
        </w:rPr>
        <w:t>Strategies and priorities for African agriculture: Economywide perspectives from country studies</w:t>
      </w:r>
      <w:r w:rsidRPr="00D908EE">
        <w:rPr>
          <w:rFonts w:ascii="Calibri" w:eastAsia="Calibri" w:hAnsi="Calibri" w:cs="Calibri"/>
        </w:rPr>
        <w:t>. Washington DC, USA: International Food Policy Research Institute.</w:t>
      </w:r>
    </w:p>
    <w:p w14:paraId="24DF43B1" w14:textId="6ED199A9"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DoE [Department of Energy]. 2012.</w:t>
      </w:r>
      <w:r w:rsidRPr="002E796D">
        <w:rPr>
          <w:rFonts w:ascii="Calibri" w:eastAsia="Calibri" w:hAnsi="Calibri" w:cs="Calibri"/>
          <w:i/>
        </w:rPr>
        <w:t xml:space="preserve"> South African </w:t>
      </w:r>
      <w:r w:rsidR="004B7DE3" w:rsidRPr="004B7DE3">
        <w:rPr>
          <w:rFonts w:ascii="Calibri" w:eastAsia="Calibri" w:hAnsi="Calibri" w:cs="Calibri"/>
          <w:i/>
        </w:rPr>
        <w:t>energy price repo</w:t>
      </w:r>
      <w:r w:rsidRPr="002E796D">
        <w:rPr>
          <w:rFonts w:ascii="Calibri" w:eastAsia="Calibri" w:hAnsi="Calibri" w:cs="Calibri"/>
          <w:i/>
        </w:rPr>
        <w:t>rt 2012.</w:t>
      </w:r>
      <w:r w:rsidRPr="00D908EE">
        <w:rPr>
          <w:rFonts w:ascii="Calibri" w:eastAsia="Calibri" w:hAnsi="Calibri" w:cs="Calibri"/>
        </w:rPr>
        <w:t xml:space="preserve">  Energy Data Collection, Management and Analysis Directorate, Pretoria.</w:t>
      </w:r>
    </w:p>
    <w:p w14:paraId="2434B0D9" w14:textId="03CB19B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DoE [Department of Energy]. 2015. Integrated </w:t>
      </w:r>
      <w:r w:rsidR="004B7DE3" w:rsidRPr="00D908EE">
        <w:rPr>
          <w:rFonts w:ascii="Calibri" w:eastAsia="Calibri" w:hAnsi="Calibri" w:cs="Calibri"/>
        </w:rPr>
        <w:t>energy pl</w:t>
      </w:r>
      <w:r w:rsidRPr="00D908EE">
        <w:rPr>
          <w:rFonts w:ascii="Calibri" w:eastAsia="Calibri" w:hAnsi="Calibri" w:cs="Calibri"/>
        </w:rPr>
        <w:t xml:space="preserve">an Annexure B: Macroeconomic </w:t>
      </w:r>
      <w:r w:rsidR="004B7DE3">
        <w:rPr>
          <w:rFonts w:ascii="Calibri" w:eastAsia="Calibri" w:hAnsi="Calibri" w:cs="Calibri"/>
        </w:rPr>
        <w:t>s</w:t>
      </w:r>
      <w:r w:rsidR="004B7DE3" w:rsidRPr="00D908EE">
        <w:rPr>
          <w:rFonts w:ascii="Calibri" w:eastAsia="Calibri" w:hAnsi="Calibri" w:cs="Calibri"/>
        </w:rPr>
        <w:t>ssumptions</w:t>
      </w:r>
    </w:p>
    <w:p w14:paraId="14713C9E" w14:textId="21A6363B"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D</w:t>
      </w:r>
      <w:r w:rsidR="008A7A0F" w:rsidRPr="00D908EE">
        <w:rPr>
          <w:rFonts w:ascii="Calibri" w:eastAsia="Calibri" w:hAnsi="Calibri" w:cs="Calibri"/>
        </w:rPr>
        <w:t>MR</w:t>
      </w:r>
      <w:r w:rsidRPr="00D908EE">
        <w:rPr>
          <w:rFonts w:ascii="Calibri" w:eastAsia="Calibri" w:hAnsi="Calibri" w:cs="Calibri"/>
        </w:rPr>
        <w:t xml:space="preserve">E [Department of </w:t>
      </w:r>
      <w:r w:rsidR="008A7A0F" w:rsidRPr="00D908EE">
        <w:rPr>
          <w:rFonts w:ascii="Calibri" w:eastAsia="Calibri" w:hAnsi="Calibri" w:cs="Calibri"/>
        </w:rPr>
        <w:t xml:space="preserve">Mineral Resources and </w:t>
      </w:r>
      <w:r w:rsidRPr="00D908EE">
        <w:rPr>
          <w:rFonts w:ascii="Calibri" w:eastAsia="Calibri" w:hAnsi="Calibri" w:cs="Calibri"/>
        </w:rPr>
        <w:t xml:space="preserve">Energy]. 2019. </w:t>
      </w:r>
      <w:r w:rsidRPr="002E796D">
        <w:rPr>
          <w:rFonts w:ascii="Calibri" w:eastAsia="Calibri" w:hAnsi="Calibri" w:cs="Calibri"/>
          <w:i/>
        </w:rPr>
        <w:t>The</w:t>
      </w:r>
      <w:r w:rsidR="004B7DE3" w:rsidRPr="002E796D">
        <w:rPr>
          <w:rFonts w:ascii="Calibri" w:eastAsia="Calibri" w:hAnsi="Calibri" w:cs="Calibri"/>
          <w:i/>
        </w:rPr>
        <w:t xml:space="preserve"> integrated resource p</w:t>
      </w:r>
      <w:r w:rsidRPr="002E796D">
        <w:rPr>
          <w:rFonts w:ascii="Calibri" w:eastAsia="Calibri" w:hAnsi="Calibri" w:cs="Calibri"/>
          <w:i/>
        </w:rPr>
        <w:t>lan 2019</w:t>
      </w:r>
      <w:r w:rsidRPr="00D908EE">
        <w:rPr>
          <w:rFonts w:ascii="Calibri" w:eastAsia="Calibri" w:hAnsi="Calibri" w:cs="Calibri"/>
        </w:rPr>
        <w:t>.</w:t>
      </w:r>
      <w:r w:rsidR="008A7A0F" w:rsidRPr="00D908EE">
        <w:rPr>
          <w:rFonts w:ascii="Calibri" w:eastAsia="Calibri" w:hAnsi="Calibri" w:cs="Calibri"/>
        </w:rPr>
        <w:t xml:space="preserve"> </w:t>
      </w:r>
      <w:r w:rsidR="008A7A0F" w:rsidRPr="002E796D">
        <w:rPr>
          <w:rFonts w:ascii="Calibri" w:eastAsia="Calibri" w:hAnsi="Calibri" w:cs="Calibri"/>
          <w:i/>
        </w:rPr>
        <w:t>Government Gazette</w:t>
      </w:r>
      <w:r w:rsidR="008A7A0F" w:rsidRPr="00D908EE">
        <w:rPr>
          <w:rFonts w:ascii="Calibri" w:eastAsia="Calibri" w:hAnsi="Calibri" w:cs="Calibri"/>
        </w:rPr>
        <w:t xml:space="preserve"> Vol. 652 No. 42778</w:t>
      </w:r>
      <w:r w:rsidR="00C42F7A" w:rsidRPr="00D908EE">
        <w:rPr>
          <w:rFonts w:ascii="Calibri" w:eastAsia="Calibri" w:hAnsi="Calibri" w:cs="Calibri"/>
        </w:rPr>
        <w:t>,</w:t>
      </w:r>
      <w:r w:rsidR="008A7A0F" w:rsidRPr="00D908EE">
        <w:rPr>
          <w:rFonts w:ascii="Calibri" w:eastAsia="Calibri" w:hAnsi="Calibri" w:cs="Calibri"/>
        </w:rPr>
        <w:t xml:space="preserve"> Republic of South Africa.</w:t>
      </w:r>
    </w:p>
    <w:p w14:paraId="572F2D53" w14:textId="2967224F"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EC [European Communities]. 2009. System of </w:t>
      </w:r>
      <w:r w:rsidR="004B7DE3" w:rsidRPr="00D908EE">
        <w:rPr>
          <w:rFonts w:ascii="Calibri" w:eastAsia="Calibri" w:hAnsi="Calibri" w:cs="Calibri"/>
        </w:rPr>
        <w:t>national acco</w:t>
      </w:r>
      <w:r w:rsidRPr="00D908EE">
        <w:rPr>
          <w:rFonts w:ascii="Calibri" w:eastAsia="Calibri" w:hAnsi="Calibri" w:cs="Calibri"/>
        </w:rPr>
        <w:t>unts 2008. European Communities, International Monetary Fund, Organisation for Economic Co-operation and Development, United Nations and World Bank.</w:t>
      </w:r>
    </w:p>
    <w:p w14:paraId="47EA9E45" w14:textId="007B4A7B"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Eskom</w:t>
      </w:r>
      <w:r w:rsidR="00C42F7A" w:rsidRPr="00D908EE">
        <w:rPr>
          <w:rFonts w:ascii="Calibri" w:eastAsia="Calibri" w:hAnsi="Calibri" w:cs="Calibri"/>
        </w:rPr>
        <w:t>.</w:t>
      </w:r>
      <w:r w:rsidRPr="00D908EE">
        <w:rPr>
          <w:rFonts w:ascii="Calibri" w:eastAsia="Calibri" w:hAnsi="Calibri" w:cs="Calibri"/>
        </w:rPr>
        <w:t xml:space="preserve"> 2019</w:t>
      </w:r>
      <w:r w:rsidR="00C42F7A" w:rsidRPr="00D908EE">
        <w:rPr>
          <w:rFonts w:ascii="Calibri" w:eastAsia="Calibri" w:hAnsi="Calibri" w:cs="Calibri"/>
        </w:rPr>
        <w:t>.</w:t>
      </w:r>
      <w:r w:rsidRPr="00D908EE">
        <w:rPr>
          <w:rFonts w:ascii="Calibri" w:eastAsia="Calibri" w:hAnsi="Calibri" w:cs="Calibri"/>
        </w:rPr>
        <w:t xml:space="preserve"> </w:t>
      </w:r>
      <w:r w:rsidR="00C42F7A" w:rsidRPr="00D908EE">
        <w:rPr>
          <w:rFonts w:ascii="Calibri" w:eastAsia="Calibri" w:hAnsi="Calibri" w:cs="Calibri"/>
        </w:rPr>
        <w:t xml:space="preserve">The Koeberg </w:t>
      </w:r>
      <w:r w:rsidR="004B7DE3">
        <w:rPr>
          <w:rFonts w:ascii="Calibri" w:eastAsia="Calibri" w:hAnsi="Calibri" w:cs="Calibri"/>
        </w:rPr>
        <w:t>e</w:t>
      </w:r>
      <w:r w:rsidR="004B7DE3" w:rsidRPr="00D908EE">
        <w:rPr>
          <w:rFonts w:ascii="Calibri" w:eastAsia="Calibri" w:hAnsi="Calibri" w:cs="Calibri"/>
        </w:rPr>
        <w:t>xperience</w:t>
      </w:r>
      <w:r w:rsidR="00C42F7A" w:rsidRPr="00D908EE">
        <w:rPr>
          <w:rFonts w:ascii="Calibri" w:eastAsia="Calibri" w:hAnsi="Calibri" w:cs="Calibri"/>
        </w:rPr>
        <w:t xml:space="preserve">. Available </w:t>
      </w:r>
      <w:r w:rsidR="004B7DE3">
        <w:rPr>
          <w:rFonts w:ascii="Calibri" w:eastAsia="Calibri" w:hAnsi="Calibri" w:cs="Calibri"/>
        </w:rPr>
        <w:t xml:space="preserve">at: </w:t>
      </w:r>
      <w:hyperlink r:id="rId26" w:history="1">
        <w:r w:rsidR="004B7DE3" w:rsidRPr="004B067F">
          <w:rPr>
            <w:rStyle w:val="Hyperlink"/>
            <w:rFonts w:ascii="Calibri" w:eastAsia="Calibri" w:hAnsi="Calibri" w:cs="Calibri"/>
          </w:rPr>
          <w:t>http://www.eskom.co.za/Whatweredoing/ElectricityGeneration/KoebergNuclearPowerStation/TheKoebergExperience/Pages/The_Koeberg_Experience.aspx</w:t>
        </w:r>
      </w:hyperlink>
      <w:r w:rsidR="00C42F7A" w:rsidRPr="00D908EE">
        <w:rPr>
          <w:rFonts w:ascii="Calibri" w:eastAsia="Calibri" w:hAnsi="Calibri" w:cs="Calibri"/>
        </w:rPr>
        <w:t xml:space="preserve"> [Accessed 23/10/2019]</w:t>
      </w:r>
    </w:p>
    <w:p w14:paraId="7591FD30" w14:textId="4A8FD1FE"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Hartley, F., Merven, B., Hughes, A. and Dekenah, M. 2019</w:t>
      </w:r>
      <w:r w:rsidR="00DC3A14" w:rsidRPr="00D908EE">
        <w:rPr>
          <w:rFonts w:ascii="Calibri" w:eastAsia="Calibri" w:hAnsi="Calibri" w:cs="Calibri"/>
        </w:rPr>
        <w:t>a</w:t>
      </w:r>
      <w:r w:rsidRPr="00D908EE">
        <w:rPr>
          <w:rFonts w:ascii="Calibri" w:eastAsia="Calibri" w:hAnsi="Calibri" w:cs="Calibri"/>
        </w:rPr>
        <w:t>. Spatial energy in South Africa.  Energy Research Centre, University of Cape Town: Cape Town, South Africa.</w:t>
      </w:r>
    </w:p>
    <w:p w14:paraId="723423F4" w14:textId="1D43BBFE" w:rsidR="00DC3A14" w:rsidRPr="00D908EE" w:rsidRDefault="00DC3A14" w:rsidP="00D908EE">
      <w:pPr>
        <w:spacing w:after="0" w:line="276" w:lineRule="auto"/>
        <w:ind w:left="227" w:hanging="227"/>
        <w:jc w:val="left"/>
        <w:rPr>
          <w:rFonts w:ascii="Calibri" w:eastAsia="Calibri" w:hAnsi="Calibri" w:cs="Calibri"/>
        </w:rPr>
      </w:pPr>
      <w:r w:rsidRPr="00D908EE">
        <w:rPr>
          <w:rFonts w:ascii="Calibri" w:eastAsia="Calibri" w:hAnsi="Calibri" w:cs="Calibri"/>
        </w:rPr>
        <w:t>Hartley, F., Merven, B., Arndt, C. and Ireland, G. 2019b. Part 2 - Quantifying the macro and socioeconomic benefits of a transition to renewable energy in South Africa. SA-TIED working paper 26.</w:t>
      </w:r>
    </w:p>
    <w:p w14:paraId="7CAB1DC9" w14:textId="1C5D0BDE"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Hughes, A., Merven, B., McCall, B., Caetano, T., Hartley, F., Ahjum, F., Ireland, G., Burton</w:t>
      </w:r>
      <w:r w:rsidR="00DC3A14" w:rsidRPr="00D908EE">
        <w:rPr>
          <w:rFonts w:ascii="Calibri" w:eastAsia="Calibri" w:hAnsi="Calibri" w:cs="Calibri"/>
        </w:rPr>
        <w:t xml:space="preserve">, </w:t>
      </w:r>
      <w:r w:rsidRPr="00D908EE">
        <w:rPr>
          <w:rFonts w:ascii="Calibri" w:eastAsia="Calibri" w:hAnsi="Calibri" w:cs="Calibri"/>
        </w:rPr>
        <w:t xml:space="preserve">J. and Marquard, A. 2019. SATIM - An </w:t>
      </w:r>
      <w:r w:rsidR="004B7DE3" w:rsidRPr="00D908EE">
        <w:rPr>
          <w:rFonts w:ascii="Calibri" w:eastAsia="Calibri" w:hAnsi="Calibri" w:cs="Calibri"/>
        </w:rPr>
        <w:t>energy systems model fo</w:t>
      </w:r>
      <w:r w:rsidRPr="00D908EE">
        <w:rPr>
          <w:rFonts w:ascii="Calibri" w:eastAsia="Calibri" w:hAnsi="Calibri" w:cs="Calibri"/>
        </w:rPr>
        <w:t>r South Africa. Working Paper.</w:t>
      </w:r>
    </w:p>
    <w:p w14:paraId="3D874C41" w14:textId="0A852452" w:rsidR="004B7DE3" w:rsidRDefault="004B7DE3" w:rsidP="00D908EE">
      <w:pPr>
        <w:spacing w:after="0" w:line="276" w:lineRule="auto"/>
        <w:ind w:left="227" w:hanging="227"/>
        <w:jc w:val="left"/>
        <w:rPr>
          <w:rFonts w:ascii="Calibri" w:eastAsia="Calibri" w:hAnsi="Calibri" w:cs="Calibri"/>
        </w:rPr>
      </w:pPr>
      <w:r w:rsidRPr="00D908EE">
        <w:rPr>
          <w:rFonts w:ascii="Calibri" w:eastAsia="Calibri" w:hAnsi="Calibri" w:cs="Calibri"/>
        </w:rPr>
        <w:t>Huxham, M., Anwar, M. and Nelson, D. 2019. Understanding the impact of a low carbon transition on South Africa. A CPI Energy Finance Report. Climate Policy Initiative.</w:t>
      </w:r>
    </w:p>
    <w:p w14:paraId="4BA291E5" w14:textId="2540AD5E"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IMF [International Monetary Fund].</w:t>
      </w:r>
      <w:r w:rsidR="00520830" w:rsidRPr="00D908EE">
        <w:rPr>
          <w:rFonts w:ascii="Calibri" w:eastAsia="Calibri" w:hAnsi="Calibri" w:cs="Calibri"/>
        </w:rPr>
        <w:t xml:space="preserve"> 2018. </w:t>
      </w:r>
      <w:r w:rsidR="00520830" w:rsidRPr="002E796D">
        <w:rPr>
          <w:rFonts w:ascii="Calibri" w:eastAsia="Calibri" w:hAnsi="Calibri" w:cs="Calibri"/>
          <w:i/>
        </w:rPr>
        <w:t>World</w:t>
      </w:r>
      <w:r w:rsidR="004B7DE3" w:rsidRPr="002E796D">
        <w:rPr>
          <w:rFonts w:ascii="Calibri" w:eastAsia="Calibri" w:hAnsi="Calibri" w:cs="Calibri"/>
          <w:i/>
        </w:rPr>
        <w:t xml:space="preserve"> economic ou</w:t>
      </w:r>
      <w:r w:rsidR="00520830" w:rsidRPr="002E796D">
        <w:rPr>
          <w:rFonts w:ascii="Calibri" w:eastAsia="Calibri" w:hAnsi="Calibri" w:cs="Calibri"/>
          <w:i/>
        </w:rPr>
        <w:t>tlook. Challenges t</w:t>
      </w:r>
      <w:r w:rsidR="004B7DE3" w:rsidRPr="002E796D">
        <w:rPr>
          <w:rFonts w:ascii="Calibri" w:eastAsia="Calibri" w:hAnsi="Calibri" w:cs="Calibri"/>
          <w:i/>
        </w:rPr>
        <w:t>o steady growt</w:t>
      </w:r>
      <w:r w:rsidR="00520830" w:rsidRPr="002E796D">
        <w:rPr>
          <w:rFonts w:ascii="Calibri" w:eastAsia="Calibri" w:hAnsi="Calibri" w:cs="Calibri"/>
          <w:i/>
        </w:rPr>
        <w:t xml:space="preserve">h. </w:t>
      </w:r>
      <w:r w:rsidR="00520830" w:rsidRPr="00D908EE">
        <w:rPr>
          <w:rFonts w:ascii="Calibri" w:eastAsia="Calibri" w:hAnsi="Calibri" w:cs="Calibri"/>
        </w:rPr>
        <w:t>October 2018.</w:t>
      </w:r>
    </w:p>
    <w:p w14:paraId="36C3CAFE" w14:textId="6B3B6F0B"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Ireland, G. and Burton, J. 2018. An assessment of new coal plants in South Africa's electricity future: the cost, emissions, and supply security implications of the coal IPP programme. Energy Research Centre, University of Cape Town, Cape Town, South Africa.</w:t>
      </w:r>
    </w:p>
    <w:p w14:paraId="104F5316" w14:textId="7777777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Lofgren, H., Harris, R.L. and Robinson, S. 2002. A standard computable general equilibrium (CGE) model in GAMS. Washington DC, USA: International Food Policy Research Institute.</w:t>
      </w:r>
    </w:p>
    <w:p w14:paraId="4E331A2E" w14:textId="7777777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McCall, B., Burton, J., Marquard, A., Hartley, F., Ahjum, F., Ireland, G. and Merven, B., 2019. Least-cost integrated resource planning and cost-optimal climate change mitigation policy: Alternatives for the South African electricity system. </w:t>
      </w:r>
      <w:r w:rsidRPr="002E796D">
        <w:rPr>
          <w:rFonts w:ascii="Calibri" w:eastAsia="Calibri" w:hAnsi="Calibri" w:cs="Calibri"/>
          <w:i/>
        </w:rPr>
        <w:t>Energy Research.</w:t>
      </w:r>
    </w:p>
    <w:p w14:paraId="0A1EACC7" w14:textId="290E033D" w:rsidR="006B1935" w:rsidRPr="00D908EE" w:rsidRDefault="006B1935" w:rsidP="00D908EE">
      <w:pPr>
        <w:spacing w:after="0" w:line="276" w:lineRule="auto"/>
        <w:ind w:left="227" w:hanging="227"/>
        <w:jc w:val="left"/>
        <w:rPr>
          <w:rFonts w:ascii="Calibri" w:eastAsia="Calibri" w:hAnsi="Calibri" w:cs="Calibri"/>
        </w:rPr>
      </w:pPr>
      <w:r w:rsidRPr="00D908EE">
        <w:rPr>
          <w:rFonts w:ascii="Calibri" w:eastAsia="Calibri" w:hAnsi="Calibri" w:cs="Calibri"/>
        </w:rPr>
        <w:t>McKinsey. 2014. Socio</w:t>
      </w:r>
      <w:r w:rsidR="004B7DE3" w:rsidRPr="00D908EE">
        <w:rPr>
          <w:rFonts w:ascii="Calibri" w:eastAsia="Calibri" w:hAnsi="Calibri" w:cs="Calibri"/>
        </w:rPr>
        <w:t>-economic impact stu</w:t>
      </w:r>
      <w:r w:rsidRPr="00D908EE">
        <w:rPr>
          <w:rFonts w:ascii="Calibri" w:eastAsia="Calibri" w:hAnsi="Calibri" w:cs="Calibri"/>
        </w:rPr>
        <w:t xml:space="preserve">dy, McKinsey. </w:t>
      </w:r>
    </w:p>
    <w:p w14:paraId="4A66080E" w14:textId="7FF87A24" w:rsidR="00D76461" w:rsidRPr="00D908EE" w:rsidRDefault="00D76461" w:rsidP="00D908EE">
      <w:pPr>
        <w:spacing w:after="0" w:line="276" w:lineRule="auto"/>
        <w:ind w:left="227" w:hanging="227"/>
        <w:jc w:val="left"/>
        <w:rPr>
          <w:rFonts w:ascii="Calibri" w:eastAsia="Calibri" w:hAnsi="Calibri" w:cs="Calibri"/>
        </w:rPr>
      </w:pPr>
      <w:r w:rsidRPr="00D908EE">
        <w:rPr>
          <w:rFonts w:ascii="Calibri" w:eastAsia="Calibri" w:hAnsi="Calibri" w:cs="Calibri"/>
        </w:rPr>
        <w:t>Merven, B, Durbach, I and McCall, B. 2016. Expert elicitation of autocorrelated time series with application to e3 (energy-environment-economic) forecasting models</w:t>
      </w:r>
      <w:r w:rsidR="004B7DE3">
        <w:rPr>
          <w:rFonts w:ascii="Calibri" w:eastAsia="Calibri" w:hAnsi="Calibri" w:cs="Calibri"/>
        </w:rPr>
        <w:t>.</w:t>
      </w:r>
      <w:r w:rsidRPr="00D908EE">
        <w:rPr>
          <w:rFonts w:ascii="Calibri" w:eastAsia="Calibri" w:hAnsi="Calibri" w:cs="Calibri"/>
        </w:rPr>
        <w:t xml:space="preserve"> </w:t>
      </w:r>
      <w:r w:rsidRPr="002E796D">
        <w:rPr>
          <w:rFonts w:ascii="Calibri" w:eastAsia="Calibri" w:hAnsi="Calibri" w:cs="Calibri"/>
          <w:i/>
        </w:rPr>
        <w:t>Environmental Modelling &amp; Software</w:t>
      </w:r>
      <w:r w:rsidRPr="00D908EE">
        <w:rPr>
          <w:rFonts w:ascii="Calibri" w:eastAsia="Calibri" w:hAnsi="Calibri" w:cs="Calibri"/>
        </w:rPr>
        <w:t xml:space="preserve"> 88 </w:t>
      </w:r>
      <w:r w:rsidR="004B7DE3">
        <w:rPr>
          <w:rFonts w:ascii="Calibri" w:eastAsia="Calibri" w:hAnsi="Calibri" w:cs="Calibri"/>
        </w:rPr>
        <w:t>(</w:t>
      </w:r>
      <w:r w:rsidRPr="00D908EE">
        <w:rPr>
          <w:rFonts w:ascii="Calibri" w:eastAsia="Calibri" w:hAnsi="Calibri" w:cs="Calibri"/>
        </w:rPr>
        <w:t>February 2017</w:t>
      </w:r>
      <w:r w:rsidR="004B7DE3">
        <w:rPr>
          <w:rFonts w:ascii="Calibri" w:eastAsia="Calibri" w:hAnsi="Calibri" w:cs="Calibri"/>
        </w:rPr>
        <w:t>):</w:t>
      </w:r>
      <w:r w:rsidRPr="00D908EE">
        <w:rPr>
          <w:rFonts w:ascii="Calibri" w:eastAsia="Calibri" w:hAnsi="Calibri" w:cs="Calibri"/>
        </w:rPr>
        <w:t xml:space="preserve"> 93-105.</w:t>
      </w:r>
    </w:p>
    <w:p w14:paraId="0B3F5AB2" w14:textId="7777777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Merven, B., Arndt, C. and Winkler, H. 2017. The development of a linked modelling framework for analysing the socioeconomic impacts of energy and climate policies in South Africa. WIDER Working Paper, no. 2017/40. </w:t>
      </w:r>
    </w:p>
    <w:p w14:paraId="18870627" w14:textId="7777777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Merven, B., G. Ireland, F. Hartley, C. Arndt, A. Hughes, F. Ahjum, B. McCall, and T. Caetano (2018). Quantifying the macro- and socio-economic benefits of a transition to renewable energy in South Africa. Part 1: The Energy Landscape. Working Paper. Pretoria: South Africa – Towards Inclusive Economic Development.</w:t>
      </w:r>
    </w:p>
    <w:p w14:paraId="0F03D572" w14:textId="6E06EEBF"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Merven, B</w:t>
      </w:r>
      <w:r w:rsidR="00F9062E" w:rsidRPr="00D908EE">
        <w:rPr>
          <w:rFonts w:ascii="Calibri" w:eastAsia="Calibri" w:hAnsi="Calibri" w:cs="Calibri"/>
        </w:rPr>
        <w:t>., Hartley, F. and Ahjum, F</w:t>
      </w:r>
      <w:r w:rsidRPr="00D908EE">
        <w:rPr>
          <w:rFonts w:ascii="Calibri" w:eastAsia="Calibri" w:hAnsi="Calibri" w:cs="Calibri"/>
        </w:rPr>
        <w:t>. 2019.</w:t>
      </w:r>
      <w:r w:rsidR="00D76461" w:rsidRPr="00D908EE">
        <w:rPr>
          <w:rFonts w:ascii="Calibri" w:eastAsia="Calibri" w:hAnsi="Calibri" w:cs="Calibri"/>
        </w:rPr>
        <w:t xml:space="preserve"> </w:t>
      </w:r>
      <w:r w:rsidR="00F9062E" w:rsidRPr="00D908EE">
        <w:rPr>
          <w:rFonts w:ascii="Calibri" w:eastAsia="Calibri" w:hAnsi="Calibri" w:cs="Calibri"/>
        </w:rPr>
        <w:t>Road freight and energy in South Africa. SA-TIED working paper 60.</w:t>
      </w:r>
    </w:p>
    <w:p w14:paraId="212030A3" w14:textId="7129652C"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National Treasury. 2018.</w:t>
      </w:r>
      <w:r w:rsidR="008019E3" w:rsidRPr="00D908EE">
        <w:rPr>
          <w:rFonts w:ascii="Calibri" w:eastAsia="Calibri" w:hAnsi="Calibri" w:cs="Calibri"/>
        </w:rPr>
        <w:t xml:space="preserve"> </w:t>
      </w:r>
      <w:r w:rsidR="008C379A" w:rsidRPr="008C379A">
        <w:rPr>
          <w:rFonts w:ascii="Calibri" w:eastAsia="Calibri" w:hAnsi="Calibri" w:cs="Calibri"/>
          <w:i/>
        </w:rPr>
        <w:t>Medium term budget policy statement</w:t>
      </w:r>
      <w:r w:rsidR="00520830" w:rsidRPr="00D908EE">
        <w:rPr>
          <w:rFonts w:ascii="Calibri" w:eastAsia="Calibri" w:hAnsi="Calibri" w:cs="Calibri"/>
        </w:rPr>
        <w:t>. Chapter 2. Republic of South Africa.</w:t>
      </w:r>
    </w:p>
    <w:p w14:paraId="6AF695DC" w14:textId="1C308CF8" w:rsidR="009378FB" w:rsidRPr="00D908EE" w:rsidRDefault="00D908EE" w:rsidP="00D908EE">
      <w:pPr>
        <w:spacing w:after="0" w:line="276" w:lineRule="auto"/>
        <w:ind w:left="227" w:hanging="227"/>
        <w:jc w:val="left"/>
        <w:rPr>
          <w:rFonts w:ascii="Calibri" w:eastAsia="Calibri" w:hAnsi="Calibri" w:cs="Calibri"/>
        </w:rPr>
      </w:pPr>
      <w:r w:rsidRPr="00D908EE">
        <w:rPr>
          <w:rFonts w:ascii="Calibri" w:eastAsia="Calibri" w:hAnsi="Calibri" w:cs="Calibri"/>
        </w:rPr>
        <w:t>NERSA [</w:t>
      </w:r>
      <w:r w:rsidR="009378FB" w:rsidRPr="00D908EE">
        <w:rPr>
          <w:rFonts w:ascii="Calibri" w:eastAsia="Calibri" w:hAnsi="Calibri" w:cs="Calibri"/>
        </w:rPr>
        <w:t>National Energy Regulator of South Africa</w:t>
      </w:r>
      <w:r w:rsidRPr="00D908EE">
        <w:rPr>
          <w:rFonts w:ascii="Calibri" w:eastAsia="Calibri" w:hAnsi="Calibri" w:cs="Calibri"/>
        </w:rPr>
        <w:t>]</w:t>
      </w:r>
      <w:r w:rsidR="009378FB" w:rsidRPr="00D908EE">
        <w:rPr>
          <w:rFonts w:ascii="Calibri" w:eastAsia="Calibri" w:hAnsi="Calibri" w:cs="Calibri"/>
        </w:rPr>
        <w:t>.</w:t>
      </w:r>
      <w:r w:rsidRPr="00D908EE">
        <w:rPr>
          <w:rFonts w:ascii="Calibri" w:eastAsia="Calibri" w:hAnsi="Calibri" w:cs="Calibri"/>
        </w:rPr>
        <w:t xml:space="preserve"> 2012.</w:t>
      </w:r>
      <w:r w:rsidR="009378FB" w:rsidRPr="00D908EE">
        <w:rPr>
          <w:rFonts w:ascii="Calibri" w:eastAsia="Calibri" w:hAnsi="Calibri" w:cs="Calibri"/>
        </w:rPr>
        <w:t xml:space="preserve"> Report on the</w:t>
      </w:r>
      <w:r w:rsidR="008C379A" w:rsidRPr="00D908EE">
        <w:rPr>
          <w:rFonts w:ascii="Calibri" w:eastAsia="Calibri" w:hAnsi="Calibri" w:cs="Calibri"/>
        </w:rPr>
        <w:t xml:space="preserve"> electricity supply statistics</w:t>
      </w:r>
      <w:r w:rsidR="009378FB" w:rsidRPr="00D908EE">
        <w:rPr>
          <w:rFonts w:ascii="Calibri" w:eastAsia="Calibri" w:hAnsi="Calibri" w:cs="Calibri"/>
        </w:rPr>
        <w:t xml:space="preserve"> for South Africa</w:t>
      </w:r>
      <w:r w:rsidRPr="00D908EE">
        <w:rPr>
          <w:rFonts w:ascii="Calibri" w:eastAsia="Calibri" w:hAnsi="Calibri" w:cs="Calibri"/>
        </w:rPr>
        <w:t>.</w:t>
      </w:r>
      <w:r w:rsidR="009378FB" w:rsidRPr="00D908EE">
        <w:rPr>
          <w:rFonts w:ascii="Calibri" w:eastAsia="Calibri" w:hAnsi="Calibri" w:cs="Calibri"/>
        </w:rPr>
        <w:t xml:space="preserve"> Available </w:t>
      </w:r>
      <w:r w:rsidR="008C379A">
        <w:rPr>
          <w:rFonts w:ascii="Calibri" w:eastAsia="Calibri" w:hAnsi="Calibri" w:cs="Calibri"/>
        </w:rPr>
        <w:t xml:space="preserve">at </w:t>
      </w:r>
      <w:hyperlink r:id="rId27" w:history="1">
        <w:r w:rsidR="008C379A" w:rsidRPr="004B067F">
          <w:rPr>
            <w:rStyle w:val="Hyperlink"/>
            <w:rFonts w:ascii="Calibri" w:eastAsia="Calibri" w:hAnsi="Calibri" w:cs="Calibri"/>
          </w:rPr>
          <w:t>http://www.nersa.org.za/Admin/Document/Editor/file/News%20and%20Publications/Publications/Current%20Issues/Electricity%20Supply%20Statistics/Electricity</w:t>
        </w:r>
      </w:hyperlink>
      <w:r w:rsidRPr="00D908EE">
        <w:rPr>
          <w:rFonts w:ascii="Calibri" w:eastAsia="Calibri" w:hAnsi="Calibri" w:cs="Calibri"/>
        </w:rPr>
        <w:t xml:space="preserve"> [Accessed 23/10/2019]</w:t>
      </w:r>
    </w:p>
    <w:p w14:paraId="10DFFF0D" w14:textId="25A48C0F" w:rsidR="009378FB" w:rsidRPr="00D908EE" w:rsidRDefault="00F34D7B" w:rsidP="00D908EE">
      <w:pPr>
        <w:spacing w:after="0" w:line="276" w:lineRule="auto"/>
        <w:ind w:left="227" w:hanging="227"/>
        <w:jc w:val="left"/>
        <w:rPr>
          <w:rFonts w:ascii="Calibri" w:eastAsia="Calibri" w:hAnsi="Calibri" w:cs="Calibri"/>
        </w:rPr>
      </w:pPr>
      <w:r w:rsidRPr="00D908EE">
        <w:rPr>
          <w:rFonts w:ascii="Calibri" w:eastAsia="Calibri" w:hAnsi="Calibri" w:cs="Calibri"/>
        </w:rPr>
        <w:t>Reber T, Chartan J, Erol K, Brinkman GL. 2018. Preliminary findings of the South Africa power system capacity expansion and operational modelling study: preprint. Rep., US Dep. Energy, Washington, DC.</w:t>
      </w:r>
    </w:p>
    <w:p w14:paraId="0F7369A9" w14:textId="5D22150F" w:rsidR="00F34D7B" w:rsidRPr="00D908EE" w:rsidRDefault="00F34D7B" w:rsidP="00D908EE">
      <w:pPr>
        <w:spacing w:after="0" w:line="276" w:lineRule="auto"/>
        <w:ind w:left="227" w:hanging="227"/>
        <w:jc w:val="left"/>
        <w:rPr>
          <w:rFonts w:ascii="Calibri" w:eastAsia="Calibri" w:hAnsi="Calibri" w:cs="Calibri"/>
        </w:rPr>
      </w:pPr>
      <w:r w:rsidRPr="00D908EE">
        <w:rPr>
          <w:rFonts w:ascii="Calibri" w:eastAsia="Calibri" w:hAnsi="Calibri" w:cs="Calibri"/>
        </w:rPr>
        <w:t>StatsSA [Statistics South Africa] www.</w:t>
      </w:r>
      <w:r w:rsidR="00520830" w:rsidRPr="00D908EE">
        <w:rPr>
          <w:rFonts w:ascii="Calibri" w:eastAsia="Calibri" w:hAnsi="Calibri" w:cs="Calibri"/>
        </w:rPr>
        <w:t>s</w:t>
      </w:r>
      <w:r w:rsidRPr="00D908EE">
        <w:rPr>
          <w:rFonts w:ascii="Calibri" w:eastAsia="Calibri" w:hAnsi="Calibri" w:cs="Calibri"/>
        </w:rPr>
        <w:t>tatssa.gov.za</w:t>
      </w:r>
    </w:p>
    <w:p w14:paraId="7C485F60" w14:textId="26D689DB"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Steyn, G., Burton, J. and Steenkamp, M., 2017. Eskom's financial crisis and the viability of coal-fired power in South Africa. Cape Town, South Africa.</w:t>
      </w:r>
    </w:p>
    <w:p w14:paraId="66181CB3" w14:textId="53B9C07D"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Tosato, G. C. 2008. Introduction to ETSAP and the MARKAL-TIMES models generators. International Energy Agency: NEET Workshop on Energy Technology Collaboration. Available http://www.iea.org/textbase/work/2008/neet_russia/GianCarlo_Tosato.pdf </w:t>
      </w:r>
      <w:r w:rsidR="00D908EE" w:rsidRPr="00D908EE">
        <w:rPr>
          <w:rFonts w:ascii="Calibri" w:eastAsia="Calibri" w:hAnsi="Calibri" w:cs="Calibri"/>
        </w:rPr>
        <w:t xml:space="preserve">[Accessed </w:t>
      </w:r>
      <w:r w:rsidRPr="00D908EE">
        <w:rPr>
          <w:rFonts w:ascii="Calibri" w:eastAsia="Calibri" w:hAnsi="Calibri" w:cs="Calibri"/>
        </w:rPr>
        <w:t>21</w:t>
      </w:r>
      <w:r w:rsidR="00D908EE" w:rsidRPr="00D908EE">
        <w:rPr>
          <w:rFonts w:ascii="Calibri" w:eastAsia="Calibri" w:hAnsi="Calibri" w:cs="Calibri"/>
        </w:rPr>
        <w:t>/03/</w:t>
      </w:r>
      <w:r w:rsidRPr="00D908EE">
        <w:rPr>
          <w:rFonts w:ascii="Calibri" w:eastAsia="Calibri" w:hAnsi="Calibri" w:cs="Calibri"/>
        </w:rPr>
        <w:t>2019</w:t>
      </w:r>
      <w:r w:rsidR="00D908EE" w:rsidRPr="00D908EE">
        <w:rPr>
          <w:rFonts w:ascii="Calibri" w:eastAsia="Calibri" w:hAnsi="Calibri" w:cs="Calibri"/>
        </w:rPr>
        <w:t>]</w:t>
      </w:r>
    </w:p>
    <w:p w14:paraId="4611FD6E" w14:textId="7A72B747" w:rsidR="009378FB"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 xml:space="preserve">UNEP </w:t>
      </w:r>
      <w:r w:rsidR="00D908EE" w:rsidRPr="00D908EE">
        <w:rPr>
          <w:rFonts w:ascii="Calibri" w:eastAsia="Calibri" w:hAnsi="Calibri" w:cs="Calibri"/>
        </w:rPr>
        <w:t>[</w:t>
      </w:r>
      <w:r w:rsidR="00D908EE">
        <w:rPr>
          <w:rFonts w:ascii="Calibri" w:eastAsia="Calibri" w:hAnsi="Calibri" w:cs="Calibri"/>
        </w:rPr>
        <w:t>United Nations Environmental Programme</w:t>
      </w:r>
      <w:r w:rsidR="00D908EE" w:rsidRPr="00D908EE">
        <w:rPr>
          <w:rFonts w:ascii="Calibri" w:eastAsia="Calibri" w:hAnsi="Calibri" w:cs="Calibri"/>
        </w:rPr>
        <w:t>].</w:t>
      </w:r>
      <w:r w:rsidRPr="00D908EE">
        <w:rPr>
          <w:rFonts w:ascii="Calibri" w:eastAsia="Calibri" w:hAnsi="Calibri" w:cs="Calibri"/>
        </w:rPr>
        <w:t>2016. Obtaining long-term forecasts of the key drivers of greenhouse gas emissions in South Africa. UNEP-DTU Partnership/ERC/FIRM. Copenhagen: United Nations Environment Programme.</w:t>
      </w:r>
    </w:p>
    <w:p w14:paraId="50B314BE" w14:textId="29315C91" w:rsidR="00712C61" w:rsidRPr="00D908EE" w:rsidRDefault="009378FB" w:rsidP="00D908EE">
      <w:pPr>
        <w:spacing w:after="0" w:line="276" w:lineRule="auto"/>
        <w:ind w:left="227" w:hanging="227"/>
        <w:jc w:val="left"/>
        <w:rPr>
          <w:rFonts w:ascii="Calibri" w:eastAsia="Calibri" w:hAnsi="Calibri" w:cs="Calibri"/>
        </w:rPr>
      </w:pPr>
      <w:r w:rsidRPr="00D908EE">
        <w:rPr>
          <w:rFonts w:ascii="Calibri" w:eastAsia="Calibri" w:hAnsi="Calibri" w:cs="Calibri"/>
        </w:rPr>
        <w:t>Van Seventer, D., Hartley, F., Gabriel, S. and Davies, R. 2016. A 2012 social accounting matrix (Sam) for South Africa'. 2016/26. Helsinki: UNU-WIDER.</w:t>
      </w:r>
    </w:p>
    <w:p w14:paraId="65B8F80C" w14:textId="272704B8" w:rsidR="00F34D7B" w:rsidRDefault="00F34D7B" w:rsidP="00D908EE">
      <w:pPr>
        <w:spacing w:after="0" w:line="276" w:lineRule="auto"/>
        <w:ind w:left="227" w:hanging="227"/>
        <w:rPr>
          <w:rFonts w:ascii="Calibri" w:eastAsia="Calibri" w:hAnsi="Calibri" w:cs="Calibri"/>
        </w:rPr>
      </w:pPr>
      <w:r w:rsidRPr="00D908EE">
        <w:rPr>
          <w:rFonts w:ascii="Calibri" w:eastAsia="Calibri" w:hAnsi="Calibri" w:cs="Calibri"/>
        </w:rPr>
        <w:t>Wright JG, Bischof-Niemz T, Calitz J, Mushwana C, van Heerden R, Senatla M. 2017. Formal comments on the Integrated Resource Plan (IRP) Update Assumptions, Base Case and Observations. Rep., Counc. Sci. Ind. Res., Pretoria, S. Afr.</w:t>
      </w:r>
    </w:p>
    <w:p w14:paraId="6218A5A8" w14:textId="77777777" w:rsidR="00D91DD2" w:rsidRDefault="00D91DD2">
      <w:pPr>
        <w:spacing w:after="160" w:line="259" w:lineRule="auto"/>
        <w:jc w:val="left"/>
        <w:rPr>
          <w:rFonts w:cs="Arial"/>
          <w:b/>
          <w:color w:val="538135" w:themeColor="accent6" w:themeShade="BF"/>
        </w:rPr>
      </w:pPr>
      <w:r>
        <w:br w:type="page"/>
      </w:r>
    </w:p>
    <w:p w14:paraId="7EE6E2FE" w14:textId="7547E492" w:rsidR="00E9516C" w:rsidRPr="00792546" w:rsidRDefault="00E9516C" w:rsidP="00652419">
      <w:pPr>
        <w:pStyle w:val="Acknowledgementsheading"/>
      </w:pPr>
      <w:r w:rsidRPr="001D4899">
        <w:t xml:space="preserve">About the </w:t>
      </w:r>
      <w:r w:rsidR="00660262">
        <w:t>a</w:t>
      </w:r>
      <w:r w:rsidRPr="001D4899">
        <w:t>uthor</w:t>
      </w:r>
      <w:r w:rsidR="00D66710">
        <w:t>s</w:t>
      </w:r>
    </w:p>
    <w:p w14:paraId="00F594BF" w14:textId="40CDFB0C" w:rsidR="00910FC1" w:rsidRDefault="00652419" w:rsidP="00D85951">
      <w:r>
        <w:t>Bruno Merven</w:t>
      </w:r>
      <w:r w:rsidR="00832C65">
        <w:t>,</w:t>
      </w:r>
      <w:r>
        <w:t xml:space="preserve"> </w:t>
      </w:r>
      <w:r w:rsidR="00832C65" w:rsidRPr="00D96A9F">
        <w:t xml:space="preserve">Faaiqa </w:t>
      </w:r>
      <w:r w:rsidR="00832C65">
        <w:t xml:space="preserve">Hartley, </w:t>
      </w:r>
      <w:r w:rsidR="00832C65" w:rsidRPr="00910FC1">
        <w:t>Bryce McCall, Jesse Burton and Jules Schers</w:t>
      </w:r>
      <w:r w:rsidR="00832C65" w:rsidRPr="00D96A9F">
        <w:t xml:space="preserve"> </w:t>
      </w:r>
      <w:r w:rsidR="00832C65">
        <w:t xml:space="preserve">are researchers within </w:t>
      </w:r>
      <w:r w:rsidR="00832C65">
        <w:t>the Energy Systems Research Group</w:t>
      </w:r>
      <w:r>
        <w:t xml:space="preserve"> at the University of Cape Town.</w:t>
      </w:r>
      <w:r w:rsidR="00E226D3">
        <w:t xml:space="preserve"> </w:t>
      </w:r>
      <w:r>
        <w:t xml:space="preserve">All are involved in the development and maintenance of the </w:t>
      </w:r>
      <w:r w:rsidR="00832C65">
        <w:t>group</w:t>
      </w:r>
      <w:r>
        <w:t>’s energy, economic and linked energy-economic model.</w:t>
      </w:r>
    </w:p>
    <w:p w14:paraId="51D23CB4" w14:textId="2841E676" w:rsidR="00832C65" w:rsidRPr="00792546" w:rsidRDefault="00832C65" w:rsidP="00832C65">
      <w:pPr>
        <w:pStyle w:val="Acknowledgementsheading"/>
      </w:pPr>
      <w:r>
        <w:t>Acknowledgments</w:t>
      </w:r>
    </w:p>
    <w:p w14:paraId="096FA4A1" w14:textId="19B13301" w:rsidR="00832C65" w:rsidRDefault="00832C65" w:rsidP="00832C65">
      <w:r>
        <w:t>The authors would like to acknowledge funding provided for this research by the SA-TIED (</w:t>
      </w:r>
      <w:hyperlink r:id="rId28" w:history="1">
        <w:r>
          <w:rPr>
            <w:rStyle w:val="Hyperlink"/>
          </w:rPr>
          <w:t>http://sa-tied.wider.unu.edu/</w:t>
        </w:r>
      </w:hyperlink>
      <w:r>
        <w:t>) project in collaboration with IFPRI, and funding from the South African National Energy Development Institute (SANEDI).</w:t>
      </w:r>
    </w:p>
    <w:p w14:paraId="3BC04A51" w14:textId="77777777" w:rsidR="00832C65" w:rsidRDefault="00832C65" w:rsidP="00832C65"/>
    <w:p w14:paraId="3924BF78" w14:textId="77777777" w:rsidR="00832C65" w:rsidRDefault="00832C65" w:rsidP="00D85951"/>
    <w:sectPr w:rsidR="00832C65" w:rsidSect="0022732C">
      <w:headerReference w:type="default" r:id="rId29"/>
      <w:footerReference w:type="default" r:id="rId30"/>
      <w:pgSz w:w="11907" w:h="16840" w:code="9"/>
      <w:pgMar w:top="1701"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FDFB0" w14:textId="77777777" w:rsidR="00C33BB0" w:rsidRDefault="00C33BB0" w:rsidP="00B83BFB">
      <w:pPr>
        <w:spacing w:after="0"/>
      </w:pPr>
      <w:r>
        <w:separator/>
      </w:r>
    </w:p>
  </w:endnote>
  <w:endnote w:type="continuationSeparator" w:id="0">
    <w:p w14:paraId="77D72D94" w14:textId="77777777" w:rsidR="00C33BB0" w:rsidRDefault="00C33BB0" w:rsidP="00B83BFB">
      <w:pPr>
        <w:spacing w:after="0"/>
      </w:pPr>
      <w:r>
        <w:continuationSeparator/>
      </w:r>
    </w:p>
  </w:endnote>
  <w:endnote w:type="continuationNotice" w:id="1">
    <w:p w14:paraId="3474250E" w14:textId="77777777" w:rsidR="00C33BB0" w:rsidRDefault="00C33B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yantPro-Regular">
    <w:altName w:val="Calibri"/>
    <w:charset w:val="4D"/>
    <w:family w:val="auto"/>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170727"/>
      <w:docPartObj>
        <w:docPartGallery w:val="Page Numbers (Bottom of Page)"/>
        <w:docPartUnique/>
      </w:docPartObj>
    </w:sdtPr>
    <w:sdtEndPr>
      <w:rPr>
        <w:rFonts w:cstheme="majorHAnsi"/>
        <w:noProof/>
      </w:rPr>
    </w:sdtEndPr>
    <w:sdtContent>
      <w:p w14:paraId="232B7078" w14:textId="77777777" w:rsidR="002E796D" w:rsidRPr="007019F7" w:rsidRDefault="002E796D">
        <w:pPr>
          <w:pStyle w:val="WorkingPaper-Datebox"/>
          <w:jc w:val="center"/>
          <w:rPr>
            <w:rFonts w:cstheme="majorHAnsi"/>
          </w:rPr>
        </w:pPr>
        <w:r w:rsidRPr="007019F7">
          <w:rPr>
            <w:rFonts w:cstheme="majorHAnsi"/>
          </w:rPr>
          <w:fldChar w:fldCharType="begin"/>
        </w:r>
        <w:r w:rsidRPr="007019F7">
          <w:rPr>
            <w:rFonts w:cstheme="majorHAnsi"/>
          </w:rPr>
          <w:instrText xml:space="preserve"> PAGE   \* MERGEFORMAT </w:instrText>
        </w:r>
        <w:r w:rsidRPr="007019F7">
          <w:rPr>
            <w:rFonts w:cstheme="majorHAnsi"/>
          </w:rPr>
          <w:fldChar w:fldCharType="separate"/>
        </w:r>
        <w:r>
          <w:rPr>
            <w:rFonts w:cstheme="majorHAnsi"/>
            <w:noProof/>
          </w:rPr>
          <w:t>25</w:t>
        </w:r>
        <w:r w:rsidRPr="007019F7">
          <w:rPr>
            <w:rFonts w:cstheme="majorHAnsi"/>
            <w:noProof/>
          </w:rPr>
          <w:fldChar w:fldCharType="end"/>
        </w:r>
      </w:p>
    </w:sdtContent>
  </w:sdt>
  <w:p w14:paraId="54867B51" w14:textId="77777777" w:rsidR="002E796D" w:rsidRDefault="002E796D">
    <w:pPr>
      <w:pStyle w:val="WorkingPaper-Datebox"/>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24F7" w14:textId="77777777" w:rsidR="00C33BB0" w:rsidRDefault="00C33BB0" w:rsidP="00B83BFB">
      <w:pPr>
        <w:spacing w:after="0"/>
      </w:pPr>
      <w:r>
        <w:separator/>
      </w:r>
    </w:p>
  </w:footnote>
  <w:footnote w:type="continuationSeparator" w:id="0">
    <w:p w14:paraId="7E6D9383" w14:textId="77777777" w:rsidR="00C33BB0" w:rsidRDefault="00C33BB0" w:rsidP="00B83BFB">
      <w:pPr>
        <w:spacing w:after="0"/>
      </w:pPr>
      <w:r>
        <w:continuationSeparator/>
      </w:r>
    </w:p>
  </w:footnote>
  <w:footnote w:type="continuationNotice" w:id="1">
    <w:p w14:paraId="222B0023" w14:textId="77777777" w:rsidR="00C33BB0" w:rsidRDefault="00C33BB0">
      <w:pPr>
        <w:spacing w:after="0"/>
      </w:pPr>
    </w:p>
  </w:footnote>
  <w:footnote w:id="2">
    <w:p w14:paraId="7B5565A9" w14:textId="2795F267" w:rsidR="002E796D" w:rsidRDefault="002E796D" w:rsidP="000878D0">
      <w:pPr>
        <w:pStyle w:val="FootnoteText"/>
      </w:pPr>
      <w:r>
        <w:rPr>
          <w:rStyle w:val="FootnoteReference"/>
        </w:rPr>
        <w:footnoteRef/>
      </w:r>
      <w:r>
        <w:t xml:space="preserve"> Average of rounds 1-3.</w:t>
      </w:r>
    </w:p>
  </w:footnote>
  <w:footnote w:id="3">
    <w:p w14:paraId="38DCDC24" w14:textId="3E811F7A" w:rsidR="002E796D" w:rsidRDefault="002E796D">
      <w:pPr>
        <w:pStyle w:val="FootnoteText"/>
      </w:pPr>
      <w:r>
        <w:rPr>
          <w:rStyle w:val="FootnoteReference"/>
        </w:rPr>
        <w:footnoteRef/>
      </w:r>
      <w:r>
        <w:t xml:space="preserve"> From derived values in Table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3C11" w14:textId="7CA43512" w:rsidR="002E796D" w:rsidRDefault="002E796D" w:rsidP="00C2149D">
    <w:r>
      <w:rPr>
        <w:noProof/>
        <w:lang w:val="en-GB" w:eastAsia="en-GB"/>
      </w:rPr>
      <mc:AlternateContent>
        <mc:Choice Requires="wps">
          <w:drawing>
            <wp:anchor distT="0" distB="0" distL="114300" distR="114300" simplePos="0" relativeHeight="251658752" behindDoc="0" locked="0" layoutInCell="1" allowOverlap="1" wp14:anchorId="1101FF0A" wp14:editId="4294FB9C">
              <wp:simplePos x="0" y="0"/>
              <wp:positionH relativeFrom="column">
                <wp:posOffset>530225</wp:posOffset>
              </wp:positionH>
              <wp:positionV relativeFrom="paragraph">
                <wp:posOffset>111125</wp:posOffset>
              </wp:positionV>
              <wp:extent cx="4471035" cy="805815"/>
              <wp:effectExtent l="0" t="0" r="0" b="0"/>
              <wp:wrapNone/>
              <wp:docPr id="8" name="Text Box 8"/>
              <wp:cNvGraphicFramePr/>
              <a:graphic xmlns:a="http://schemas.openxmlformats.org/drawingml/2006/main">
                <a:graphicData uri="http://schemas.microsoft.com/office/word/2010/wordprocessingShape">
                  <wps:wsp>
                    <wps:cNvSpPr txBox="1"/>
                    <wps:spPr>
                      <a:xfrm>
                        <a:off x="0" y="0"/>
                        <a:ext cx="4471035" cy="805815"/>
                      </a:xfrm>
                      <a:prstGeom prst="rect">
                        <a:avLst/>
                      </a:prstGeom>
                      <a:noFill/>
                      <a:ln w="6350">
                        <a:noFill/>
                      </a:ln>
                    </wps:spPr>
                    <wps:txbx>
                      <w:txbxContent>
                        <w:p w14:paraId="686FB56F" w14:textId="5F8CDC9A" w:rsidR="002E796D" w:rsidRPr="00CE0B95" w:rsidRDefault="002E796D" w:rsidP="0001174F">
                          <w:pPr>
                            <w:jc w:val="left"/>
                            <w:rPr>
                              <w:rFonts w:ascii="Cambria" w:hAnsi="Cambria"/>
                              <w:color w:val="FFFFFF" w:themeColor="background1"/>
                              <w:sz w:val="48"/>
                            </w:rPr>
                          </w:pPr>
                          <w:r w:rsidRPr="00CE0B95">
                            <w:rPr>
                              <w:rFonts w:ascii="Cambria" w:hAnsi="Cambria"/>
                              <w:color w:val="FFFFFF" w:themeColor="background1"/>
                              <w:sz w:val="48"/>
                            </w:rPr>
                            <w:t xml:space="preserve">Towards Inclusive </w:t>
                          </w:r>
                          <w:r>
                            <w:rPr>
                              <w:rFonts w:ascii="Cambria" w:hAnsi="Cambria"/>
                              <w:color w:val="FFFFFF" w:themeColor="background1"/>
                              <w:sz w:val="48"/>
                            </w:rPr>
                            <w:t xml:space="preserve">Economic </w:t>
                          </w:r>
                          <w:r w:rsidRPr="00CE0B95">
                            <w:rPr>
                              <w:rFonts w:ascii="Cambria" w:hAnsi="Cambria"/>
                              <w:color w:val="FFFFFF" w:themeColor="background1"/>
                              <w:sz w:val="48"/>
                            </w:rPr>
                            <w:t>Development in Southern 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01FF0A" id="_x0000_t202" coordsize="21600,21600" o:spt="202" path="m,l,21600r21600,l21600,xe">
              <v:stroke joinstyle="miter"/>
              <v:path gradientshapeok="t" o:connecttype="rect"/>
            </v:shapetype>
            <v:shape id="Text Box 8" o:spid="_x0000_s1026" type="#_x0000_t202" style="position:absolute;left:0;text-align:left;margin-left:41.75pt;margin-top:8.75pt;width:352.05pt;height:63.4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" filled="f" stroked="f" strokeweight=".5pt">
              <v:textbox>
                <w:txbxContent>
                  <w:p w14:paraId="686FB56F" w14:textId="5F8CDC9A" w:rsidR="002E796D" w:rsidRPr="00CE0B95" w:rsidRDefault="002E796D" w:rsidP="0001174F">
                    <w:pPr>
                      <w:jc w:val="left"/>
                      <w:rPr>
                        <w:rFonts w:ascii="Cambria" w:hAnsi="Cambria"/>
                        <w:color w:val="FFFFFF" w:themeColor="background1"/>
                        <w:sz w:val="48"/>
                      </w:rPr>
                    </w:pPr>
                    <w:r w:rsidRPr="00CE0B95">
                      <w:rPr>
                        <w:rFonts w:ascii="Cambria" w:hAnsi="Cambria"/>
                        <w:color w:val="FFFFFF" w:themeColor="background1"/>
                        <w:sz w:val="48"/>
                      </w:rPr>
                      <w:t xml:space="preserve">Towards Inclusive </w:t>
                    </w:r>
                    <w:r>
                      <w:rPr>
                        <w:rFonts w:ascii="Cambria" w:hAnsi="Cambria"/>
                        <w:color w:val="FFFFFF" w:themeColor="background1"/>
                        <w:sz w:val="48"/>
                      </w:rPr>
                      <w:t xml:space="preserve">Economic </w:t>
                    </w:r>
                    <w:r w:rsidRPr="00CE0B95">
                      <w:rPr>
                        <w:rFonts w:ascii="Cambria" w:hAnsi="Cambria"/>
                        <w:color w:val="FFFFFF" w:themeColor="background1"/>
                        <w:sz w:val="48"/>
                      </w:rPr>
                      <w:t>Development in Southern Africa</w:t>
                    </w:r>
                  </w:p>
                </w:txbxContent>
              </v:textbox>
            </v:shape>
          </w:pict>
        </mc:Fallback>
      </mc:AlternateContent>
    </w:r>
    <w:r>
      <w:rPr>
        <w:noProof/>
        <w:lang w:val="en-GB" w:eastAsia="en-GB"/>
      </w:rPr>
      <w:drawing>
        <wp:anchor distT="0" distB="0" distL="114300" distR="114300" simplePos="0" relativeHeight="251659776" behindDoc="1" locked="0" layoutInCell="1" allowOverlap="1" wp14:anchorId="68C433E5" wp14:editId="3AEA04B7">
          <wp:simplePos x="0" y="0"/>
          <wp:positionH relativeFrom="column">
            <wp:posOffset>-231775</wp:posOffset>
          </wp:positionH>
          <wp:positionV relativeFrom="paragraph">
            <wp:posOffset>144145</wp:posOffset>
          </wp:positionV>
          <wp:extent cx="582295" cy="955675"/>
          <wp:effectExtent l="0" t="0" r="0" b="0"/>
          <wp:wrapTight wrapText="bothSides">
            <wp:wrapPolygon edited="0">
              <wp:start x="1884" y="287"/>
              <wp:lineTo x="1413" y="1148"/>
              <wp:lineTo x="1413" y="20954"/>
              <wp:lineTo x="19786" y="20954"/>
              <wp:lineTo x="19786" y="1435"/>
              <wp:lineTo x="19315" y="287"/>
              <wp:lineTo x="1884" y="287"/>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tical_RGB_White.png"/>
                  <pic:cNvPicPr/>
                </pic:nvPicPr>
                <pic:blipFill>
                  <a:blip r:embed="rId1">
                    <a:extLst>
                      <a:ext uri="{28A0092B-C50C-407E-A947-70E740481C1C}">
                        <a14:useLocalDpi xmlns:a14="http://schemas.microsoft.com/office/drawing/2010/main" val="0"/>
                      </a:ext>
                    </a:extLst>
                  </a:blip>
                  <a:stretch>
                    <a:fillRect/>
                  </a:stretch>
                </pic:blipFill>
                <pic:spPr>
                  <a:xfrm>
                    <a:off x="0" y="0"/>
                    <a:ext cx="582295" cy="955675"/>
                  </a:xfrm>
                  <a:prstGeom prst="rect">
                    <a:avLst/>
                  </a:prstGeom>
                </pic:spPr>
              </pic:pic>
            </a:graphicData>
          </a:graphic>
          <wp14:sizeRelH relativeFrom="page">
            <wp14:pctWidth>0</wp14:pctWidth>
          </wp14:sizeRelH>
          <wp14:sizeRelV relativeFrom="page">
            <wp14:pctHeight>0</wp14:pctHeight>
          </wp14:sizeRelV>
        </wp:anchor>
      </w:drawing>
    </w:r>
  </w:p>
  <w:p w14:paraId="5C383F33" w14:textId="6F00E816" w:rsidR="002E796D" w:rsidRDefault="002E796D" w:rsidP="00C2149D"/>
  <w:p w14:paraId="74DD7E5C" w14:textId="77777777" w:rsidR="002E796D" w:rsidRDefault="002E796D" w:rsidP="00C2149D">
    <w:r>
      <w:tab/>
    </w:r>
  </w:p>
  <w:p w14:paraId="704592C5" w14:textId="77777777" w:rsidR="002E796D" w:rsidRDefault="002E796D" w:rsidP="00C2149D"/>
  <w:p w14:paraId="381C7971" w14:textId="780950AA" w:rsidR="002E796D" w:rsidRDefault="00832C65" w:rsidP="00832C65">
    <w:pPr>
      <w:tabs>
        <w:tab w:val="left" w:pos="1290"/>
      </w:tabs>
    </w:pPr>
    <w:r>
      <w:tab/>
    </w:r>
  </w:p>
  <w:p w14:paraId="376BB0DA" w14:textId="48C1627F" w:rsidR="002E796D" w:rsidRDefault="002E796D" w:rsidP="00C2149D"/>
  <w:p w14:paraId="396C7C01" w14:textId="4871222F" w:rsidR="002E796D" w:rsidRDefault="002E796D" w:rsidP="00C2149D"/>
  <w:p w14:paraId="11DDFFEB" w14:textId="77777777" w:rsidR="002E796D" w:rsidRDefault="002E796D" w:rsidP="00C2149D"/>
  <w:p w14:paraId="0CAF8DC6" w14:textId="34B30B94" w:rsidR="002E796D" w:rsidRDefault="002E796D" w:rsidP="00C2149D">
    <w:r>
      <w:tab/>
    </w:r>
  </w:p>
  <w:p w14:paraId="45DEAFA2" w14:textId="2A218A3B" w:rsidR="002E796D" w:rsidRDefault="002E796D" w:rsidP="00C2149D"/>
  <w:p w14:paraId="0B04B75E" w14:textId="7338E3B2" w:rsidR="002E796D" w:rsidRDefault="002E796D" w:rsidP="00C214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F55D" w14:textId="402110F5" w:rsidR="002E796D" w:rsidRDefault="002E796D" w:rsidP="00360483">
    <w:pPr>
      <w:pStyle w:val="Header"/>
    </w:pPr>
    <w:r w:rsidRPr="005B18AF">
      <w:rPr>
        <w:noProof/>
        <w:sz w:val="20"/>
        <w:szCs w:val="20"/>
        <w:lang w:eastAsia="en-GB"/>
      </w:rPr>
      <w:drawing>
        <wp:anchor distT="0" distB="0" distL="114300" distR="114300" simplePos="0" relativeHeight="251674624" behindDoc="0" locked="0" layoutInCell="1" allowOverlap="1" wp14:anchorId="473D87AA" wp14:editId="4F946FAE">
          <wp:simplePos x="0" y="0"/>
          <wp:positionH relativeFrom="column">
            <wp:posOffset>-33655</wp:posOffset>
          </wp:positionH>
          <wp:positionV relativeFrom="paragraph">
            <wp:posOffset>-396240</wp:posOffset>
          </wp:positionV>
          <wp:extent cx="381000" cy="626110"/>
          <wp:effectExtent l="0" t="0" r="0" b="25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tical_RGB_White.png"/>
                  <pic:cNvPicPr/>
                </pic:nvPicPr>
                <pic:blipFill>
                  <a:blip r:embed="rId1">
                    <a:extLst>
                      <a:ext uri="{28A0092B-C50C-407E-A947-70E740481C1C}">
                        <a14:useLocalDpi xmlns:a14="http://schemas.microsoft.com/office/drawing/2010/main" val="0"/>
                      </a:ext>
                    </a:extLst>
                  </a:blip>
                  <a:stretch>
                    <a:fillRect/>
                  </a:stretch>
                </pic:blipFill>
                <pic:spPr>
                  <a:xfrm>
                    <a:off x="0" y="0"/>
                    <a:ext cx="381000" cy="626110"/>
                  </a:xfrm>
                  <a:prstGeom prst="rect">
                    <a:avLst/>
                  </a:prstGeom>
                </pic:spPr>
              </pic:pic>
            </a:graphicData>
          </a:graphic>
          <wp14:sizeRelH relativeFrom="page">
            <wp14:pctWidth>0</wp14:pctWidth>
          </wp14:sizeRelH>
          <wp14:sizeRelV relativeFrom="page">
            <wp14:pctHeight>0</wp14:pctHeight>
          </wp14:sizeRelV>
        </wp:anchor>
      </w:drawing>
    </w:r>
    <w:r w:rsidRPr="00BB0B7E">
      <w:t xml:space="preserve"> Improved Representation of Coal Supply for the Power Sector for South Africa</w:t>
    </w:r>
  </w:p>
  <w:p w14:paraId="5E887FCE" w14:textId="00519991" w:rsidR="002E796D" w:rsidRPr="000D222B" w:rsidRDefault="002E796D" w:rsidP="00AE7B07">
    <w:pPr>
      <w:tabs>
        <w:tab w:val="right" w:pos="9072"/>
      </w:tabs>
      <w:ind w:left="720"/>
      <w:jc w:val="left"/>
      <w:rPr>
        <w:sz w:val="18"/>
        <w:szCs w:val="18"/>
      </w:rPr>
    </w:pPr>
    <w:r>
      <w:rPr>
        <w:lang w:val="en-GB"/>
      </w:rPr>
      <w:tab/>
    </w:r>
    <w:r w:rsidRPr="000D222B">
      <w:rPr>
        <w:sz w:val="18"/>
        <w:szCs w:val="18"/>
      </w:rPr>
      <w:fldChar w:fldCharType="begin"/>
    </w:r>
    <w:r w:rsidRPr="000D222B">
      <w:rPr>
        <w:sz w:val="18"/>
        <w:szCs w:val="18"/>
      </w:rPr>
      <w:instrText xml:space="preserve"> PAGE   \* MERGEFORMAT </w:instrText>
    </w:r>
    <w:r w:rsidRPr="000D222B">
      <w:rPr>
        <w:sz w:val="18"/>
        <w:szCs w:val="18"/>
      </w:rPr>
      <w:fldChar w:fldCharType="separate"/>
    </w:r>
    <w:r>
      <w:rPr>
        <w:noProof/>
        <w:sz w:val="18"/>
        <w:szCs w:val="18"/>
      </w:rPr>
      <w:t>25</w:t>
    </w:r>
    <w:r w:rsidRPr="000D222B">
      <w:rPr>
        <w:noProof/>
        <w:sz w:val="18"/>
        <w:szCs w:val="18"/>
      </w:rPr>
      <w:fldChar w:fldCharType="end"/>
    </w:r>
  </w:p>
  <w:p w14:paraId="0E78E4B7" w14:textId="5C0FC4EA" w:rsidR="002E796D" w:rsidRDefault="002E7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E06"/>
    <w:multiLevelType w:val="hybridMultilevel"/>
    <w:tmpl w:val="35042514"/>
    <w:lvl w:ilvl="0" w:tplc="BBCCF5C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54B1"/>
    <w:multiLevelType w:val="multilevel"/>
    <w:tmpl w:val="A72CD14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53DBA"/>
    <w:multiLevelType w:val="multilevel"/>
    <w:tmpl w:val="A09624B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C95E2D"/>
    <w:multiLevelType w:val="multilevel"/>
    <w:tmpl w:val="5CAA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50DD5"/>
    <w:multiLevelType w:val="multilevel"/>
    <w:tmpl w:val="9D52ED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6A7A47"/>
    <w:multiLevelType w:val="multilevel"/>
    <w:tmpl w:val="9D52ED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10B37"/>
    <w:multiLevelType w:val="multilevel"/>
    <w:tmpl w:val="F62CA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8D2BC6"/>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F02038"/>
    <w:multiLevelType w:val="multilevel"/>
    <w:tmpl w:val="557AC18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7BD333B9"/>
    <w:multiLevelType w:val="multilevel"/>
    <w:tmpl w:val="F524E62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7CCE2ED3"/>
    <w:multiLevelType w:val="hybridMultilevel"/>
    <w:tmpl w:val="EE4ECA4C"/>
    <w:lvl w:ilvl="0" w:tplc="76307AC0">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3"/>
  </w:num>
  <w:num w:numId="6">
    <w:abstractNumId w:val="2"/>
  </w:num>
  <w:num w:numId="7">
    <w:abstractNumId w:val="1"/>
  </w:num>
  <w:num w:numId="8">
    <w:abstractNumId w:val="10"/>
  </w:num>
  <w:num w:numId="9">
    <w:abstractNumId w:val="7"/>
  </w:num>
  <w:num w:numId="10">
    <w:abstractNumId w:val="9"/>
  </w:num>
  <w:num w:numId="11">
    <w:abstractNumId w:val="5"/>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GridTable4-Accent61"/>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FB"/>
    <w:rsid w:val="00000A9C"/>
    <w:rsid w:val="0000335A"/>
    <w:rsid w:val="000113D8"/>
    <w:rsid w:val="0001174F"/>
    <w:rsid w:val="00012151"/>
    <w:rsid w:val="00013A49"/>
    <w:rsid w:val="00022CFC"/>
    <w:rsid w:val="00023751"/>
    <w:rsid w:val="00024B2A"/>
    <w:rsid w:val="000300ED"/>
    <w:rsid w:val="00033C00"/>
    <w:rsid w:val="00036616"/>
    <w:rsid w:val="00040B5E"/>
    <w:rsid w:val="00045CC5"/>
    <w:rsid w:val="00046F49"/>
    <w:rsid w:val="00047111"/>
    <w:rsid w:val="00047752"/>
    <w:rsid w:val="0005296F"/>
    <w:rsid w:val="00052AA3"/>
    <w:rsid w:val="000617F1"/>
    <w:rsid w:val="00065585"/>
    <w:rsid w:val="000676C3"/>
    <w:rsid w:val="00070726"/>
    <w:rsid w:val="00070F1F"/>
    <w:rsid w:val="00071292"/>
    <w:rsid w:val="00071A54"/>
    <w:rsid w:val="00071FB3"/>
    <w:rsid w:val="0007588D"/>
    <w:rsid w:val="00085066"/>
    <w:rsid w:val="000858B3"/>
    <w:rsid w:val="000878D0"/>
    <w:rsid w:val="0009298A"/>
    <w:rsid w:val="00092F0D"/>
    <w:rsid w:val="00092FD6"/>
    <w:rsid w:val="00093043"/>
    <w:rsid w:val="000943E8"/>
    <w:rsid w:val="00096081"/>
    <w:rsid w:val="000A0FEB"/>
    <w:rsid w:val="000A137B"/>
    <w:rsid w:val="000A318F"/>
    <w:rsid w:val="000A784E"/>
    <w:rsid w:val="000B0393"/>
    <w:rsid w:val="000B0519"/>
    <w:rsid w:val="000B0BA0"/>
    <w:rsid w:val="000B10CB"/>
    <w:rsid w:val="000B2714"/>
    <w:rsid w:val="000B3FBD"/>
    <w:rsid w:val="000B7DBA"/>
    <w:rsid w:val="000C0187"/>
    <w:rsid w:val="000C0884"/>
    <w:rsid w:val="000C12C0"/>
    <w:rsid w:val="000C1F25"/>
    <w:rsid w:val="000C3723"/>
    <w:rsid w:val="000C5000"/>
    <w:rsid w:val="000C57C6"/>
    <w:rsid w:val="000C5DA0"/>
    <w:rsid w:val="000C7F75"/>
    <w:rsid w:val="000D222B"/>
    <w:rsid w:val="000D66AD"/>
    <w:rsid w:val="000D7953"/>
    <w:rsid w:val="000E070E"/>
    <w:rsid w:val="000E5E92"/>
    <w:rsid w:val="000E6EE1"/>
    <w:rsid w:val="000E7912"/>
    <w:rsid w:val="000F3E8A"/>
    <w:rsid w:val="000F7440"/>
    <w:rsid w:val="00100B97"/>
    <w:rsid w:val="0010151A"/>
    <w:rsid w:val="00103CA8"/>
    <w:rsid w:val="001063BF"/>
    <w:rsid w:val="001111C7"/>
    <w:rsid w:val="00115886"/>
    <w:rsid w:val="00121708"/>
    <w:rsid w:val="00124686"/>
    <w:rsid w:val="001255FD"/>
    <w:rsid w:val="0012763B"/>
    <w:rsid w:val="00130F14"/>
    <w:rsid w:val="00131B3F"/>
    <w:rsid w:val="0013237A"/>
    <w:rsid w:val="00132AB8"/>
    <w:rsid w:val="00132E5D"/>
    <w:rsid w:val="001430DF"/>
    <w:rsid w:val="001515E0"/>
    <w:rsid w:val="0015251C"/>
    <w:rsid w:val="001541A0"/>
    <w:rsid w:val="0015438F"/>
    <w:rsid w:val="00155AF5"/>
    <w:rsid w:val="00155E70"/>
    <w:rsid w:val="00160E3F"/>
    <w:rsid w:val="00162241"/>
    <w:rsid w:val="001708C2"/>
    <w:rsid w:val="00170BB7"/>
    <w:rsid w:val="00170D6D"/>
    <w:rsid w:val="0018518C"/>
    <w:rsid w:val="00191136"/>
    <w:rsid w:val="0019768E"/>
    <w:rsid w:val="001A2BA6"/>
    <w:rsid w:val="001A2E47"/>
    <w:rsid w:val="001A6CC0"/>
    <w:rsid w:val="001B0702"/>
    <w:rsid w:val="001B5C26"/>
    <w:rsid w:val="001C0BA1"/>
    <w:rsid w:val="001C244E"/>
    <w:rsid w:val="001D0860"/>
    <w:rsid w:val="001D165A"/>
    <w:rsid w:val="001D2465"/>
    <w:rsid w:val="001D3E22"/>
    <w:rsid w:val="001D4899"/>
    <w:rsid w:val="001D500D"/>
    <w:rsid w:val="001E0B6E"/>
    <w:rsid w:val="001E15D8"/>
    <w:rsid w:val="001E6949"/>
    <w:rsid w:val="001F7790"/>
    <w:rsid w:val="001F7A1C"/>
    <w:rsid w:val="00201E66"/>
    <w:rsid w:val="00202EE7"/>
    <w:rsid w:val="00203371"/>
    <w:rsid w:val="00205BF2"/>
    <w:rsid w:val="00205E66"/>
    <w:rsid w:val="00214676"/>
    <w:rsid w:val="00214DAF"/>
    <w:rsid w:val="00216D5C"/>
    <w:rsid w:val="002210AB"/>
    <w:rsid w:val="00221BFE"/>
    <w:rsid w:val="002223D8"/>
    <w:rsid w:val="002235FA"/>
    <w:rsid w:val="00223C88"/>
    <w:rsid w:val="0022592F"/>
    <w:rsid w:val="0022732C"/>
    <w:rsid w:val="00233C7E"/>
    <w:rsid w:val="0024101E"/>
    <w:rsid w:val="0024504E"/>
    <w:rsid w:val="002461D6"/>
    <w:rsid w:val="0024798E"/>
    <w:rsid w:val="00247E3B"/>
    <w:rsid w:val="00247EBB"/>
    <w:rsid w:val="00251958"/>
    <w:rsid w:val="00253186"/>
    <w:rsid w:val="0025336B"/>
    <w:rsid w:val="002534DA"/>
    <w:rsid w:val="002536AF"/>
    <w:rsid w:val="002543CD"/>
    <w:rsid w:val="002566FD"/>
    <w:rsid w:val="00257172"/>
    <w:rsid w:val="002574B5"/>
    <w:rsid w:val="002625EB"/>
    <w:rsid w:val="00262F48"/>
    <w:rsid w:val="00263AE6"/>
    <w:rsid w:val="00266ECE"/>
    <w:rsid w:val="002677CF"/>
    <w:rsid w:val="00276C58"/>
    <w:rsid w:val="0027728C"/>
    <w:rsid w:val="00277F21"/>
    <w:rsid w:val="00282D98"/>
    <w:rsid w:val="00283BBC"/>
    <w:rsid w:val="0028427E"/>
    <w:rsid w:val="00285057"/>
    <w:rsid w:val="002870F5"/>
    <w:rsid w:val="00291601"/>
    <w:rsid w:val="00292ABC"/>
    <w:rsid w:val="00292CFF"/>
    <w:rsid w:val="00296B3C"/>
    <w:rsid w:val="002A14A5"/>
    <w:rsid w:val="002A1DF3"/>
    <w:rsid w:val="002A4981"/>
    <w:rsid w:val="002A5328"/>
    <w:rsid w:val="002B0033"/>
    <w:rsid w:val="002B0DD6"/>
    <w:rsid w:val="002B127F"/>
    <w:rsid w:val="002B1C09"/>
    <w:rsid w:val="002B6C63"/>
    <w:rsid w:val="002B7512"/>
    <w:rsid w:val="002B794F"/>
    <w:rsid w:val="002C28A8"/>
    <w:rsid w:val="002C51DA"/>
    <w:rsid w:val="002C6FCA"/>
    <w:rsid w:val="002D0D17"/>
    <w:rsid w:val="002D282B"/>
    <w:rsid w:val="002D40E1"/>
    <w:rsid w:val="002D46C2"/>
    <w:rsid w:val="002D4AC0"/>
    <w:rsid w:val="002D4F71"/>
    <w:rsid w:val="002E57FD"/>
    <w:rsid w:val="002E6FE5"/>
    <w:rsid w:val="002E796D"/>
    <w:rsid w:val="002F14FC"/>
    <w:rsid w:val="002F61BF"/>
    <w:rsid w:val="003014EC"/>
    <w:rsid w:val="00306BEF"/>
    <w:rsid w:val="00306C3B"/>
    <w:rsid w:val="003072B8"/>
    <w:rsid w:val="00310CCB"/>
    <w:rsid w:val="0031756F"/>
    <w:rsid w:val="00322ED0"/>
    <w:rsid w:val="003245F3"/>
    <w:rsid w:val="00330919"/>
    <w:rsid w:val="0033245E"/>
    <w:rsid w:val="0034455C"/>
    <w:rsid w:val="003468C8"/>
    <w:rsid w:val="00351762"/>
    <w:rsid w:val="00357573"/>
    <w:rsid w:val="00360483"/>
    <w:rsid w:val="003611BF"/>
    <w:rsid w:val="00366B51"/>
    <w:rsid w:val="00366EFC"/>
    <w:rsid w:val="00367AE5"/>
    <w:rsid w:val="00374CCE"/>
    <w:rsid w:val="00376097"/>
    <w:rsid w:val="00376831"/>
    <w:rsid w:val="00377A59"/>
    <w:rsid w:val="00382B18"/>
    <w:rsid w:val="0038308E"/>
    <w:rsid w:val="00384746"/>
    <w:rsid w:val="0039104D"/>
    <w:rsid w:val="00394BF4"/>
    <w:rsid w:val="0039528C"/>
    <w:rsid w:val="003A24A6"/>
    <w:rsid w:val="003A2D09"/>
    <w:rsid w:val="003A402F"/>
    <w:rsid w:val="003A485E"/>
    <w:rsid w:val="003A4FEA"/>
    <w:rsid w:val="003A6E33"/>
    <w:rsid w:val="003A6F8D"/>
    <w:rsid w:val="003A76DA"/>
    <w:rsid w:val="003A78B2"/>
    <w:rsid w:val="003B220B"/>
    <w:rsid w:val="003B38B8"/>
    <w:rsid w:val="003B3AB4"/>
    <w:rsid w:val="003C2551"/>
    <w:rsid w:val="003C77F8"/>
    <w:rsid w:val="003D0196"/>
    <w:rsid w:val="003D0707"/>
    <w:rsid w:val="003D1E6F"/>
    <w:rsid w:val="003D2188"/>
    <w:rsid w:val="003D4340"/>
    <w:rsid w:val="003D588C"/>
    <w:rsid w:val="003F008C"/>
    <w:rsid w:val="003F0C9A"/>
    <w:rsid w:val="003F2203"/>
    <w:rsid w:val="003F4082"/>
    <w:rsid w:val="003F557F"/>
    <w:rsid w:val="003F759F"/>
    <w:rsid w:val="004018C4"/>
    <w:rsid w:val="00403748"/>
    <w:rsid w:val="00406D34"/>
    <w:rsid w:val="00411D71"/>
    <w:rsid w:val="004142F7"/>
    <w:rsid w:val="00417468"/>
    <w:rsid w:val="004217C6"/>
    <w:rsid w:val="00421F23"/>
    <w:rsid w:val="00424C74"/>
    <w:rsid w:val="00425270"/>
    <w:rsid w:val="004274AB"/>
    <w:rsid w:val="0043290E"/>
    <w:rsid w:val="0043573C"/>
    <w:rsid w:val="00435E35"/>
    <w:rsid w:val="00436503"/>
    <w:rsid w:val="00440F79"/>
    <w:rsid w:val="00454246"/>
    <w:rsid w:val="00455FD4"/>
    <w:rsid w:val="00463CEF"/>
    <w:rsid w:val="0046680E"/>
    <w:rsid w:val="00467ECF"/>
    <w:rsid w:val="00472160"/>
    <w:rsid w:val="004755E9"/>
    <w:rsid w:val="00475D2F"/>
    <w:rsid w:val="00483E12"/>
    <w:rsid w:val="00486285"/>
    <w:rsid w:val="00487B5C"/>
    <w:rsid w:val="0049432D"/>
    <w:rsid w:val="004949EA"/>
    <w:rsid w:val="004A0508"/>
    <w:rsid w:val="004A13ED"/>
    <w:rsid w:val="004A225A"/>
    <w:rsid w:val="004A4637"/>
    <w:rsid w:val="004A6EA3"/>
    <w:rsid w:val="004B7414"/>
    <w:rsid w:val="004B7DE3"/>
    <w:rsid w:val="004C15F3"/>
    <w:rsid w:val="004C489D"/>
    <w:rsid w:val="004C4F07"/>
    <w:rsid w:val="004C5E3A"/>
    <w:rsid w:val="004C5EA9"/>
    <w:rsid w:val="004C61D3"/>
    <w:rsid w:val="004C75B5"/>
    <w:rsid w:val="004D218E"/>
    <w:rsid w:val="004D36C9"/>
    <w:rsid w:val="004D4BA4"/>
    <w:rsid w:val="004E4ED3"/>
    <w:rsid w:val="004E6076"/>
    <w:rsid w:val="004E63D3"/>
    <w:rsid w:val="004E6F5B"/>
    <w:rsid w:val="004F239C"/>
    <w:rsid w:val="005000A3"/>
    <w:rsid w:val="0050168D"/>
    <w:rsid w:val="00505F47"/>
    <w:rsid w:val="00506DAE"/>
    <w:rsid w:val="005101C2"/>
    <w:rsid w:val="005124BE"/>
    <w:rsid w:val="005171FE"/>
    <w:rsid w:val="00520830"/>
    <w:rsid w:val="00526F6B"/>
    <w:rsid w:val="005277E9"/>
    <w:rsid w:val="005314B1"/>
    <w:rsid w:val="00532097"/>
    <w:rsid w:val="005322E7"/>
    <w:rsid w:val="00533574"/>
    <w:rsid w:val="00540A15"/>
    <w:rsid w:val="0054209B"/>
    <w:rsid w:val="00545F4A"/>
    <w:rsid w:val="0054620F"/>
    <w:rsid w:val="00547850"/>
    <w:rsid w:val="00554E86"/>
    <w:rsid w:val="0056462C"/>
    <w:rsid w:val="005670DC"/>
    <w:rsid w:val="005704FC"/>
    <w:rsid w:val="005746D9"/>
    <w:rsid w:val="00575C2E"/>
    <w:rsid w:val="005766AB"/>
    <w:rsid w:val="0057768A"/>
    <w:rsid w:val="0057780D"/>
    <w:rsid w:val="00581E5A"/>
    <w:rsid w:val="00582EB1"/>
    <w:rsid w:val="00585F43"/>
    <w:rsid w:val="0058616B"/>
    <w:rsid w:val="00586884"/>
    <w:rsid w:val="00591883"/>
    <w:rsid w:val="00594F63"/>
    <w:rsid w:val="005A3AE3"/>
    <w:rsid w:val="005A4B52"/>
    <w:rsid w:val="005B01FF"/>
    <w:rsid w:val="005B1303"/>
    <w:rsid w:val="005B18AF"/>
    <w:rsid w:val="005B23E0"/>
    <w:rsid w:val="005B25CD"/>
    <w:rsid w:val="005C4885"/>
    <w:rsid w:val="005E1378"/>
    <w:rsid w:val="005F3C68"/>
    <w:rsid w:val="005F4FF8"/>
    <w:rsid w:val="005F585D"/>
    <w:rsid w:val="005F6659"/>
    <w:rsid w:val="005F7ABF"/>
    <w:rsid w:val="006000BB"/>
    <w:rsid w:val="006004A5"/>
    <w:rsid w:val="0060724C"/>
    <w:rsid w:val="006138D0"/>
    <w:rsid w:val="0061544E"/>
    <w:rsid w:val="00622560"/>
    <w:rsid w:val="006264D7"/>
    <w:rsid w:val="0063630B"/>
    <w:rsid w:val="00636F9D"/>
    <w:rsid w:val="006376B8"/>
    <w:rsid w:val="00637A8F"/>
    <w:rsid w:val="00642D66"/>
    <w:rsid w:val="00647DFB"/>
    <w:rsid w:val="00652419"/>
    <w:rsid w:val="00652A7F"/>
    <w:rsid w:val="00653728"/>
    <w:rsid w:val="006559FC"/>
    <w:rsid w:val="00660262"/>
    <w:rsid w:val="006605D7"/>
    <w:rsid w:val="00660A86"/>
    <w:rsid w:val="00664644"/>
    <w:rsid w:val="006739EF"/>
    <w:rsid w:val="00673CD8"/>
    <w:rsid w:val="0067540F"/>
    <w:rsid w:val="00680989"/>
    <w:rsid w:val="006832CE"/>
    <w:rsid w:val="00690671"/>
    <w:rsid w:val="006919F9"/>
    <w:rsid w:val="00692C8B"/>
    <w:rsid w:val="006A51B1"/>
    <w:rsid w:val="006A7016"/>
    <w:rsid w:val="006B1935"/>
    <w:rsid w:val="006B308F"/>
    <w:rsid w:val="006B43D0"/>
    <w:rsid w:val="006C6A7A"/>
    <w:rsid w:val="006C6CA4"/>
    <w:rsid w:val="006D5470"/>
    <w:rsid w:val="006F0607"/>
    <w:rsid w:val="006F09C8"/>
    <w:rsid w:val="006F15A8"/>
    <w:rsid w:val="006F167F"/>
    <w:rsid w:val="006F1CCF"/>
    <w:rsid w:val="007022C7"/>
    <w:rsid w:val="0070272A"/>
    <w:rsid w:val="00702D06"/>
    <w:rsid w:val="00706069"/>
    <w:rsid w:val="007073F7"/>
    <w:rsid w:val="00711AC5"/>
    <w:rsid w:val="00712C61"/>
    <w:rsid w:val="0071620A"/>
    <w:rsid w:val="00716DC9"/>
    <w:rsid w:val="00717DDD"/>
    <w:rsid w:val="007239C1"/>
    <w:rsid w:val="007242D5"/>
    <w:rsid w:val="00731F23"/>
    <w:rsid w:val="00735784"/>
    <w:rsid w:val="00737D80"/>
    <w:rsid w:val="00740B8B"/>
    <w:rsid w:val="00756110"/>
    <w:rsid w:val="00756FD6"/>
    <w:rsid w:val="0075792F"/>
    <w:rsid w:val="007630AB"/>
    <w:rsid w:val="00765A22"/>
    <w:rsid w:val="00766E19"/>
    <w:rsid w:val="0077210E"/>
    <w:rsid w:val="00773959"/>
    <w:rsid w:val="00774C1C"/>
    <w:rsid w:val="00776AA4"/>
    <w:rsid w:val="00782547"/>
    <w:rsid w:val="00786BFE"/>
    <w:rsid w:val="0078764B"/>
    <w:rsid w:val="00790667"/>
    <w:rsid w:val="007914C3"/>
    <w:rsid w:val="00792546"/>
    <w:rsid w:val="00792BE9"/>
    <w:rsid w:val="007A3710"/>
    <w:rsid w:val="007B2C33"/>
    <w:rsid w:val="007B64C9"/>
    <w:rsid w:val="007B6F99"/>
    <w:rsid w:val="007C09B8"/>
    <w:rsid w:val="007C1CCD"/>
    <w:rsid w:val="007C47C7"/>
    <w:rsid w:val="007C66D4"/>
    <w:rsid w:val="007D22B2"/>
    <w:rsid w:val="007D749D"/>
    <w:rsid w:val="007E3C57"/>
    <w:rsid w:val="007E5573"/>
    <w:rsid w:val="007F37C3"/>
    <w:rsid w:val="007F476B"/>
    <w:rsid w:val="007F5589"/>
    <w:rsid w:val="008008CE"/>
    <w:rsid w:val="008019E3"/>
    <w:rsid w:val="00802F10"/>
    <w:rsid w:val="00804DC4"/>
    <w:rsid w:val="00804F69"/>
    <w:rsid w:val="0081004A"/>
    <w:rsid w:val="0081677C"/>
    <w:rsid w:val="0082216F"/>
    <w:rsid w:val="00827B65"/>
    <w:rsid w:val="00827CB1"/>
    <w:rsid w:val="00832C65"/>
    <w:rsid w:val="008347C2"/>
    <w:rsid w:val="00837E84"/>
    <w:rsid w:val="00841BD1"/>
    <w:rsid w:val="008432EB"/>
    <w:rsid w:val="0085193C"/>
    <w:rsid w:val="008541D2"/>
    <w:rsid w:val="00857DCB"/>
    <w:rsid w:val="00863C5D"/>
    <w:rsid w:val="0086478F"/>
    <w:rsid w:val="00872BB4"/>
    <w:rsid w:val="00875EDE"/>
    <w:rsid w:val="0087608F"/>
    <w:rsid w:val="00880D81"/>
    <w:rsid w:val="00880DEE"/>
    <w:rsid w:val="00890323"/>
    <w:rsid w:val="008921E8"/>
    <w:rsid w:val="00892EB4"/>
    <w:rsid w:val="00893BE8"/>
    <w:rsid w:val="00894EAB"/>
    <w:rsid w:val="008A5049"/>
    <w:rsid w:val="008A64E4"/>
    <w:rsid w:val="008A7A0F"/>
    <w:rsid w:val="008B4A51"/>
    <w:rsid w:val="008B54A2"/>
    <w:rsid w:val="008B7EAC"/>
    <w:rsid w:val="008C099B"/>
    <w:rsid w:val="008C379A"/>
    <w:rsid w:val="008C7E01"/>
    <w:rsid w:val="008D4096"/>
    <w:rsid w:val="008D506D"/>
    <w:rsid w:val="008D63F4"/>
    <w:rsid w:val="008D6776"/>
    <w:rsid w:val="008D725D"/>
    <w:rsid w:val="008E0567"/>
    <w:rsid w:val="008E2A61"/>
    <w:rsid w:val="008F473B"/>
    <w:rsid w:val="00900329"/>
    <w:rsid w:val="00901D1D"/>
    <w:rsid w:val="0090204F"/>
    <w:rsid w:val="00903E36"/>
    <w:rsid w:val="0091032A"/>
    <w:rsid w:val="009103B5"/>
    <w:rsid w:val="00910FC1"/>
    <w:rsid w:val="0091557D"/>
    <w:rsid w:val="00916079"/>
    <w:rsid w:val="00916D65"/>
    <w:rsid w:val="009227E5"/>
    <w:rsid w:val="00924E85"/>
    <w:rsid w:val="009251DA"/>
    <w:rsid w:val="00925D20"/>
    <w:rsid w:val="00932701"/>
    <w:rsid w:val="00932BC2"/>
    <w:rsid w:val="009349F3"/>
    <w:rsid w:val="009378FB"/>
    <w:rsid w:val="00937F73"/>
    <w:rsid w:val="00941FDF"/>
    <w:rsid w:val="00945639"/>
    <w:rsid w:val="0095361E"/>
    <w:rsid w:val="00956036"/>
    <w:rsid w:val="009602C4"/>
    <w:rsid w:val="00960A5D"/>
    <w:rsid w:val="009619D0"/>
    <w:rsid w:val="00964EC7"/>
    <w:rsid w:val="00966EC6"/>
    <w:rsid w:val="009673C0"/>
    <w:rsid w:val="009709DB"/>
    <w:rsid w:val="0097181C"/>
    <w:rsid w:val="00972404"/>
    <w:rsid w:val="00972A4B"/>
    <w:rsid w:val="009732D3"/>
    <w:rsid w:val="00973865"/>
    <w:rsid w:val="00973BB6"/>
    <w:rsid w:val="009774FD"/>
    <w:rsid w:val="0098054A"/>
    <w:rsid w:val="00980DF0"/>
    <w:rsid w:val="0098620F"/>
    <w:rsid w:val="009878D5"/>
    <w:rsid w:val="009904F2"/>
    <w:rsid w:val="0099061C"/>
    <w:rsid w:val="00993F1C"/>
    <w:rsid w:val="00995479"/>
    <w:rsid w:val="00996385"/>
    <w:rsid w:val="009A125F"/>
    <w:rsid w:val="009A1DDD"/>
    <w:rsid w:val="009A78D2"/>
    <w:rsid w:val="009B196F"/>
    <w:rsid w:val="009B68A4"/>
    <w:rsid w:val="009C0991"/>
    <w:rsid w:val="009C0A2B"/>
    <w:rsid w:val="009C2174"/>
    <w:rsid w:val="009C3A08"/>
    <w:rsid w:val="009C4023"/>
    <w:rsid w:val="009C6BDC"/>
    <w:rsid w:val="009D0DAC"/>
    <w:rsid w:val="009D0FF6"/>
    <w:rsid w:val="009D1319"/>
    <w:rsid w:val="009D60F6"/>
    <w:rsid w:val="009E0D27"/>
    <w:rsid w:val="009E4197"/>
    <w:rsid w:val="009E5E16"/>
    <w:rsid w:val="009F170B"/>
    <w:rsid w:val="009F1996"/>
    <w:rsid w:val="009F1B47"/>
    <w:rsid w:val="009F33C8"/>
    <w:rsid w:val="009F4FD4"/>
    <w:rsid w:val="009F50C8"/>
    <w:rsid w:val="00A00F32"/>
    <w:rsid w:val="00A00FBD"/>
    <w:rsid w:val="00A013AC"/>
    <w:rsid w:val="00A01CD6"/>
    <w:rsid w:val="00A07ED8"/>
    <w:rsid w:val="00A12FA0"/>
    <w:rsid w:val="00A17050"/>
    <w:rsid w:val="00A20568"/>
    <w:rsid w:val="00A20AF8"/>
    <w:rsid w:val="00A27442"/>
    <w:rsid w:val="00A322F8"/>
    <w:rsid w:val="00A32C1F"/>
    <w:rsid w:val="00A419DB"/>
    <w:rsid w:val="00A41FE7"/>
    <w:rsid w:val="00A462E2"/>
    <w:rsid w:val="00A46B91"/>
    <w:rsid w:val="00A47B7F"/>
    <w:rsid w:val="00A51508"/>
    <w:rsid w:val="00A52902"/>
    <w:rsid w:val="00A541C2"/>
    <w:rsid w:val="00A5535E"/>
    <w:rsid w:val="00A60DE5"/>
    <w:rsid w:val="00A6492B"/>
    <w:rsid w:val="00A65C4E"/>
    <w:rsid w:val="00A671DC"/>
    <w:rsid w:val="00A81842"/>
    <w:rsid w:val="00A81A81"/>
    <w:rsid w:val="00A8442B"/>
    <w:rsid w:val="00A919BE"/>
    <w:rsid w:val="00AA3891"/>
    <w:rsid w:val="00AA42A0"/>
    <w:rsid w:val="00AA6942"/>
    <w:rsid w:val="00AB2A89"/>
    <w:rsid w:val="00AB30B1"/>
    <w:rsid w:val="00AB5636"/>
    <w:rsid w:val="00AB5C9D"/>
    <w:rsid w:val="00AC06CC"/>
    <w:rsid w:val="00AC2952"/>
    <w:rsid w:val="00AC3012"/>
    <w:rsid w:val="00AC3CD8"/>
    <w:rsid w:val="00AC6C9A"/>
    <w:rsid w:val="00AD3EDE"/>
    <w:rsid w:val="00AD693A"/>
    <w:rsid w:val="00AE0B1D"/>
    <w:rsid w:val="00AE1B93"/>
    <w:rsid w:val="00AE304D"/>
    <w:rsid w:val="00AE3197"/>
    <w:rsid w:val="00AE3961"/>
    <w:rsid w:val="00AE4703"/>
    <w:rsid w:val="00AE6DED"/>
    <w:rsid w:val="00AE7B07"/>
    <w:rsid w:val="00AF4AB8"/>
    <w:rsid w:val="00AF53D1"/>
    <w:rsid w:val="00B03AE9"/>
    <w:rsid w:val="00B04204"/>
    <w:rsid w:val="00B1340B"/>
    <w:rsid w:val="00B14406"/>
    <w:rsid w:val="00B149DB"/>
    <w:rsid w:val="00B22FAF"/>
    <w:rsid w:val="00B32EA7"/>
    <w:rsid w:val="00B37401"/>
    <w:rsid w:val="00B412C1"/>
    <w:rsid w:val="00B42904"/>
    <w:rsid w:val="00B43296"/>
    <w:rsid w:val="00B43467"/>
    <w:rsid w:val="00B4522C"/>
    <w:rsid w:val="00B50F38"/>
    <w:rsid w:val="00B561BC"/>
    <w:rsid w:val="00B56C0A"/>
    <w:rsid w:val="00B57399"/>
    <w:rsid w:val="00B57A18"/>
    <w:rsid w:val="00B61BCB"/>
    <w:rsid w:val="00B628F2"/>
    <w:rsid w:val="00B642EA"/>
    <w:rsid w:val="00B64CB0"/>
    <w:rsid w:val="00B673AC"/>
    <w:rsid w:val="00B674F1"/>
    <w:rsid w:val="00B702E3"/>
    <w:rsid w:val="00B71682"/>
    <w:rsid w:val="00B72227"/>
    <w:rsid w:val="00B82A3F"/>
    <w:rsid w:val="00B83BFB"/>
    <w:rsid w:val="00B84B33"/>
    <w:rsid w:val="00B9110A"/>
    <w:rsid w:val="00B92FE1"/>
    <w:rsid w:val="00B94B2E"/>
    <w:rsid w:val="00B95058"/>
    <w:rsid w:val="00B97DA2"/>
    <w:rsid w:val="00BA0893"/>
    <w:rsid w:val="00BB08E2"/>
    <w:rsid w:val="00BB0B7E"/>
    <w:rsid w:val="00BB5ACF"/>
    <w:rsid w:val="00BC2B91"/>
    <w:rsid w:val="00BC3B1E"/>
    <w:rsid w:val="00BC74E8"/>
    <w:rsid w:val="00BC76AC"/>
    <w:rsid w:val="00BC7A67"/>
    <w:rsid w:val="00BD1738"/>
    <w:rsid w:val="00BD217D"/>
    <w:rsid w:val="00BD2548"/>
    <w:rsid w:val="00BD5A8A"/>
    <w:rsid w:val="00BD5F98"/>
    <w:rsid w:val="00BE16DC"/>
    <w:rsid w:val="00BF5FB8"/>
    <w:rsid w:val="00BF6A1B"/>
    <w:rsid w:val="00BF6B1F"/>
    <w:rsid w:val="00BF7AE8"/>
    <w:rsid w:val="00C03E99"/>
    <w:rsid w:val="00C03FEE"/>
    <w:rsid w:val="00C04AD3"/>
    <w:rsid w:val="00C05AF5"/>
    <w:rsid w:val="00C05BEC"/>
    <w:rsid w:val="00C05C6E"/>
    <w:rsid w:val="00C0605A"/>
    <w:rsid w:val="00C0750E"/>
    <w:rsid w:val="00C12210"/>
    <w:rsid w:val="00C1376D"/>
    <w:rsid w:val="00C13A2F"/>
    <w:rsid w:val="00C1557E"/>
    <w:rsid w:val="00C157D2"/>
    <w:rsid w:val="00C171C6"/>
    <w:rsid w:val="00C2149D"/>
    <w:rsid w:val="00C2568B"/>
    <w:rsid w:val="00C25C1F"/>
    <w:rsid w:val="00C26A44"/>
    <w:rsid w:val="00C30294"/>
    <w:rsid w:val="00C30BF9"/>
    <w:rsid w:val="00C32423"/>
    <w:rsid w:val="00C33BB0"/>
    <w:rsid w:val="00C3434E"/>
    <w:rsid w:val="00C34964"/>
    <w:rsid w:val="00C404DC"/>
    <w:rsid w:val="00C409D2"/>
    <w:rsid w:val="00C42F7A"/>
    <w:rsid w:val="00C509FF"/>
    <w:rsid w:val="00C50A31"/>
    <w:rsid w:val="00C53658"/>
    <w:rsid w:val="00C54587"/>
    <w:rsid w:val="00C57440"/>
    <w:rsid w:val="00C57B57"/>
    <w:rsid w:val="00C60E44"/>
    <w:rsid w:val="00C610BB"/>
    <w:rsid w:val="00C612E3"/>
    <w:rsid w:val="00C714AE"/>
    <w:rsid w:val="00C739DE"/>
    <w:rsid w:val="00C77EB2"/>
    <w:rsid w:val="00C807B3"/>
    <w:rsid w:val="00C816A0"/>
    <w:rsid w:val="00C822BA"/>
    <w:rsid w:val="00C82EB0"/>
    <w:rsid w:val="00C94089"/>
    <w:rsid w:val="00C95F2D"/>
    <w:rsid w:val="00C966D2"/>
    <w:rsid w:val="00CA468A"/>
    <w:rsid w:val="00CA742B"/>
    <w:rsid w:val="00CB107B"/>
    <w:rsid w:val="00CC1310"/>
    <w:rsid w:val="00CC25B2"/>
    <w:rsid w:val="00CC6597"/>
    <w:rsid w:val="00CD0CA3"/>
    <w:rsid w:val="00CD122A"/>
    <w:rsid w:val="00CD266C"/>
    <w:rsid w:val="00CD6E58"/>
    <w:rsid w:val="00CE0B95"/>
    <w:rsid w:val="00CE2008"/>
    <w:rsid w:val="00CE31FC"/>
    <w:rsid w:val="00CE377E"/>
    <w:rsid w:val="00CE4CD1"/>
    <w:rsid w:val="00CE51AE"/>
    <w:rsid w:val="00CE7201"/>
    <w:rsid w:val="00CF2A1B"/>
    <w:rsid w:val="00CF3F96"/>
    <w:rsid w:val="00D032A3"/>
    <w:rsid w:val="00D05C19"/>
    <w:rsid w:val="00D16B8A"/>
    <w:rsid w:val="00D16C1F"/>
    <w:rsid w:val="00D201A8"/>
    <w:rsid w:val="00D202D8"/>
    <w:rsid w:val="00D215AB"/>
    <w:rsid w:val="00D21E21"/>
    <w:rsid w:val="00D22F3B"/>
    <w:rsid w:val="00D25463"/>
    <w:rsid w:val="00D257A6"/>
    <w:rsid w:val="00D30DE8"/>
    <w:rsid w:val="00D333DA"/>
    <w:rsid w:val="00D3667E"/>
    <w:rsid w:val="00D41644"/>
    <w:rsid w:val="00D41C7D"/>
    <w:rsid w:val="00D42472"/>
    <w:rsid w:val="00D452BB"/>
    <w:rsid w:val="00D45C8C"/>
    <w:rsid w:val="00D6504F"/>
    <w:rsid w:val="00D657A9"/>
    <w:rsid w:val="00D662CB"/>
    <w:rsid w:val="00D66710"/>
    <w:rsid w:val="00D72F7C"/>
    <w:rsid w:val="00D74EDB"/>
    <w:rsid w:val="00D76461"/>
    <w:rsid w:val="00D76A2E"/>
    <w:rsid w:val="00D77AB4"/>
    <w:rsid w:val="00D82479"/>
    <w:rsid w:val="00D84282"/>
    <w:rsid w:val="00D85951"/>
    <w:rsid w:val="00D867AB"/>
    <w:rsid w:val="00D908EE"/>
    <w:rsid w:val="00D91DD2"/>
    <w:rsid w:val="00D96A46"/>
    <w:rsid w:val="00D96A9F"/>
    <w:rsid w:val="00DA3E29"/>
    <w:rsid w:val="00DB4AF1"/>
    <w:rsid w:val="00DC3A14"/>
    <w:rsid w:val="00DC3C58"/>
    <w:rsid w:val="00DC64AB"/>
    <w:rsid w:val="00DD3627"/>
    <w:rsid w:val="00DD4B8A"/>
    <w:rsid w:val="00DD79EE"/>
    <w:rsid w:val="00DE3ACF"/>
    <w:rsid w:val="00DE7E87"/>
    <w:rsid w:val="00DF1CF6"/>
    <w:rsid w:val="00DF38D4"/>
    <w:rsid w:val="00DF4B1A"/>
    <w:rsid w:val="00E01FE8"/>
    <w:rsid w:val="00E02A4F"/>
    <w:rsid w:val="00E04581"/>
    <w:rsid w:val="00E07882"/>
    <w:rsid w:val="00E13606"/>
    <w:rsid w:val="00E15549"/>
    <w:rsid w:val="00E155ED"/>
    <w:rsid w:val="00E170B6"/>
    <w:rsid w:val="00E226D3"/>
    <w:rsid w:val="00E317EB"/>
    <w:rsid w:val="00E41D16"/>
    <w:rsid w:val="00E41F9A"/>
    <w:rsid w:val="00E43AFA"/>
    <w:rsid w:val="00E44706"/>
    <w:rsid w:val="00E52212"/>
    <w:rsid w:val="00E53BBB"/>
    <w:rsid w:val="00E54154"/>
    <w:rsid w:val="00E56453"/>
    <w:rsid w:val="00E60B0B"/>
    <w:rsid w:val="00E75115"/>
    <w:rsid w:val="00E85AC3"/>
    <w:rsid w:val="00E8646C"/>
    <w:rsid w:val="00E9048B"/>
    <w:rsid w:val="00E94058"/>
    <w:rsid w:val="00E941DB"/>
    <w:rsid w:val="00E9516C"/>
    <w:rsid w:val="00EA02B5"/>
    <w:rsid w:val="00EA3EC4"/>
    <w:rsid w:val="00EA5D3C"/>
    <w:rsid w:val="00EB1BD1"/>
    <w:rsid w:val="00EB218F"/>
    <w:rsid w:val="00EB367D"/>
    <w:rsid w:val="00EB7B65"/>
    <w:rsid w:val="00EB7CF9"/>
    <w:rsid w:val="00EC0E3B"/>
    <w:rsid w:val="00EC42FB"/>
    <w:rsid w:val="00EC462E"/>
    <w:rsid w:val="00EC4B0A"/>
    <w:rsid w:val="00EC6E77"/>
    <w:rsid w:val="00ED0FF4"/>
    <w:rsid w:val="00ED5FDE"/>
    <w:rsid w:val="00ED7D0A"/>
    <w:rsid w:val="00EE07AC"/>
    <w:rsid w:val="00EE5E77"/>
    <w:rsid w:val="00EE6C0C"/>
    <w:rsid w:val="00EE6EDB"/>
    <w:rsid w:val="00EF1D45"/>
    <w:rsid w:val="00F02743"/>
    <w:rsid w:val="00F06CA7"/>
    <w:rsid w:val="00F07625"/>
    <w:rsid w:val="00F07E93"/>
    <w:rsid w:val="00F1060F"/>
    <w:rsid w:val="00F11007"/>
    <w:rsid w:val="00F1119C"/>
    <w:rsid w:val="00F13AF7"/>
    <w:rsid w:val="00F15B7A"/>
    <w:rsid w:val="00F203DC"/>
    <w:rsid w:val="00F21FBC"/>
    <w:rsid w:val="00F2357C"/>
    <w:rsid w:val="00F24353"/>
    <w:rsid w:val="00F27134"/>
    <w:rsid w:val="00F30C2F"/>
    <w:rsid w:val="00F3130B"/>
    <w:rsid w:val="00F3216A"/>
    <w:rsid w:val="00F33CFD"/>
    <w:rsid w:val="00F34D7B"/>
    <w:rsid w:val="00F371F3"/>
    <w:rsid w:val="00F408FE"/>
    <w:rsid w:val="00F4320C"/>
    <w:rsid w:val="00F46129"/>
    <w:rsid w:val="00F5031D"/>
    <w:rsid w:val="00F51954"/>
    <w:rsid w:val="00F53B9C"/>
    <w:rsid w:val="00F554C8"/>
    <w:rsid w:val="00F60833"/>
    <w:rsid w:val="00F626E3"/>
    <w:rsid w:val="00F640E3"/>
    <w:rsid w:val="00F745EB"/>
    <w:rsid w:val="00F775D4"/>
    <w:rsid w:val="00F77CE3"/>
    <w:rsid w:val="00F80145"/>
    <w:rsid w:val="00F81151"/>
    <w:rsid w:val="00F81BB3"/>
    <w:rsid w:val="00F8373E"/>
    <w:rsid w:val="00F84100"/>
    <w:rsid w:val="00F845BB"/>
    <w:rsid w:val="00F871A4"/>
    <w:rsid w:val="00F9062E"/>
    <w:rsid w:val="00F94538"/>
    <w:rsid w:val="00F96E4A"/>
    <w:rsid w:val="00FA2B9D"/>
    <w:rsid w:val="00FA4C28"/>
    <w:rsid w:val="00FB06F5"/>
    <w:rsid w:val="00FB1977"/>
    <w:rsid w:val="00FB3861"/>
    <w:rsid w:val="00FB52D7"/>
    <w:rsid w:val="00FB5BDF"/>
    <w:rsid w:val="00FB5C4D"/>
    <w:rsid w:val="00FC15C4"/>
    <w:rsid w:val="00FC4F14"/>
    <w:rsid w:val="00FC5026"/>
    <w:rsid w:val="00FD2D9E"/>
    <w:rsid w:val="00FD4EBF"/>
    <w:rsid w:val="00FE45A1"/>
    <w:rsid w:val="00FF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8DB06"/>
  <w15:docId w15:val="{70F7A5ED-5BCC-4249-B858-0BDF1AF1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2546"/>
    <w:pPr>
      <w:spacing w:after="120" w:line="240" w:lineRule="auto"/>
      <w:jc w:val="both"/>
    </w:pPr>
    <w:rPr>
      <w:lang w:val="en-ZA"/>
    </w:rPr>
  </w:style>
  <w:style w:type="paragraph" w:styleId="Heading1">
    <w:name w:val="heading 1"/>
    <w:basedOn w:val="Normal"/>
    <w:next w:val="Normal"/>
    <w:link w:val="Heading1Char"/>
    <w:uiPriority w:val="9"/>
    <w:qFormat/>
    <w:rsid w:val="00257172"/>
    <w:pPr>
      <w:keepNext/>
      <w:keepLines/>
      <w:numPr>
        <w:numId w:val="2"/>
      </w:numPr>
      <w:spacing w:before="360" w:after="0"/>
      <w:outlineLvl w:val="0"/>
    </w:pPr>
    <w:rPr>
      <w:rFonts w:eastAsia="Times New Roman" w:cs="Times New Roman"/>
      <w:b/>
      <w:bCs/>
      <w:caps/>
      <w:color w:val="538135" w:themeColor="accent6" w:themeShade="BF"/>
      <w:sz w:val="28"/>
      <w:szCs w:val="28"/>
    </w:rPr>
  </w:style>
  <w:style w:type="paragraph" w:styleId="Heading2">
    <w:name w:val="heading 2"/>
    <w:basedOn w:val="Normal"/>
    <w:next w:val="Normal"/>
    <w:link w:val="Heading2Char"/>
    <w:uiPriority w:val="9"/>
    <w:unhideWhenUsed/>
    <w:qFormat/>
    <w:rsid w:val="00D85951"/>
    <w:pPr>
      <w:keepNext/>
      <w:keepLines/>
      <w:numPr>
        <w:ilvl w:val="1"/>
        <w:numId w:val="2"/>
      </w:numPr>
      <w:spacing w:before="240" w:after="0"/>
      <w:jc w:val="left"/>
      <w:outlineLvl w:val="1"/>
    </w:pPr>
    <w:rPr>
      <w:rFonts w:eastAsia="Times New Roman" w:cs="Times New Roman"/>
      <w:b/>
      <w:bCs/>
      <w:iCs/>
      <w:color w:val="538135" w:themeColor="accent6" w:themeShade="BF"/>
      <w:sz w:val="24"/>
      <w:szCs w:val="24"/>
    </w:rPr>
  </w:style>
  <w:style w:type="paragraph" w:styleId="Heading3">
    <w:name w:val="heading 3"/>
    <w:basedOn w:val="Normal"/>
    <w:next w:val="Normal"/>
    <w:link w:val="Heading3Char"/>
    <w:uiPriority w:val="9"/>
    <w:unhideWhenUsed/>
    <w:qFormat/>
    <w:rsid w:val="004F239C"/>
    <w:pPr>
      <w:keepNext/>
      <w:keepLines/>
      <w:spacing w:before="40" w:after="0"/>
      <w:outlineLvl w:val="2"/>
    </w:pPr>
    <w:rPr>
      <w:rFonts w:eastAsia="Times New Roman" w:cstheme="majorBidi"/>
      <w:b/>
      <w:i/>
    </w:rPr>
  </w:style>
  <w:style w:type="paragraph" w:styleId="Heading4">
    <w:name w:val="heading 4"/>
    <w:basedOn w:val="Normal"/>
    <w:next w:val="Normal"/>
    <w:link w:val="Heading4Char"/>
    <w:uiPriority w:val="9"/>
    <w:unhideWhenUsed/>
    <w:qFormat/>
    <w:rsid w:val="00A60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B5C9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B5C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B5C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85951"/>
    <w:pPr>
      <w:keepNext/>
      <w:keepLines/>
      <w:spacing w:before="40" w:after="0"/>
      <w:outlineLvl w:val="7"/>
    </w:pPr>
    <w:rPr>
      <w:rFonts w:eastAsiaTheme="majorEastAsia" w:cstheme="majorBidi"/>
      <w:i/>
      <w:color w:val="272727" w:themeColor="text1" w:themeTint="D8"/>
      <w:szCs w:val="21"/>
    </w:rPr>
  </w:style>
  <w:style w:type="paragraph" w:styleId="Heading9">
    <w:name w:val="heading 9"/>
    <w:basedOn w:val="Normal"/>
    <w:next w:val="Normal"/>
    <w:link w:val="Heading9Char"/>
    <w:uiPriority w:val="9"/>
    <w:unhideWhenUsed/>
    <w:qFormat/>
    <w:rsid w:val="00AB5C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72"/>
    <w:rPr>
      <w:rFonts w:eastAsia="Times New Roman" w:cs="Times New Roman"/>
      <w:b/>
      <w:bCs/>
      <w:caps/>
      <w:color w:val="538135" w:themeColor="accent6" w:themeShade="BF"/>
      <w:sz w:val="28"/>
      <w:szCs w:val="28"/>
      <w:lang w:val="en-ZA"/>
    </w:rPr>
  </w:style>
  <w:style w:type="character" w:customStyle="1" w:styleId="Heading2Char">
    <w:name w:val="Heading 2 Char"/>
    <w:basedOn w:val="DefaultParagraphFont"/>
    <w:link w:val="Heading2"/>
    <w:uiPriority w:val="9"/>
    <w:rsid w:val="00D85951"/>
    <w:rPr>
      <w:rFonts w:eastAsia="Times New Roman" w:cs="Times New Roman"/>
      <w:b/>
      <w:bCs/>
      <w:iCs/>
      <w:color w:val="538135" w:themeColor="accent6" w:themeShade="BF"/>
      <w:sz w:val="24"/>
      <w:szCs w:val="24"/>
      <w:lang w:val="en-ZA"/>
    </w:rPr>
  </w:style>
  <w:style w:type="character" w:customStyle="1" w:styleId="Heading3Char">
    <w:name w:val="Heading 3 Char"/>
    <w:basedOn w:val="DefaultParagraphFont"/>
    <w:link w:val="Heading3"/>
    <w:uiPriority w:val="9"/>
    <w:rsid w:val="004F239C"/>
    <w:rPr>
      <w:rFonts w:eastAsia="Times New Roman" w:cstheme="majorBidi"/>
      <w:b/>
      <w:i/>
    </w:rPr>
  </w:style>
  <w:style w:type="character" w:customStyle="1" w:styleId="Heading4Char">
    <w:name w:val="Heading 4 Char"/>
    <w:basedOn w:val="DefaultParagraphFont"/>
    <w:link w:val="Heading4"/>
    <w:uiPriority w:val="9"/>
    <w:rsid w:val="00A60DE5"/>
    <w:rPr>
      <w:rFonts w:asciiTheme="majorHAnsi" w:eastAsiaTheme="majorEastAsia" w:hAnsiTheme="majorHAnsi" w:cstheme="majorBidi"/>
      <w:i/>
      <w:iCs/>
      <w:color w:val="2E74B5" w:themeColor="accent1" w:themeShade="BF"/>
      <w:lang w:val="en-ZA"/>
    </w:rPr>
  </w:style>
  <w:style w:type="character" w:customStyle="1" w:styleId="Heading5Char">
    <w:name w:val="Heading 5 Char"/>
    <w:basedOn w:val="DefaultParagraphFont"/>
    <w:link w:val="Heading5"/>
    <w:uiPriority w:val="9"/>
    <w:rsid w:val="00AB5C9D"/>
    <w:rPr>
      <w:rFonts w:asciiTheme="majorHAnsi" w:eastAsiaTheme="majorEastAsia" w:hAnsiTheme="majorHAnsi" w:cstheme="majorBidi"/>
      <w:color w:val="2E74B5" w:themeColor="accent1" w:themeShade="BF"/>
      <w:lang w:val="en-ZA"/>
    </w:rPr>
  </w:style>
  <w:style w:type="character" w:customStyle="1" w:styleId="Heading6Char">
    <w:name w:val="Heading 6 Char"/>
    <w:basedOn w:val="DefaultParagraphFont"/>
    <w:link w:val="Heading6"/>
    <w:uiPriority w:val="9"/>
    <w:rsid w:val="00AB5C9D"/>
    <w:rPr>
      <w:rFonts w:asciiTheme="majorHAnsi" w:eastAsiaTheme="majorEastAsia" w:hAnsiTheme="majorHAnsi" w:cstheme="majorBidi"/>
      <w:color w:val="1F4D78" w:themeColor="accent1" w:themeShade="7F"/>
      <w:lang w:val="en-ZA"/>
    </w:rPr>
  </w:style>
  <w:style w:type="character" w:customStyle="1" w:styleId="Heading7Char">
    <w:name w:val="Heading 7 Char"/>
    <w:basedOn w:val="DefaultParagraphFont"/>
    <w:link w:val="Heading7"/>
    <w:uiPriority w:val="9"/>
    <w:rsid w:val="00AB5C9D"/>
    <w:rPr>
      <w:rFonts w:asciiTheme="majorHAnsi" w:eastAsiaTheme="majorEastAsia" w:hAnsiTheme="majorHAnsi" w:cstheme="majorBidi"/>
      <w:i/>
      <w:iCs/>
      <w:color w:val="1F4D78" w:themeColor="accent1" w:themeShade="7F"/>
      <w:lang w:val="en-ZA"/>
    </w:rPr>
  </w:style>
  <w:style w:type="character" w:customStyle="1" w:styleId="Heading8Char">
    <w:name w:val="Heading 8 Char"/>
    <w:basedOn w:val="DefaultParagraphFont"/>
    <w:link w:val="Heading8"/>
    <w:uiPriority w:val="9"/>
    <w:rsid w:val="00D85951"/>
    <w:rPr>
      <w:rFonts w:eastAsiaTheme="majorEastAsia" w:cstheme="majorBidi"/>
      <w:i/>
      <w:color w:val="272727" w:themeColor="text1" w:themeTint="D8"/>
      <w:szCs w:val="21"/>
    </w:rPr>
  </w:style>
  <w:style w:type="character" w:customStyle="1" w:styleId="Heading9Char">
    <w:name w:val="Heading 9 Char"/>
    <w:basedOn w:val="DefaultParagraphFont"/>
    <w:link w:val="Heading9"/>
    <w:uiPriority w:val="9"/>
    <w:rsid w:val="00AB5C9D"/>
    <w:rPr>
      <w:rFonts w:asciiTheme="majorHAnsi" w:eastAsiaTheme="majorEastAsia" w:hAnsiTheme="majorHAnsi" w:cstheme="majorBidi"/>
      <w:i/>
      <w:iCs/>
      <w:color w:val="272727" w:themeColor="text1" w:themeTint="D8"/>
      <w:sz w:val="21"/>
      <w:szCs w:val="21"/>
      <w:lang w:val="en-ZA"/>
    </w:rPr>
  </w:style>
  <w:style w:type="paragraph" w:styleId="Header">
    <w:name w:val="header"/>
    <w:basedOn w:val="Normal"/>
    <w:link w:val="HeaderChar"/>
    <w:uiPriority w:val="99"/>
    <w:unhideWhenUsed/>
    <w:rsid w:val="00C2149D"/>
    <w:pPr>
      <w:tabs>
        <w:tab w:val="left" w:pos="851"/>
        <w:tab w:val="right" w:pos="9781"/>
      </w:tabs>
      <w:spacing w:after="0"/>
      <w:ind w:firstLine="720"/>
    </w:pPr>
    <w:rPr>
      <w:b/>
      <w:color w:val="FFFFFF" w:themeColor="background1"/>
      <w:lang w:val="en-GB"/>
    </w:rPr>
  </w:style>
  <w:style w:type="character" w:customStyle="1" w:styleId="HeaderChar">
    <w:name w:val="Header Char"/>
    <w:basedOn w:val="DefaultParagraphFont"/>
    <w:link w:val="Header"/>
    <w:uiPriority w:val="99"/>
    <w:rsid w:val="00C2149D"/>
    <w:rPr>
      <w:b/>
      <w:color w:val="FFFFFF" w:themeColor="background1"/>
      <w:lang w:val="en-GB"/>
    </w:rPr>
  </w:style>
  <w:style w:type="paragraph" w:styleId="Footer">
    <w:name w:val="footer"/>
    <w:basedOn w:val="Normal"/>
    <w:link w:val="FooterChar"/>
    <w:uiPriority w:val="99"/>
    <w:unhideWhenUsed/>
    <w:rsid w:val="00B83BFB"/>
    <w:pPr>
      <w:tabs>
        <w:tab w:val="center" w:pos="4680"/>
        <w:tab w:val="right" w:pos="9360"/>
      </w:tabs>
      <w:spacing w:after="0"/>
    </w:pPr>
  </w:style>
  <w:style w:type="character" w:customStyle="1" w:styleId="FooterChar">
    <w:name w:val="Footer Char"/>
    <w:basedOn w:val="DefaultParagraphFont"/>
    <w:link w:val="Footer"/>
    <w:uiPriority w:val="99"/>
    <w:rsid w:val="00B83BFB"/>
  </w:style>
  <w:style w:type="paragraph" w:styleId="Title">
    <w:name w:val="Title"/>
    <w:basedOn w:val="Normal"/>
    <w:next w:val="Normal"/>
    <w:link w:val="TitleChar"/>
    <w:uiPriority w:val="10"/>
    <w:qFormat/>
    <w:rsid w:val="0022732C"/>
    <w:pPr>
      <w:pBdr>
        <w:bottom w:val="single" w:sz="4" w:space="1" w:color="auto"/>
      </w:pBdr>
      <w:spacing w:before="1440"/>
      <w:jc w:val="left"/>
    </w:pPr>
    <w:rPr>
      <w:rFonts w:ascii="Cambria" w:eastAsia="Times New Roman" w:hAnsi="Cambria" w:cs="Times New Roman"/>
      <w:b/>
      <w:color w:val="538135" w:themeColor="accent6" w:themeShade="BF"/>
      <w:sz w:val="72"/>
      <w:szCs w:val="68"/>
      <w:lang w:eastAsia="ja-JP"/>
    </w:rPr>
  </w:style>
  <w:style w:type="character" w:customStyle="1" w:styleId="TitleChar">
    <w:name w:val="Title Char"/>
    <w:basedOn w:val="DefaultParagraphFont"/>
    <w:link w:val="Title"/>
    <w:uiPriority w:val="10"/>
    <w:rsid w:val="0022732C"/>
    <w:rPr>
      <w:rFonts w:ascii="Cambria" w:eastAsia="Times New Roman" w:hAnsi="Cambria" w:cs="Times New Roman"/>
      <w:b/>
      <w:color w:val="538135" w:themeColor="accent6" w:themeShade="BF"/>
      <w:sz w:val="72"/>
      <w:szCs w:val="68"/>
      <w:lang w:eastAsia="ja-JP"/>
    </w:rPr>
  </w:style>
  <w:style w:type="paragraph" w:styleId="Subtitle">
    <w:name w:val="Subtitle"/>
    <w:basedOn w:val="AuthorNames"/>
    <w:next w:val="Normal"/>
    <w:link w:val="SubtitleChar"/>
    <w:uiPriority w:val="11"/>
    <w:qFormat/>
    <w:rsid w:val="001255FD"/>
    <w:rPr>
      <w:rFonts w:ascii="Cambria" w:hAnsi="Cambria"/>
      <w:b/>
      <w:color w:val="538135" w:themeColor="accent6" w:themeShade="BF"/>
      <w:w w:val="90"/>
      <w:sz w:val="48"/>
      <w:szCs w:val="48"/>
      <w:lang w:val="en-GB"/>
    </w:rPr>
  </w:style>
  <w:style w:type="paragraph" w:customStyle="1" w:styleId="AuthorNames">
    <w:name w:val="Author Names"/>
    <w:basedOn w:val="Normal"/>
    <w:rsid w:val="0022732C"/>
    <w:pPr>
      <w:tabs>
        <w:tab w:val="center" w:pos="5040"/>
      </w:tabs>
      <w:jc w:val="left"/>
    </w:pPr>
    <w:rPr>
      <w:color w:val="435464"/>
      <w:sz w:val="28"/>
    </w:rPr>
  </w:style>
  <w:style w:type="character" w:customStyle="1" w:styleId="SubtitleChar">
    <w:name w:val="Subtitle Char"/>
    <w:basedOn w:val="DefaultParagraphFont"/>
    <w:link w:val="Subtitle"/>
    <w:uiPriority w:val="11"/>
    <w:rsid w:val="001255FD"/>
    <w:rPr>
      <w:rFonts w:ascii="Cambria" w:hAnsi="Cambria"/>
      <w:b/>
      <w:color w:val="538135" w:themeColor="accent6" w:themeShade="BF"/>
      <w:w w:val="90"/>
      <w:sz w:val="48"/>
      <w:szCs w:val="48"/>
      <w:lang w:val="en-GB"/>
    </w:rPr>
  </w:style>
  <w:style w:type="character" w:styleId="PlaceholderText">
    <w:name w:val="Placeholder Text"/>
    <w:basedOn w:val="DefaultParagraphFont"/>
    <w:uiPriority w:val="99"/>
    <w:semiHidden/>
    <w:rsid w:val="008C7E01"/>
    <w:rPr>
      <w:color w:val="808080"/>
    </w:rPr>
  </w:style>
  <w:style w:type="paragraph" w:customStyle="1" w:styleId="WorkingPaper-Datebox">
    <w:name w:val="Working Paper - Date box"/>
    <w:basedOn w:val="Normal"/>
    <w:qFormat/>
    <w:rsid w:val="008C7E01"/>
    <w:pPr>
      <w:spacing w:after="200" w:line="276" w:lineRule="auto"/>
      <w:ind w:right="-105"/>
      <w:jc w:val="right"/>
    </w:pPr>
    <w:rPr>
      <w:rFonts w:eastAsiaTheme="minorEastAsia"/>
      <w:color w:val="5A344D"/>
    </w:rPr>
  </w:style>
  <w:style w:type="paragraph" w:styleId="FootnoteText">
    <w:name w:val="footnote text"/>
    <w:basedOn w:val="Normal"/>
    <w:link w:val="FootnoteTextChar"/>
    <w:uiPriority w:val="99"/>
    <w:unhideWhenUsed/>
    <w:rsid w:val="00155AF5"/>
    <w:pPr>
      <w:spacing w:after="40"/>
      <w:ind w:left="397" w:hanging="397"/>
    </w:pPr>
    <w:rPr>
      <w:sz w:val="20"/>
      <w:szCs w:val="20"/>
    </w:rPr>
  </w:style>
  <w:style w:type="character" w:customStyle="1" w:styleId="FootnoteTextChar">
    <w:name w:val="Footnote Text Char"/>
    <w:basedOn w:val="DefaultParagraphFont"/>
    <w:link w:val="FootnoteText"/>
    <w:uiPriority w:val="99"/>
    <w:rsid w:val="00155AF5"/>
    <w:rPr>
      <w:sz w:val="20"/>
      <w:szCs w:val="20"/>
    </w:rPr>
  </w:style>
  <w:style w:type="paragraph" w:styleId="CommentText">
    <w:name w:val="annotation text"/>
    <w:basedOn w:val="Normal"/>
    <w:link w:val="CommentTextChar"/>
    <w:uiPriority w:val="99"/>
    <w:unhideWhenUsed/>
    <w:rsid w:val="00792546"/>
    <w:rPr>
      <w:sz w:val="20"/>
      <w:szCs w:val="20"/>
    </w:rPr>
  </w:style>
  <w:style w:type="character" w:customStyle="1" w:styleId="CommentTextChar">
    <w:name w:val="Comment Text Char"/>
    <w:basedOn w:val="DefaultParagraphFont"/>
    <w:link w:val="CommentText"/>
    <w:uiPriority w:val="99"/>
    <w:rsid w:val="00792546"/>
    <w:rPr>
      <w:sz w:val="20"/>
      <w:szCs w:val="20"/>
      <w:lang w:val="en-ZA"/>
    </w:rPr>
  </w:style>
  <w:style w:type="paragraph" w:customStyle="1" w:styleId="bullets">
    <w:name w:val="bullets"/>
    <w:basedOn w:val="Normal"/>
    <w:rsid w:val="00D42472"/>
    <w:pPr>
      <w:numPr>
        <w:numId w:val="1"/>
      </w:numPr>
      <w:spacing w:line="276" w:lineRule="auto"/>
      <w:ind w:left="576" w:hanging="288"/>
    </w:pPr>
    <w:rPr>
      <w:rFonts w:ascii="Calibri" w:eastAsiaTheme="minorEastAsia" w:hAnsi="Calibri"/>
      <w:sz w:val="20"/>
      <w:szCs w:val="20"/>
    </w:rPr>
  </w:style>
  <w:style w:type="paragraph" w:customStyle="1" w:styleId="boxbullets">
    <w:name w:val="box bullets"/>
    <w:basedOn w:val="bullets"/>
    <w:rsid w:val="00D42472"/>
    <w:pPr>
      <w:spacing w:before="120"/>
      <w:ind w:left="547" w:right="432"/>
    </w:pPr>
    <w:rPr>
      <w:sz w:val="18"/>
      <w:szCs w:val="18"/>
    </w:rPr>
  </w:style>
  <w:style w:type="paragraph" w:customStyle="1" w:styleId="boxtitle">
    <w:name w:val="box title"/>
    <w:basedOn w:val="Heading3"/>
    <w:rsid w:val="00201E66"/>
    <w:pPr>
      <w:spacing w:before="160" w:after="40"/>
    </w:pPr>
    <w:rPr>
      <w:rFonts w:ascii="Arial" w:hAnsi="Arial"/>
      <w:b w:val="0"/>
      <w:bCs/>
      <w:color w:val="5A344D"/>
      <w:sz w:val="20"/>
    </w:rPr>
  </w:style>
  <w:style w:type="paragraph" w:customStyle="1" w:styleId="TableText">
    <w:name w:val="Table Text"/>
    <w:basedOn w:val="Normal"/>
    <w:qFormat/>
    <w:rsid w:val="00EB7CF9"/>
    <w:pPr>
      <w:spacing w:before="40" w:after="40"/>
      <w:jc w:val="left"/>
    </w:pPr>
    <w:rPr>
      <w:rFonts w:cs="BryantPro-Regular"/>
      <w:color w:val="000000"/>
      <w:w w:val="90"/>
      <w:szCs w:val="20"/>
    </w:rPr>
  </w:style>
  <w:style w:type="paragraph" w:customStyle="1" w:styleId="tableheading">
    <w:name w:val="table heading"/>
    <w:basedOn w:val="Normal"/>
    <w:qFormat/>
    <w:rsid w:val="009732D3"/>
    <w:pPr>
      <w:spacing w:before="40" w:after="40"/>
      <w:jc w:val="center"/>
    </w:pPr>
    <w:rPr>
      <w:rFonts w:eastAsia="Calibri" w:cs="BryantPro-Regular"/>
      <w:b/>
      <w:color w:val="FFFFFF" w:themeColor="background1"/>
      <w:w w:val="90"/>
      <w:sz w:val="20"/>
      <w:szCs w:val="20"/>
    </w:rPr>
  </w:style>
  <w:style w:type="paragraph" w:customStyle="1" w:styleId="TableTitle">
    <w:name w:val="Table Title"/>
    <w:basedOn w:val="boxtitle"/>
    <w:qFormat/>
    <w:rsid w:val="0001174F"/>
    <w:pPr>
      <w:spacing w:before="240"/>
      <w:jc w:val="left"/>
    </w:pPr>
    <w:rPr>
      <w:rFonts w:asciiTheme="minorHAnsi" w:hAnsiTheme="minorHAnsi" w:cs="Arial"/>
      <w:b/>
      <w:color w:val="385623" w:themeColor="accent6" w:themeShade="80"/>
      <w:sz w:val="22"/>
    </w:rPr>
  </w:style>
  <w:style w:type="table" w:customStyle="1" w:styleId="GridTable4-Accent61">
    <w:name w:val="Grid Table 4 - Accent 61"/>
    <w:aliases w:val="IFPRI Table Style"/>
    <w:basedOn w:val="TableNormal"/>
    <w:uiPriority w:val="49"/>
    <w:rsid w:val="00045CC5"/>
    <w:pPr>
      <w:spacing w:before="40" w:after="40" w:line="240" w:lineRule="auto"/>
    </w:pPr>
    <w:rPr>
      <w:sz w:val="20"/>
    </w:rPr>
    <w:tblPr>
      <w:tblStyleRowBandSize w:val="1"/>
      <w:tblStyleColBandSize w:val="1"/>
    </w:tblPr>
    <w:trPr>
      <w:cantSplit/>
    </w:trPr>
    <w:tblStylePr w:type="firstRow">
      <w:rPr>
        <w:b/>
        <w:bCs/>
        <w:color w:val="FFFFFF" w:themeColor="background1"/>
      </w:rPr>
      <w:tblPr/>
      <w:tcPr>
        <w:shd w:val="clear" w:color="auto" w:fill="435464"/>
      </w:tcPr>
    </w:tblStylePr>
    <w:tblStylePr w:type="lastRow">
      <w:rPr>
        <w:b/>
        <w:bCs/>
      </w:rPr>
      <w:tblPr/>
      <w:tcPr>
        <w:tcBorders>
          <w:top w:val="double" w:sz="4" w:space="0" w:color="70AD47" w:themeColor="accent6"/>
        </w:tcBorders>
      </w:tcPr>
    </w:tblStylePr>
    <w:tblStylePr w:type="firstCol">
      <w:pPr>
        <w:wordWrap/>
        <w:spacing w:beforeLines="40" w:before="40" w:beforeAutospacing="0" w:afterLines="40" w:after="40" w:afterAutospacing="0"/>
        <w:ind w:leftChars="0" w:left="0" w:rightChars="0" w:right="0"/>
        <w:jc w:val="left"/>
      </w:pPr>
      <w:rPr>
        <w:rFonts w:asciiTheme="minorHAnsi" w:hAnsiTheme="minorHAnsi"/>
        <w:b w:val="0"/>
        <w:bCs/>
        <w:sz w:val="20"/>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A60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37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728"/>
    <w:rPr>
      <w:rFonts w:ascii="Segoe UI" w:hAnsi="Segoe UI" w:cs="Segoe UI"/>
      <w:sz w:val="18"/>
      <w:szCs w:val="18"/>
    </w:rPr>
  </w:style>
  <w:style w:type="character" w:styleId="Hyperlink">
    <w:name w:val="Hyperlink"/>
    <w:uiPriority w:val="99"/>
    <w:unhideWhenUsed/>
    <w:rsid w:val="003B3AB4"/>
    <w:rPr>
      <w:color w:val="0000FF"/>
      <w:u w:val="single"/>
    </w:rPr>
  </w:style>
  <w:style w:type="paragraph" w:styleId="TOC1">
    <w:name w:val="toc 1"/>
    <w:basedOn w:val="Normal"/>
    <w:next w:val="Normal"/>
    <w:autoRedefine/>
    <w:uiPriority w:val="39"/>
    <w:unhideWhenUsed/>
    <w:qFormat/>
    <w:rsid w:val="00E53BBB"/>
    <w:pPr>
      <w:tabs>
        <w:tab w:val="left" w:pos="440"/>
        <w:tab w:val="right" w:leader="dot" w:pos="9781"/>
      </w:tabs>
      <w:spacing w:before="120" w:after="0"/>
    </w:pPr>
    <w:rPr>
      <w:rFonts w:eastAsiaTheme="majorEastAsia" w:cs="Arial"/>
      <w:noProof/>
    </w:rPr>
  </w:style>
  <w:style w:type="paragraph" w:customStyle="1" w:styleId="Acknowledgementsheading">
    <w:name w:val="Acknowledgements heading"/>
    <w:basedOn w:val="Normal"/>
    <w:link w:val="AcknowledgementsheadingChar"/>
    <w:rsid w:val="00827CB1"/>
    <w:pPr>
      <w:pBdr>
        <w:bottom w:val="single" w:sz="4" w:space="1" w:color="000000" w:themeColor="text1"/>
      </w:pBdr>
      <w:tabs>
        <w:tab w:val="left" w:pos="1095"/>
      </w:tabs>
      <w:spacing w:before="240"/>
    </w:pPr>
    <w:rPr>
      <w:rFonts w:cs="Arial"/>
      <w:b/>
      <w:color w:val="538135" w:themeColor="accent6" w:themeShade="BF"/>
    </w:rPr>
  </w:style>
  <w:style w:type="character" w:customStyle="1" w:styleId="AcknowledgementsheadingChar">
    <w:name w:val="Acknowledgements heading Char"/>
    <w:basedOn w:val="DefaultParagraphFont"/>
    <w:link w:val="Acknowledgementsheading"/>
    <w:rsid w:val="00827CB1"/>
    <w:rPr>
      <w:rFonts w:cs="Arial"/>
      <w:b/>
      <w:color w:val="538135" w:themeColor="accent6" w:themeShade="BF"/>
    </w:rPr>
  </w:style>
  <w:style w:type="paragraph" w:styleId="Caption">
    <w:name w:val="caption"/>
    <w:basedOn w:val="Normal"/>
    <w:next w:val="Normal"/>
    <w:link w:val="CaptionChar"/>
    <w:uiPriority w:val="35"/>
    <w:unhideWhenUsed/>
    <w:qFormat/>
    <w:rsid w:val="00376097"/>
    <w:pPr>
      <w:spacing w:before="240"/>
      <w:jc w:val="left"/>
    </w:pPr>
    <w:rPr>
      <w:b/>
      <w:i/>
      <w:iCs/>
      <w:color w:val="44546A" w:themeColor="text2"/>
      <w:szCs w:val="18"/>
    </w:rPr>
  </w:style>
  <w:style w:type="character" w:customStyle="1" w:styleId="CaptionChar">
    <w:name w:val="Caption Char"/>
    <w:basedOn w:val="DefaultParagraphFont"/>
    <w:link w:val="Caption"/>
    <w:uiPriority w:val="35"/>
    <w:rsid w:val="00376097"/>
    <w:rPr>
      <w:b/>
      <w:i/>
      <w:iCs/>
      <w:color w:val="44546A" w:themeColor="text2"/>
      <w:szCs w:val="18"/>
      <w:lang w:val="en-ZA"/>
    </w:rPr>
  </w:style>
  <w:style w:type="paragraph" w:styleId="ListParagraph">
    <w:name w:val="List Paragraph"/>
    <w:basedOn w:val="Normal"/>
    <w:uiPriority w:val="34"/>
    <w:qFormat/>
    <w:rsid w:val="00203371"/>
    <w:pPr>
      <w:ind w:left="720"/>
      <w:contextualSpacing/>
    </w:pPr>
  </w:style>
  <w:style w:type="character" w:styleId="CommentReference">
    <w:name w:val="annotation reference"/>
    <w:basedOn w:val="DefaultParagraphFont"/>
    <w:uiPriority w:val="99"/>
    <w:semiHidden/>
    <w:unhideWhenUsed/>
    <w:rsid w:val="00203371"/>
    <w:rPr>
      <w:sz w:val="16"/>
      <w:szCs w:val="16"/>
    </w:rPr>
  </w:style>
  <w:style w:type="paragraph" w:styleId="CommentSubject">
    <w:name w:val="annotation subject"/>
    <w:basedOn w:val="Normal"/>
    <w:next w:val="Normal"/>
    <w:link w:val="CommentSubjectChar"/>
    <w:uiPriority w:val="99"/>
    <w:semiHidden/>
    <w:unhideWhenUsed/>
    <w:rsid w:val="00792546"/>
    <w:rPr>
      <w:b/>
      <w:bCs/>
    </w:rPr>
  </w:style>
  <w:style w:type="character" w:customStyle="1" w:styleId="CommentSubjectChar">
    <w:name w:val="Comment Subject Char"/>
    <w:basedOn w:val="DefaultParagraphFont"/>
    <w:link w:val="CommentSubject"/>
    <w:uiPriority w:val="99"/>
    <w:semiHidden/>
    <w:rsid w:val="00792546"/>
    <w:rPr>
      <w:b/>
      <w:bCs/>
      <w:sz w:val="20"/>
      <w:szCs w:val="20"/>
      <w:lang w:val="en-ZA"/>
    </w:rPr>
  </w:style>
  <w:style w:type="paragraph" w:styleId="TOCHeading">
    <w:name w:val="TOC Heading"/>
    <w:basedOn w:val="Heading1"/>
    <w:next w:val="Normal"/>
    <w:uiPriority w:val="39"/>
    <w:unhideWhenUsed/>
    <w:qFormat/>
    <w:rsid w:val="00203371"/>
    <w:pPr>
      <w:numPr>
        <w:numId w:val="0"/>
      </w:numPr>
      <w:outlineLvl w:val="9"/>
    </w:pPr>
    <w:rPr>
      <w:rFonts w:asciiTheme="majorHAnsi" w:eastAsiaTheme="majorEastAsia" w:hAnsiTheme="majorHAnsi" w:cstheme="majorBidi"/>
      <w:bCs w:val="0"/>
      <w:caps w:val="0"/>
      <w:color w:val="auto"/>
      <w:sz w:val="32"/>
      <w:szCs w:val="32"/>
    </w:rPr>
  </w:style>
  <w:style w:type="paragraph" w:styleId="TOC2">
    <w:name w:val="toc 2"/>
    <w:basedOn w:val="Normal"/>
    <w:next w:val="Normal"/>
    <w:autoRedefine/>
    <w:uiPriority w:val="39"/>
    <w:unhideWhenUsed/>
    <w:rsid w:val="00203371"/>
    <w:pPr>
      <w:tabs>
        <w:tab w:val="left" w:pos="880"/>
        <w:tab w:val="right" w:leader="dot" w:pos="9016"/>
      </w:tabs>
      <w:spacing w:after="100"/>
      <w:ind w:left="220"/>
    </w:pPr>
  </w:style>
  <w:style w:type="paragraph" w:styleId="TOC3">
    <w:name w:val="toc 3"/>
    <w:basedOn w:val="Normal"/>
    <w:next w:val="Normal"/>
    <w:autoRedefine/>
    <w:uiPriority w:val="39"/>
    <w:unhideWhenUsed/>
    <w:rsid w:val="00203371"/>
    <w:pPr>
      <w:spacing w:after="100"/>
      <w:ind w:left="440"/>
    </w:pPr>
  </w:style>
  <w:style w:type="paragraph" w:styleId="Revision">
    <w:name w:val="Revision"/>
    <w:hidden/>
    <w:uiPriority w:val="99"/>
    <w:semiHidden/>
    <w:rsid w:val="00203371"/>
    <w:pPr>
      <w:spacing w:after="0" w:line="240" w:lineRule="auto"/>
    </w:pPr>
    <w:rPr>
      <w:lang w:val="en-ZA"/>
    </w:rPr>
  </w:style>
  <w:style w:type="character" w:customStyle="1" w:styleId="UnresolvedMention1">
    <w:name w:val="Unresolved Mention1"/>
    <w:basedOn w:val="DefaultParagraphFont"/>
    <w:uiPriority w:val="99"/>
    <w:semiHidden/>
    <w:unhideWhenUsed/>
    <w:rsid w:val="00203371"/>
    <w:rPr>
      <w:color w:val="808080"/>
      <w:shd w:val="clear" w:color="auto" w:fill="E6E6E6"/>
    </w:rPr>
  </w:style>
  <w:style w:type="character" w:styleId="FollowedHyperlink">
    <w:name w:val="FollowedHyperlink"/>
    <w:basedOn w:val="DefaultParagraphFont"/>
    <w:uiPriority w:val="99"/>
    <w:semiHidden/>
    <w:unhideWhenUsed/>
    <w:rsid w:val="00203371"/>
    <w:rPr>
      <w:color w:val="954F72" w:themeColor="followedHyperlink"/>
      <w:u w:val="single"/>
    </w:rPr>
  </w:style>
  <w:style w:type="table" w:customStyle="1" w:styleId="TableGridLight1">
    <w:name w:val="Table Grid Light1"/>
    <w:basedOn w:val="TableNormal"/>
    <w:uiPriority w:val="40"/>
    <w:rsid w:val="00203371"/>
    <w:pPr>
      <w:spacing w:before="120" w:after="0" w:line="240" w:lineRule="auto"/>
      <w:jc w:val="both"/>
    </w:pPr>
    <w:rPr>
      <w:lang w:val="en-Z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03371"/>
    <w:pPr>
      <w:spacing w:after="0"/>
    </w:pPr>
    <w:rPr>
      <w:sz w:val="20"/>
      <w:szCs w:val="20"/>
    </w:rPr>
  </w:style>
  <w:style w:type="character" w:customStyle="1" w:styleId="EndnoteTextChar">
    <w:name w:val="Endnote Text Char"/>
    <w:basedOn w:val="DefaultParagraphFont"/>
    <w:link w:val="EndnoteText"/>
    <w:uiPriority w:val="99"/>
    <w:semiHidden/>
    <w:rsid w:val="00203371"/>
    <w:rPr>
      <w:sz w:val="20"/>
      <w:szCs w:val="20"/>
      <w:lang w:val="en-ZA"/>
    </w:rPr>
  </w:style>
  <w:style w:type="character" w:styleId="EndnoteReference">
    <w:name w:val="endnote reference"/>
    <w:basedOn w:val="DefaultParagraphFont"/>
    <w:uiPriority w:val="99"/>
    <w:semiHidden/>
    <w:unhideWhenUsed/>
    <w:rsid w:val="00203371"/>
    <w:rPr>
      <w:vertAlign w:val="superscript"/>
    </w:rPr>
  </w:style>
  <w:style w:type="paragraph" w:styleId="NoSpacing">
    <w:name w:val="No Spacing"/>
    <w:link w:val="NoSpacingChar"/>
    <w:uiPriority w:val="1"/>
    <w:qFormat/>
    <w:rsid w:val="001255FD"/>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1255FD"/>
    <w:rPr>
      <w:rFonts w:eastAsiaTheme="minorEastAsia"/>
      <w:lang w:eastAsia="zh-CN"/>
    </w:rPr>
  </w:style>
  <w:style w:type="table" w:customStyle="1" w:styleId="GridTable6Colorful-Accent51">
    <w:name w:val="Grid Table 6 Colorful - Accent 51"/>
    <w:basedOn w:val="TableNormal"/>
    <w:next w:val="TableNormal"/>
    <w:uiPriority w:val="51"/>
    <w:rsid w:val="001255FD"/>
    <w:pPr>
      <w:spacing w:after="0" w:line="240" w:lineRule="auto"/>
    </w:pPr>
    <w:rPr>
      <w:rFonts w:ascii="Georgia" w:eastAsia="Calibri" w:hAnsi="Georgia"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
    <w:name w:val="Style1"/>
    <w:basedOn w:val="TableNormal"/>
    <w:uiPriority w:val="99"/>
    <w:rsid w:val="00C1557E"/>
    <w:pPr>
      <w:spacing w:after="0" w:line="240" w:lineRule="auto"/>
    </w:pPr>
    <w:tblPr/>
  </w:style>
  <w:style w:type="paragraph" w:customStyle="1" w:styleId="References">
    <w:name w:val="References"/>
    <w:basedOn w:val="Normal"/>
    <w:link w:val="ReferencesChar"/>
    <w:qFormat/>
    <w:rsid w:val="0001174F"/>
    <w:pPr>
      <w:ind w:left="567" w:hanging="567"/>
      <w:jc w:val="left"/>
    </w:pPr>
  </w:style>
  <w:style w:type="character" w:customStyle="1" w:styleId="ReferencesChar">
    <w:name w:val="References Char"/>
    <w:basedOn w:val="DefaultParagraphFont"/>
    <w:link w:val="References"/>
    <w:rsid w:val="0001174F"/>
  </w:style>
  <w:style w:type="table" w:customStyle="1" w:styleId="GridTable1Light-Accent11">
    <w:name w:val="Grid Table 1 Light - Accent 11"/>
    <w:basedOn w:val="TableNormal"/>
    <w:uiPriority w:val="46"/>
    <w:rsid w:val="00436503"/>
    <w:pPr>
      <w:spacing w:after="0" w:line="240" w:lineRule="auto"/>
    </w:pPr>
    <w:rPr>
      <w:lang w:val="en-Z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276C58"/>
    <w:rPr>
      <w:color w:val="605E5C"/>
      <w:shd w:val="clear" w:color="auto" w:fill="E1DFDD"/>
    </w:rPr>
  </w:style>
  <w:style w:type="paragraph" w:styleId="NormalWeb">
    <w:name w:val="Normal (Web)"/>
    <w:basedOn w:val="Normal"/>
    <w:uiPriority w:val="99"/>
    <w:semiHidden/>
    <w:unhideWhenUsed/>
    <w:rsid w:val="00CC25B2"/>
    <w:pPr>
      <w:spacing w:before="100" w:beforeAutospacing="1" w:after="100" w:afterAutospacing="1"/>
    </w:pPr>
    <w:rPr>
      <w:rFonts w:ascii="Times New Roman" w:eastAsiaTheme="minorEastAsia" w:hAnsi="Times New Roman" w:cs="Times New Roman"/>
      <w:sz w:val="24"/>
      <w:szCs w:val="24"/>
      <w:lang w:eastAsia="en-ZA"/>
    </w:rPr>
  </w:style>
  <w:style w:type="paragraph" w:customStyle="1" w:styleId="NoSpacing1">
    <w:name w:val="No Spacing1"/>
    <w:next w:val="NoSpacing"/>
    <w:uiPriority w:val="1"/>
    <w:qFormat/>
    <w:rsid w:val="0022732C"/>
    <w:pPr>
      <w:spacing w:after="0" w:line="240" w:lineRule="auto"/>
    </w:pPr>
    <w:rPr>
      <w:rFonts w:eastAsia="Calibri"/>
      <w:lang w:val="en-ZA"/>
    </w:rPr>
  </w:style>
  <w:style w:type="paragraph" w:customStyle="1" w:styleId="Source">
    <w:name w:val="Source"/>
    <w:basedOn w:val="Normal"/>
    <w:link w:val="SourceChar"/>
    <w:qFormat/>
    <w:rsid w:val="003A402F"/>
    <w:pPr>
      <w:spacing w:after="240" w:line="276" w:lineRule="auto"/>
    </w:pPr>
    <w:rPr>
      <w:i/>
      <w:sz w:val="18"/>
      <w:szCs w:val="20"/>
      <w:lang w:val="en-GB"/>
    </w:rPr>
  </w:style>
  <w:style w:type="character" w:customStyle="1" w:styleId="SourceChar">
    <w:name w:val="Source Char"/>
    <w:basedOn w:val="DefaultParagraphFont"/>
    <w:link w:val="Source"/>
    <w:rsid w:val="003A402F"/>
    <w:rPr>
      <w:i/>
      <w:sz w:val="18"/>
      <w:szCs w:val="20"/>
      <w:lang w:val="en-GB"/>
    </w:rPr>
  </w:style>
  <w:style w:type="paragraph" w:customStyle="1" w:styleId="Caption-figure">
    <w:name w:val="Caption - figure"/>
    <w:basedOn w:val="Caption"/>
    <w:link w:val="Caption-figureChar"/>
    <w:qFormat/>
    <w:rsid w:val="00792546"/>
    <w:pPr>
      <w:spacing w:before="120" w:after="240"/>
    </w:pPr>
  </w:style>
  <w:style w:type="character" w:customStyle="1" w:styleId="Caption-figureChar">
    <w:name w:val="Caption - figure Char"/>
    <w:basedOn w:val="CaptionChar"/>
    <w:link w:val="Caption-figure"/>
    <w:rsid w:val="00792546"/>
    <w:rPr>
      <w:b/>
      <w:i/>
      <w:iCs/>
      <w:color w:val="44546A" w:themeColor="text2"/>
      <w:szCs w:val="18"/>
      <w:lang w:val="en-ZA"/>
    </w:rPr>
  </w:style>
  <w:style w:type="table" w:customStyle="1" w:styleId="Style2">
    <w:name w:val="Style2"/>
    <w:basedOn w:val="TableNormal"/>
    <w:uiPriority w:val="99"/>
    <w:rsid w:val="00D85951"/>
    <w:pPr>
      <w:spacing w:after="0" w:line="240" w:lineRule="auto"/>
    </w:pPr>
    <w:tblPr/>
  </w:style>
  <w:style w:type="character" w:styleId="FootnoteReference">
    <w:name w:val="footnote reference"/>
    <w:basedOn w:val="DefaultParagraphFont"/>
    <w:uiPriority w:val="99"/>
    <w:semiHidden/>
    <w:unhideWhenUsed/>
    <w:qFormat/>
    <w:rsid w:val="001C244E"/>
    <w:rPr>
      <w:vertAlign w:val="superscript"/>
    </w:rPr>
  </w:style>
  <w:style w:type="character" w:styleId="UnresolvedMention">
    <w:name w:val="Unresolved Mention"/>
    <w:basedOn w:val="DefaultParagraphFont"/>
    <w:uiPriority w:val="99"/>
    <w:semiHidden/>
    <w:unhideWhenUsed/>
    <w:rsid w:val="00F34D7B"/>
    <w:rPr>
      <w:color w:val="605E5C"/>
      <w:shd w:val="clear" w:color="auto" w:fill="E1DFDD"/>
    </w:rPr>
  </w:style>
  <w:style w:type="table" w:styleId="GridTable3-Accent6">
    <w:name w:val="Grid Table 3 Accent 6"/>
    <w:basedOn w:val="TableNormal"/>
    <w:uiPriority w:val="48"/>
    <w:rsid w:val="003245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6">
    <w:name w:val="Grid Table 1 Light Accent 6"/>
    <w:basedOn w:val="TableNormal"/>
    <w:uiPriority w:val="46"/>
    <w:rsid w:val="002677C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6C6A7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096">
      <w:bodyDiv w:val="1"/>
      <w:marLeft w:val="0"/>
      <w:marRight w:val="0"/>
      <w:marTop w:val="0"/>
      <w:marBottom w:val="0"/>
      <w:divBdr>
        <w:top w:val="none" w:sz="0" w:space="0" w:color="auto"/>
        <w:left w:val="none" w:sz="0" w:space="0" w:color="auto"/>
        <w:bottom w:val="none" w:sz="0" w:space="0" w:color="auto"/>
        <w:right w:val="none" w:sz="0" w:space="0" w:color="auto"/>
      </w:divBdr>
    </w:div>
    <w:div w:id="23215573">
      <w:bodyDiv w:val="1"/>
      <w:marLeft w:val="0"/>
      <w:marRight w:val="0"/>
      <w:marTop w:val="0"/>
      <w:marBottom w:val="0"/>
      <w:divBdr>
        <w:top w:val="none" w:sz="0" w:space="0" w:color="auto"/>
        <w:left w:val="none" w:sz="0" w:space="0" w:color="auto"/>
        <w:bottom w:val="none" w:sz="0" w:space="0" w:color="auto"/>
        <w:right w:val="none" w:sz="0" w:space="0" w:color="auto"/>
      </w:divBdr>
    </w:div>
    <w:div w:id="121775853">
      <w:bodyDiv w:val="1"/>
      <w:marLeft w:val="0"/>
      <w:marRight w:val="0"/>
      <w:marTop w:val="0"/>
      <w:marBottom w:val="0"/>
      <w:divBdr>
        <w:top w:val="none" w:sz="0" w:space="0" w:color="auto"/>
        <w:left w:val="none" w:sz="0" w:space="0" w:color="auto"/>
        <w:bottom w:val="none" w:sz="0" w:space="0" w:color="auto"/>
        <w:right w:val="none" w:sz="0" w:space="0" w:color="auto"/>
      </w:divBdr>
    </w:div>
    <w:div w:id="195511890">
      <w:bodyDiv w:val="1"/>
      <w:marLeft w:val="0"/>
      <w:marRight w:val="0"/>
      <w:marTop w:val="0"/>
      <w:marBottom w:val="0"/>
      <w:divBdr>
        <w:top w:val="none" w:sz="0" w:space="0" w:color="auto"/>
        <w:left w:val="none" w:sz="0" w:space="0" w:color="auto"/>
        <w:bottom w:val="none" w:sz="0" w:space="0" w:color="auto"/>
        <w:right w:val="none" w:sz="0" w:space="0" w:color="auto"/>
      </w:divBdr>
    </w:div>
    <w:div w:id="196744104">
      <w:bodyDiv w:val="1"/>
      <w:marLeft w:val="0"/>
      <w:marRight w:val="0"/>
      <w:marTop w:val="0"/>
      <w:marBottom w:val="0"/>
      <w:divBdr>
        <w:top w:val="none" w:sz="0" w:space="0" w:color="auto"/>
        <w:left w:val="none" w:sz="0" w:space="0" w:color="auto"/>
        <w:bottom w:val="none" w:sz="0" w:space="0" w:color="auto"/>
        <w:right w:val="none" w:sz="0" w:space="0" w:color="auto"/>
      </w:divBdr>
    </w:div>
    <w:div w:id="212623508">
      <w:bodyDiv w:val="1"/>
      <w:marLeft w:val="0"/>
      <w:marRight w:val="0"/>
      <w:marTop w:val="0"/>
      <w:marBottom w:val="0"/>
      <w:divBdr>
        <w:top w:val="none" w:sz="0" w:space="0" w:color="auto"/>
        <w:left w:val="none" w:sz="0" w:space="0" w:color="auto"/>
        <w:bottom w:val="none" w:sz="0" w:space="0" w:color="auto"/>
        <w:right w:val="none" w:sz="0" w:space="0" w:color="auto"/>
      </w:divBdr>
    </w:div>
    <w:div w:id="320084858">
      <w:bodyDiv w:val="1"/>
      <w:marLeft w:val="0"/>
      <w:marRight w:val="0"/>
      <w:marTop w:val="0"/>
      <w:marBottom w:val="0"/>
      <w:divBdr>
        <w:top w:val="none" w:sz="0" w:space="0" w:color="auto"/>
        <w:left w:val="none" w:sz="0" w:space="0" w:color="auto"/>
        <w:bottom w:val="none" w:sz="0" w:space="0" w:color="auto"/>
        <w:right w:val="none" w:sz="0" w:space="0" w:color="auto"/>
      </w:divBdr>
    </w:div>
    <w:div w:id="355740414">
      <w:bodyDiv w:val="1"/>
      <w:marLeft w:val="0"/>
      <w:marRight w:val="0"/>
      <w:marTop w:val="0"/>
      <w:marBottom w:val="0"/>
      <w:divBdr>
        <w:top w:val="none" w:sz="0" w:space="0" w:color="auto"/>
        <w:left w:val="none" w:sz="0" w:space="0" w:color="auto"/>
        <w:bottom w:val="none" w:sz="0" w:space="0" w:color="auto"/>
        <w:right w:val="none" w:sz="0" w:space="0" w:color="auto"/>
      </w:divBdr>
    </w:div>
    <w:div w:id="438918674">
      <w:bodyDiv w:val="1"/>
      <w:marLeft w:val="0"/>
      <w:marRight w:val="0"/>
      <w:marTop w:val="0"/>
      <w:marBottom w:val="0"/>
      <w:divBdr>
        <w:top w:val="none" w:sz="0" w:space="0" w:color="auto"/>
        <w:left w:val="none" w:sz="0" w:space="0" w:color="auto"/>
        <w:bottom w:val="none" w:sz="0" w:space="0" w:color="auto"/>
        <w:right w:val="none" w:sz="0" w:space="0" w:color="auto"/>
      </w:divBdr>
    </w:div>
    <w:div w:id="488641430">
      <w:bodyDiv w:val="1"/>
      <w:marLeft w:val="0"/>
      <w:marRight w:val="0"/>
      <w:marTop w:val="0"/>
      <w:marBottom w:val="0"/>
      <w:divBdr>
        <w:top w:val="none" w:sz="0" w:space="0" w:color="auto"/>
        <w:left w:val="none" w:sz="0" w:space="0" w:color="auto"/>
        <w:bottom w:val="none" w:sz="0" w:space="0" w:color="auto"/>
        <w:right w:val="none" w:sz="0" w:space="0" w:color="auto"/>
      </w:divBdr>
    </w:div>
    <w:div w:id="659042431">
      <w:bodyDiv w:val="1"/>
      <w:marLeft w:val="0"/>
      <w:marRight w:val="0"/>
      <w:marTop w:val="0"/>
      <w:marBottom w:val="0"/>
      <w:divBdr>
        <w:top w:val="none" w:sz="0" w:space="0" w:color="auto"/>
        <w:left w:val="none" w:sz="0" w:space="0" w:color="auto"/>
        <w:bottom w:val="none" w:sz="0" w:space="0" w:color="auto"/>
        <w:right w:val="none" w:sz="0" w:space="0" w:color="auto"/>
      </w:divBdr>
    </w:div>
    <w:div w:id="706494481">
      <w:bodyDiv w:val="1"/>
      <w:marLeft w:val="0"/>
      <w:marRight w:val="0"/>
      <w:marTop w:val="0"/>
      <w:marBottom w:val="0"/>
      <w:divBdr>
        <w:top w:val="none" w:sz="0" w:space="0" w:color="auto"/>
        <w:left w:val="none" w:sz="0" w:space="0" w:color="auto"/>
        <w:bottom w:val="none" w:sz="0" w:space="0" w:color="auto"/>
        <w:right w:val="none" w:sz="0" w:space="0" w:color="auto"/>
      </w:divBdr>
    </w:div>
    <w:div w:id="719331542">
      <w:bodyDiv w:val="1"/>
      <w:marLeft w:val="0"/>
      <w:marRight w:val="0"/>
      <w:marTop w:val="0"/>
      <w:marBottom w:val="0"/>
      <w:divBdr>
        <w:top w:val="none" w:sz="0" w:space="0" w:color="auto"/>
        <w:left w:val="none" w:sz="0" w:space="0" w:color="auto"/>
        <w:bottom w:val="none" w:sz="0" w:space="0" w:color="auto"/>
        <w:right w:val="none" w:sz="0" w:space="0" w:color="auto"/>
      </w:divBdr>
    </w:div>
    <w:div w:id="728500753">
      <w:bodyDiv w:val="1"/>
      <w:marLeft w:val="0"/>
      <w:marRight w:val="0"/>
      <w:marTop w:val="0"/>
      <w:marBottom w:val="0"/>
      <w:divBdr>
        <w:top w:val="none" w:sz="0" w:space="0" w:color="auto"/>
        <w:left w:val="none" w:sz="0" w:space="0" w:color="auto"/>
        <w:bottom w:val="none" w:sz="0" w:space="0" w:color="auto"/>
        <w:right w:val="none" w:sz="0" w:space="0" w:color="auto"/>
      </w:divBdr>
    </w:div>
    <w:div w:id="823818453">
      <w:bodyDiv w:val="1"/>
      <w:marLeft w:val="0"/>
      <w:marRight w:val="0"/>
      <w:marTop w:val="0"/>
      <w:marBottom w:val="0"/>
      <w:divBdr>
        <w:top w:val="none" w:sz="0" w:space="0" w:color="auto"/>
        <w:left w:val="none" w:sz="0" w:space="0" w:color="auto"/>
        <w:bottom w:val="none" w:sz="0" w:space="0" w:color="auto"/>
        <w:right w:val="none" w:sz="0" w:space="0" w:color="auto"/>
      </w:divBdr>
      <w:divsChild>
        <w:div w:id="617368685">
          <w:marLeft w:val="0"/>
          <w:marRight w:val="0"/>
          <w:marTop w:val="0"/>
          <w:marBottom w:val="0"/>
          <w:divBdr>
            <w:top w:val="none" w:sz="0" w:space="0" w:color="auto"/>
            <w:left w:val="none" w:sz="0" w:space="0" w:color="auto"/>
            <w:bottom w:val="none" w:sz="0" w:space="0" w:color="auto"/>
            <w:right w:val="none" w:sz="0" w:space="0" w:color="auto"/>
          </w:divBdr>
          <w:divsChild>
            <w:div w:id="359627812">
              <w:marLeft w:val="0"/>
              <w:marRight w:val="0"/>
              <w:marTop w:val="0"/>
              <w:marBottom w:val="0"/>
              <w:divBdr>
                <w:top w:val="none" w:sz="0" w:space="0" w:color="auto"/>
                <w:left w:val="none" w:sz="0" w:space="0" w:color="auto"/>
                <w:bottom w:val="none" w:sz="0" w:space="0" w:color="auto"/>
                <w:right w:val="none" w:sz="0" w:space="0" w:color="auto"/>
              </w:divBdr>
              <w:divsChild>
                <w:div w:id="133061575">
                  <w:marLeft w:val="0"/>
                  <w:marRight w:val="0"/>
                  <w:marTop w:val="0"/>
                  <w:marBottom w:val="0"/>
                  <w:divBdr>
                    <w:top w:val="none" w:sz="0" w:space="0" w:color="auto"/>
                    <w:left w:val="none" w:sz="0" w:space="0" w:color="auto"/>
                    <w:bottom w:val="none" w:sz="0" w:space="0" w:color="auto"/>
                    <w:right w:val="none" w:sz="0" w:space="0" w:color="auto"/>
                  </w:divBdr>
                  <w:divsChild>
                    <w:div w:id="813372394">
                      <w:marLeft w:val="0"/>
                      <w:marRight w:val="0"/>
                      <w:marTop w:val="0"/>
                      <w:marBottom w:val="0"/>
                      <w:divBdr>
                        <w:top w:val="none" w:sz="0" w:space="0" w:color="auto"/>
                        <w:left w:val="none" w:sz="0" w:space="0" w:color="auto"/>
                        <w:bottom w:val="none" w:sz="0" w:space="0" w:color="auto"/>
                        <w:right w:val="none" w:sz="0" w:space="0" w:color="auto"/>
                      </w:divBdr>
                      <w:divsChild>
                        <w:div w:id="1901302">
                          <w:marLeft w:val="0"/>
                          <w:marRight w:val="0"/>
                          <w:marTop w:val="0"/>
                          <w:marBottom w:val="0"/>
                          <w:divBdr>
                            <w:top w:val="none" w:sz="0" w:space="0" w:color="auto"/>
                            <w:left w:val="none" w:sz="0" w:space="0" w:color="auto"/>
                            <w:bottom w:val="none" w:sz="0" w:space="0" w:color="auto"/>
                            <w:right w:val="none" w:sz="0" w:space="0" w:color="auto"/>
                          </w:divBdr>
                          <w:divsChild>
                            <w:div w:id="255098008">
                              <w:marLeft w:val="0"/>
                              <w:marRight w:val="0"/>
                              <w:marTop w:val="0"/>
                              <w:marBottom w:val="0"/>
                              <w:divBdr>
                                <w:top w:val="none" w:sz="0" w:space="0" w:color="auto"/>
                                <w:left w:val="none" w:sz="0" w:space="0" w:color="auto"/>
                                <w:bottom w:val="none" w:sz="0" w:space="0" w:color="auto"/>
                                <w:right w:val="none" w:sz="0" w:space="0" w:color="auto"/>
                              </w:divBdr>
                              <w:divsChild>
                                <w:div w:id="1667517496">
                                  <w:marLeft w:val="0"/>
                                  <w:marRight w:val="0"/>
                                  <w:marTop w:val="0"/>
                                  <w:marBottom w:val="0"/>
                                  <w:divBdr>
                                    <w:top w:val="none" w:sz="0" w:space="0" w:color="auto"/>
                                    <w:left w:val="none" w:sz="0" w:space="0" w:color="auto"/>
                                    <w:bottom w:val="none" w:sz="0" w:space="0" w:color="auto"/>
                                    <w:right w:val="none" w:sz="0" w:space="0" w:color="auto"/>
                                  </w:divBdr>
                                  <w:divsChild>
                                    <w:div w:id="619454849">
                                      <w:marLeft w:val="0"/>
                                      <w:marRight w:val="0"/>
                                      <w:marTop w:val="0"/>
                                      <w:marBottom w:val="0"/>
                                      <w:divBdr>
                                        <w:top w:val="none" w:sz="0" w:space="0" w:color="auto"/>
                                        <w:left w:val="none" w:sz="0" w:space="0" w:color="auto"/>
                                        <w:bottom w:val="none" w:sz="0" w:space="0" w:color="auto"/>
                                        <w:right w:val="none" w:sz="0" w:space="0" w:color="auto"/>
                                      </w:divBdr>
                                      <w:divsChild>
                                        <w:div w:id="1536842699">
                                          <w:marLeft w:val="0"/>
                                          <w:marRight w:val="0"/>
                                          <w:marTop w:val="0"/>
                                          <w:marBottom w:val="0"/>
                                          <w:divBdr>
                                            <w:top w:val="none" w:sz="0" w:space="0" w:color="auto"/>
                                            <w:left w:val="none" w:sz="0" w:space="0" w:color="auto"/>
                                            <w:bottom w:val="none" w:sz="0" w:space="0" w:color="auto"/>
                                            <w:right w:val="none" w:sz="0" w:space="0" w:color="auto"/>
                                          </w:divBdr>
                                          <w:divsChild>
                                            <w:div w:id="1542092237">
                                              <w:marLeft w:val="0"/>
                                              <w:marRight w:val="0"/>
                                              <w:marTop w:val="0"/>
                                              <w:marBottom w:val="0"/>
                                              <w:divBdr>
                                                <w:top w:val="none" w:sz="0" w:space="0" w:color="auto"/>
                                                <w:left w:val="none" w:sz="0" w:space="0" w:color="auto"/>
                                                <w:bottom w:val="none" w:sz="0" w:space="0" w:color="auto"/>
                                                <w:right w:val="none" w:sz="0" w:space="0" w:color="auto"/>
                                              </w:divBdr>
                                              <w:divsChild>
                                                <w:div w:id="359863994">
                                                  <w:marLeft w:val="0"/>
                                                  <w:marRight w:val="0"/>
                                                  <w:marTop w:val="0"/>
                                                  <w:marBottom w:val="0"/>
                                                  <w:divBdr>
                                                    <w:top w:val="none" w:sz="0" w:space="0" w:color="auto"/>
                                                    <w:left w:val="none" w:sz="0" w:space="0" w:color="auto"/>
                                                    <w:bottom w:val="none" w:sz="0" w:space="0" w:color="auto"/>
                                                    <w:right w:val="none" w:sz="0" w:space="0" w:color="auto"/>
                                                  </w:divBdr>
                                                  <w:divsChild>
                                                    <w:div w:id="106583543">
                                                      <w:marLeft w:val="0"/>
                                                      <w:marRight w:val="0"/>
                                                      <w:marTop w:val="0"/>
                                                      <w:marBottom w:val="300"/>
                                                      <w:divBdr>
                                                        <w:top w:val="none" w:sz="0" w:space="0" w:color="auto"/>
                                                        <w:left w:val="none" w:sz="0" w:space="0" w:color="auto"/>
                                                        <w:bottom w:val="none" w:sz="0" w:space="0" w:color="auto"/>
                                                        <w:right w:val="none" w:sz="0" w:space="0" w:color="auto"/>
                                                      </w:divBdr>
                                                      <w:divsChild>
                                                        <w:div w:id="963848325">
                                                          <w:marLeft w:val="0"/>
                                                          <w:marRight w:val="0"/>
                                                          <w:marTop w:val="0"/>
                                                          <w:marBottom w:val="0"/>
                                                          <w:divBdr>
                                                            <w:top w:val="none" w:sz="0" w:space="0" w:color="auto"/>
                                                            <w:left w:val="none" w:sz="0" w:space="0" w:color="auto"/>
                                                            <w:bottom w:val="none" w:sz="0" w:space="0" w:color="auto"/>
                                                            <w:right w:val="none" w:sz="0" w:space="0" w:color="auto"/>
                                                          </w:divBdr>
                                                          <w:divsChild>
                                                            <w:div w:id="910769404">
                                                              <w:marLeft w:val="0"/>
                                                              <w:marRight w:val="0"/>
                                                              <w:marTop w:val="0"/>
                                                              <w:marBottom w:val="300"/>
                                                              <w:divBdr>
                                                                <w:top w:val="none" w:sz="0" w:space="0" w:color="auto"/>
                                                                <w:left w:val="none" w:sz="0" w:space="0" w:color="auto"/>
                                                                <w:bottom w:val="none" w:sz="0" w:space="0" w:color="auto"/>
                                                                <w:right w:val="none" w:sz="0" w:space="0" w:color="auto"/>
                                                              </w:divBdr>
                                                              <w:divsChild>
                                                                <w:div w:id="1399865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1187807">
          <w:marLeft w:val="0"/>
          <w:marRight w:val="0"/>
          <w:marTop w:val="0"/>
          <w:marBottom w:val="0"/>
          <w:divBdr>
            <w:top w:val="none" w:sz="0" w:space="0" w:color="auto"/>
            <w:left w:val="none" w:sz="0" w:space="0" w:color="auto"/>
            <w:bottom w:val="none" w:sz="0" w:space="0" w:color="auto"/>
            <w:right w:val="none" w:sz="0" w:space="0" w:color="auto"/>
          </w:divBdr>
          <w:divsChild>
            <w:div w:id="2093119502">
              <w:marLeft w:val="0"/>
              <w:marRight w:val="0"/>
              <w:marTop w:val="0"/>
              <w:marBottom w:val="0"/>
              <w:divBdr>
                <w:top w:val="none" w:sz="0" w:space="0" w:color="auto"/>
                <w:left w:val="none" w:sz="0" w:space="0" w:color="auto"/>
                <w:bottom w:val="none" w:sz="0" w:space="0" w:color="auto"/>
                <w:right w:val="none" w:sz="0" w:space="0" w:color="auto"/>
              </w:divBdr>
              <w:divsChild>
                <w:div w:id="1795367318">
                  <w:marLeft w:val="0"/>
                  <w:marRight w:val="0"/>
                  <w:marTop w:val="0"/>
                  <w:marBottom w:val="0"/>
                  <w:divBdr>
                    <w:top w:val="none" w:sz="0" w:space="0" w:color="auto"/>
                    <w:left w:val="none" w:sz="0" w:space="0" w:color="auto"/>
                    <w:bottom w:val="none" w:sz="0" w:space="0" w:color="auto"/>
                    <w:right w:val="none" w:sz="0" w:space="0" w:color="auto"/>
                  </w:divBdr>
                  <w:divsChild>
                    <w:div w:id="1490706651">
                      <w:marLeft w:val="0"/>
                      <w:marRight w:val="0"/>
                      <w:marTop w:val="0"/>
                      <w:marBottom w:val="0"/>
                      <w:divBdr>
                        <w:top w:val="none" w:sz="0" w:space="0" w:color="auto"/>
                        <w:left w:val="none" w:sz="0" w:space="0" w:color="auto"/>
                        <w:bottom w:val="none" w:sz="0" w:space="0" w:color="auto"/>
                        <w:right w:val="none" w:sz="0" w:space="0" w:color="auto"/>
                      </w:divBdr>
                    </w:div>
                    <w:div w:id="1742484917">
                      <w:marLeft w:val="0"/>
                      <w:marRight w:val="0"/>
                      <w:marTop w:val="0"/>
                      <w:marBottom w:val="450"/>
                      <w:divBdr>
                        <w:top w:val="none" w:sz="0" w:space="0" w:color="auto"/>
                        <w:left w:val="none" w:sz="0" w:space="0" w:color="auto"/>
                        <w:bottom w:val="none" w:sz="0" w:space="0" w:color="auto"/>
                        <w:right w:val="none" w:sz="0" w:space="0" w:color="auto"/>
                      </w:divBdr>
                      <w:divsChild>
                        <w:div w:id="341011453">
                          <w:marLeft w:val="0"/>
                          <w:marRight w:val="0"/>
                          <w:marTop w:val="0"/>
                          <w:marBottom w:val="0"/>
                          <w:divBdr>
                            <w:top w:val="none" w:sz="0" w:space="0" w:color="auto"/>
                            <w:left w:val="none" w:sz="0" w:space="0" w:color="auto"/>
                            <w:bottom w:val="none" w:sz="0" w:space="0" w:color="auto"/>
                            <w:right w:val="none" w:sz="0" w:space="0" w:color="auto"/>
                          </w:divBdr>
                          <w:divsChild>
                            <w:div w:id="639845898">
                              <w:marLeft w:val="0"/>
                              <w:marRight w:val="0"/>
                              <w:marTop w:val="0"/>
                              <w:marBottom w:val="0"/>
                              <w:divBdr>
                                <w:top w:val="none" w:sz="0" w:space="0" w:color="auto"/>
                                <w:left w:val="none" w:sz="0" w:space="0" w:color="auto"/>
                                <w:bottom w:val="none" w:sz="0" w:space="0" w:color="auto"/>
                                <w:right w:val="none" w:sz="0" w:space="0" w:color="auto"/>
                              </w:divBdr>
                              <w:divsChild>
                                <w:div w:id="1837190651">
                                  <w:marLeft w:val="0"/>
                                  <w:marRight w:val="0"/>
                                  <w:marTop w:val="0"/>
                                  <w:marBottom w:val="0"/>
                                  <w:divBdr>
                                    <w:top w:val="none" w:sz="0" w:space="0" w:color="auto"/>
                                    <w:left w:val="none" w:sz="0" w:space="0" w:color="auto"/>
                                    <w:bottom w:val="none" w:sz="0" w:space="0" w:color="auto"/>
                                    <w:right w:val="none" w:sz="0" w:space="0" w:color="auto"/>
                                  </w:divBdr>
                                  <w:divsChild>
                                    <w:div w:id="1421099566">
                                      <w:marLeft w:val="0"/>
                                      <w:marRight w:val="0"/>
                                      <w:marTop w:val="0"/>
                                      <w:marBottom w:val="0"/>
                                      <w:divBdr>
                                        <w:top w:val="none" w:sz="0" w:space="0" w:color="auto"/>
                                        <w:left w:val="none" w:sz="0" w:space="0" w:color="auto"/>
                                        <w:bottom w:val="none" w:sz="0" w:space="0" w:color="auto"/>
                                        <w:right w:val="none" w:sz="0" w:space="0" w:color="auto"/>
                                      </w:divBdr>
                                      <w:divsChild>
                                        <w:div w:id="1056204454">
                                          <w:marLeft w:val="0"/>
                                          <w:marRight w:val="0"/>
                                          <w:marTop w:val="0"/>
                                          <w:marBottom w:val="0"/>
                                          <w:divBdr>
                                            <w:top w:val="none" w:sz="0" w:space="0" w:color="auto"/>
                                            <w:left w:val="none" w:sz="0" w:space="0" w:color="auto"/>
                                            <w:bottom w:val="none" w:sz="0" w:space="0" w:color="auto"/>
                                            <w:right w:val="none" w:sz="0" w:space="0" w:color="auto"/>
                                          </w:divBdr>
                                        </w:div>
                                        <w:div w:id="416096901">
                                          <w:marLeft w:val="0"/>
                                          <w:marRight w:val="0"/>
                                          <w:marTop w:val="120"/>
                                          <w:marBottom w:val="120"/>
                                          <w:divBdr>
                                            <w:top w:val="none" w:sz="0" w:space="0" w:color="auto"/>
                                            <w:left w:val="none" w:sz="0" w:space="0" w:color="auto"/>
                                            <w:bottom w:val="none" w:sz="0" w:space="0" w:color="auto"/>
                                            <w:right w:val="none" w:sz="0" w:space="0" w:color="auto"/>
                                          </w:divBdr>
                                        </w:div>
                                      </w:divsChild>
                                    </w:div>
                                    <w:div w:id="273562144">
                                      <w:marLeft w:val="0"/>
                                      <w:marRight w:val="0"/>
                                      <w:marTop w:val="0"/>
                                      <w:marBottom w:val="0"/>
                                      <w:divBdr>
                                        <w:top w:val="none" w:sz="0" w:space="0" w:color="auto"/>
                                        <w:left w:val="none" w:sz="0" w:space="0" w:color="auto"/>
                                        <w:bottom w:val="none" w:sz="0" w:space="0" w:color="auto"/>
                                        <w:right w:val="none" w:sz="0" w:space="0" w:color="auto"/>
                                      </w:divBdr>
                                      <w:divsChild>
                                        <w:div w:id="214783421">
                                          <w:marLeft w:val="0"/>
                                          <w:marRight w:val="0"/>
                                          <w:marTop w:val="0"/>
                                          <w:marBottom w:val="0"/>
                                          <w:divBdr>
                                            <w:top w:val="none" w:sz="0" w:space="0" w:color="auto"/>
                                            <w:left w:val="none" w:sz="0" w:space="0" w:color="auto"/>
                                            <w:bottom w:val="none" w:sz="0" w:space="0" w:color="auto"/>
                                            <w:right w:val="none" w:sz="0" w:space="0" w:color="auto"/>
                                          </w:divBdr>
                                        </w:div>
                                        <w:div w:id="1653412362">
                                          <w:marLeft w:val="0"/>
                                          <w:marRight w:val="0"/>
                                          <w:marTop w:val="120"/>
                                          <w:marBottom w:val="120"/>
                                          <w:divBdr>
                                            <w:top w:val="none" w:sz="0" w:space="0" w:color="auto"/>
                                            <w:left w:val="none" w:sz="0" w:space="0" w:color="auto"/>
                                            <w:bottom w:val="none" w:sz="0" w:space="0" w:color="auto"/>
                                            <w:right w:val="none" w:sz="0" w:space="0" w:color="auto"/>
                                          </w:divBdr>
                                        </w:div>
                                      </w:divsChild>
                                    </w:div>
                                    <w:div w:id="424113595">
                                      <w:marLeft w:val="0"/>
                                      <w:marRight w:val="0"/>
                                      <w:marTop w:val="0"/>
                                      <w:marBottom w:val="0"/>
                                      <w:divBdr>
                                        <w:top w:val="none" w:sz="0" w:space="0" w:color="auto"/>
                                        <w:left w:val="none" w:sz="0" w:space="0" w:color="auto"/>
                                        <w:bottom w:val="none" w:sz="0" w:space="0" w:color="auto"/>
                                        <w:right w:val="none" w:sz="0" w:space="0" w:color="auto"/>
                                      </w:divBdr>
                                      <w:divsChild>
                                        <w:div w:id="116803461">
                                          <w:marLeft w:val="0"/>
                                          <w:marRight w:val="0"/>
                                          <w:marTop w:val="0"/>
                                          <w:marBottom w:val="0"/>
                                          <w:divBdr>
                                            <w:top w:val="none" w:sz="0" w:space="0" w:color="auto"/>
                                            <w:left w:val="none" w:sz="0" w:space="0" w:color="auto"/>
                                            <w:bottom w:val="none" w:sz="0" w:space="0" w:color="auto"/>
                                            <w:right w:val="none" w:sz="0" w:space="0" w:color="auto"/>
                                          </w:divBdr>
                                        </w:div>
                                        <w:div w:id="1758863176">
                                          <w:marLeft w:val="0"/>
                                          <w:marRight w:val="0"/>
                                          <w:marTop w:val="120"/>
                                          <w:marBottom w:val="120"/>
                                          <w:divBdr>
                                            <w:top w:val="none" w:sz="0" w:space="0" w:color="auto"/>
                                            <w:left w:val="none" w:sz="0" w:space="0" w:color="auto"/>
                                            <w:bottom w:val="none" w:sz="0" w:space="0" w:color="auto"/>
                                            <w:right w:val="none" w:sz="0" w:space="0" w:color="auto"/>
                                          </w:divBdr>
                                        </w:div>
                                      </w:divsChild>
                                    </w:div>
                                    <w:div w:id="190193381">
                                      <w:marLeft w:val="0"/>
                                      <w:marRight w:val="0"/>
                                      <w:marTop w:val="0"/>
                                      <w:marBottom w:val="0"/>
                                      <w:divBdr>
                                        <w:top w:val="none" w:sz="0" w:space="0" w:color="auto"/>
                                        <w:left w:val="none" w:sz="0" w:space="0" w:color="auto"/>
                                        <w:bottom w:val="none" w:sz="0" w:space="0" w:color="auto"/>
                                        <w:right w:val="none" w:sz="0" w:space="0" w:color="auto"/>
                                      </w:divBdr>
                                      <w:divsChild>
                                        <w:div w:id="1031733395">
                                          <w:marLeft w:val="0"/>
                                          <w:marRight w:val="0"/>
                                          <w:marTop w:val="0"/>
                                          <w:marBottom w:val="0"/>
                                          <w:divBdr>
                                            <w:top w:val="none" w:sz="0" w:space="0" w:color="auto"/>
                                            <w:left w:val="none" w:sz="0" w:space="0" w:color="auto"/>
                                            <w:bottom w:val="none" w:sz="0" w:space="0" w:color="auto"/>
                                            <w:right w:val="none" w:sz="0" w:space="0" w:color="auto"/>
                                          </w:divBdr>
                                        </w:div>
                                        <w:div w:id="382750883">
                                          <w:marLeft w:val="0"/>
                                          <w:marRight w:val="0"/>
                                          <w:marTop w:val="120"/>
                                          <w:marBottom w:val="120"/>
                                          <w:divBdr>
                                            <w:top w:val="none" w:sz="0" w:space="0" w:color="auto"/>
                                            <w:left w:val="none" w:sz="0" w:space="0" w:color="auto"/>
                                            <w:bottom w:val="none" w:sz="0" w:space="0" w:color="auto"/>
                                            <w:right w:val="none" w:sz="0" w:space="0" w:color="auto"/>
                                          </w:divBdr>
                                        </w:div>
                                      </w:divsChild>
                                    </w:div>
                                    <w:div w:id="561136953">
                                      <w:marLeft w:val="0"/>
                                      <w:marRight w:val="0"/>
                                      <w:marTop w:val="0"/>
                                      <w:marBottom w:val="0"/>
                                      <w:divBdr>
                                        <w:top w:val="none" w:sz="0" w:space="0" w:color="auto"/>
                                        <w:left w:val="none" w:sz="0" w:space="0" w:color="auto"/>
                                        <w:bottom w:val="none" w:sz="0" w:space="0" w:color="auto"/>
                                        <w:right w:val="none" w:sz="0" w:space="0" w:color="auto"/>
                                      </w:divBdr>
                                      <w:divsChild>
                                        <w:div w:id="950480526">
                                          <w:marLeft w:val="0"/>
                                          <w:marRight w:val="0"/>
                                          <w:marTop w:val="0"/>
                                          <w:marBottom w:val="0"/>
                                          <w:divBdr>
                                            <w:top w:val="none" w:sz="0" w:space="0" w:color="auto"/>
                                            <w:left w:val="none" w:sz="0" w:space="0" w:color="auto"/>
                                            <w:bottom w:val="none" w:sz="0" w:space="0" w:color="auto"/>
                                            <w:right w:val="none" w:sz="0" w:space="0" w:color="auto"/>
                                          </w:divBdr>
                                        </w:div>
                                        <w:div w:id="401172651">
                                          <w:marLeft w:val="0"/>
                                          <w:marRight w:val="0"/>
                                          <w:marTop w:val="120"/>
                                          <w:marBottom w:val="120"/>
                                          <w:divBdr>
                                            <w:top w:val="none" w:sz="0" w:space="0" w:color="auto"/>
                                            <w:left w:val="none" w:sz="0" w:space="0" w:color="auto"/>
                                            <w:bottom w:val="none" w:sz="0" w:space="0" w:color="auto"/>
                                            <w:right w:val="none" w:sz="0" w:space="0" w:color="auto"/>
                                          </w:divBdr>
                                        </w:div>
                                      </w:divsChild>
                                    </w:div>
                                    <w:div w:id="1693216785">
                                      <w:marLeft w:val="0"/>
                                      <w:marRight w:val="0"/>
                                      <w:marTop w:val="0"/>
                                      <w:marBottom w:val="0"/>
                                      <w:divBdr>
                                        <w:top w:val="none" w:sz="0" w:space="0" w:color="auto"/>
                                        <w:left w:val="none" w:sz="0" w:space="0" w:color="auto"/>
                                        <w:bottom w:val="none" w:sz="0" w:space="0" w:color="auto"/>
                                        <w:right w:val="none" w:sz="0" w:space="0" w:color="auto"/>
                                      </w:divBdr>
                                      <w:divsChild>
                                        <w:div w:id="1131173771">
                                          <w:marLeft w:val="0"/>
                                          <w:marRight w:val="0"/>
                                          <w:marTop w:val="0"/>
                                          <w:marBottom w:val="0"/>
                                          <w:divBdr>
                                            <w:top w:val="none" w:sz="0" w:space="0" w:color="auto"/>
                                            <w:left w:val="none" w:sz="0" w:space="0" w:color="auto"/>
                                            <w:bottom w:val="none" w:sz="0" w:space="0" w:color="auto"/>
                                            <w:right w:val="none" w:sz="0" w:space="0" w:color="auto"/>
                                          </w:divBdr>
                                        </w:div>
                                        <w:div w:id="495456590">
                                          <w:marLeft w:val="0"/>
                                          <w:marRight w:val="0"/>
                                          <w:marTop w:val="120"/>
                                          <w:marBottom w:val="120"/>
                                          <w:divBdr>
                                            <w:top w:val="none" w:sz="0" w:space="0" w:color="auto"/>
                                            <w:left w:val="none" w:sz="0" w:space="0" w:color="auto"/>
                                            <w:bottom w:val="none" w:sz="0" w:space="0" w:color="auto"/>
                                            <w:right w:val="none" w:sz="0" w:space="0" w:color="auto"/>
                                          </w:divBdr>
                                        </w:div>
                                      </w:divsChild>
                                    </w:div>
                                    <w:div w:id="2026517557">
                                      <w:marLeft w:val="0"/>
                                      <w:marRight w:val="0"/>
                                      <w:marTop w:val="0"/>
                                      <w:marBottom w:val="0"/>
                                      <w:divBdr>
                                        <w:top w:val="none" w:sz="0" w:space="0" w:color="auto"/>
                                        <w:left w:val="none" w:sz="0" w:space="0" w:color="auto"/>
                                        <w:bottom w:val="none" w:sz="0" w:space="0" w:color="auto"/>
                                        <w:right w:val="none" w:sz="0" w:space="0" w:color="auto"/>
                                      </w:divBdr>
                                      <w:divsChild>
                                        <w:div w:id="1566452477">
                                          <w:marLeft w:val="0"/>
                                          <w:marRight w:val="0"/>
                                          <w:marTop w:val="0"/>
                                          <w:marBottom w:val="0"/>
                                          <w:divBdr>
                                            <w:top w:val="none" w:sz="0" w:space="0" w:color="auto"/>
                                            <w:left w:val="none" w:sz="0" w:space="0" w:color="auto"/>
                                            <w:bottom w:val="none" w:sz="0" w:space="0" w:color="auto"/>
                                            <w:right w:val="none" w:sz="0" w:space="0" w:color="auto"/>
                                          </w:divBdr>
                                        </w:div>
                                        <w:div w:id="806626710">
                                          <w:marLeft w:val="0"/>
                                          <w:marRight w:val="0"/>
                                          <w:marTop w:val="120"/>
                                          <w:marBottom w:val="120"/>
                                          <w:divBdr>
                                            <w:top w:val="none" w:sz="0" w:space="0" w:color="auto"/>
                                            <w:left w:val="none" w:sz="0" w:space="0" w:color="auto"/>
                                            <w:bottom w:val="none" w:sz="0" w:space="0" w:color="auto"/>
                                            <w:right w:val="none" w:sz="0" w:space="0" w:color="auto"/>
                                          </w:divBdr>
                                        </w:div>
                                      </w:divsChild>
                                    </w:div>
                                    <w:div w:id="359473579">
                                      <w:marLeft w:val="0"/>
                                      <w:marRight w:val="0"/>
                                      <w:marTop w:val="0"/>
                                      <w:marBottom w:val="0"/>
                                      <w:divBdr>
                                        <w:top w:val="none" w:sz="0" w:space="0" w:color="auto"/>
                                        <w:left w:val="none" w:sz="0" w:space="0" w:color="auto"/>
                                        <w:bottom w:val="none" w:sz="0" w:space="0" w:color="auto"/>
                                        <w:right w:val="none" w:sz="0" w:space="0" w:color="auto"/>
                                      </w:divBdr>
                                      <w:divsChild>
                                        <w:div w:id="2063091018">
                                          <w:marLeft w:val="0"/>
                                          <w:marRight w:val="0"/>
                                          <w:marTop w:val="0"/>
                                          <w:marBottom w:val="0"/>
                                          <w:divBdr>
                                            <w:top w:val="none" w:sz="0" w:space="0" w:color="auto"/>
                                            <w:left w:val="none" w:sz="0" w:space="0" w:color="auto"/>
                                            <w:bottom w:val="none" w:sz="0" w:space="0" w:color="auto"/>
                                            <w:right w:val="none" w:sz="0" w:space="0" w:color="auto"/>
                                          </w:divBdr>
                                        </w:div>
                                        <w:div w:id="1328557974">
                                          <w:marLeft w:val="0"/>
                                          <w:marRight w:val="0"/>
                                          <w:marTop w:val="120"/>
                                          <w:marBottom w:val="120"/>
                                          <w:divBdr>
                                            <w:top w:val="none" w:sz="0" w:space="0" w:color="auto"/>
                                            <w:left w:val="none" w:sz="0" w:space="0" w:color="auto"/>
                                            <w:bottom w:val="none" w:sz="0" w:space="0" w:color="auto"/>
                                            <w:right w:val="none" w:sz="0" w:space="0" w:color="auto"/>
                                          </w:divBdr>
                                        </w:div>
                                      </w:divsChild>
                                    </w:div>
                                    <w:div w:id="1184713058">
                                      <w:marLeft w:val="0"/>
                                      <w:marRight w:val="0"/>
                                      <w:marTop w:val="0"/>
                                      <w:marBottom w:val="0"/>
                                      <w:divBdr>
                                        <w:top w:val="none" w:sz="0" w:space="0" w:color="auto"/>
                                        <w:left w:val="none" w:sz="0" w:space="0" w:color="auto"/>
                                        <w:bottom w:val="none" w:sz="0" w:space="0" w:color="auto"/>
                                        <w:right w:val="none" w:sz="0" w:space="0" w:color="auto"/>
                                      </w:divBdr>
                                      <w:divsChild>
                                        <w:div w:id="1047412612">
                                          <w:marLeft w:val="0"/>
                                          <w:marRight w:val="0"/>
                                          <w:marTop w:val="0"/>
                                          <w:marBottom w:val="0"/>
                                          <w:divBdr>
                                            <w:top w:val="none" w:sz="0" w:space="0" w:color="auto"/>
                                            <w:left w:val="none" w:sz="0" w:space="0" w:color="auto"/>
                                            <w:bottom w:val="none" w:sz="0" w:space="0" w:color="auto"/>
                                            <w:right w:val="none" w:sz="0" w:space="0" w:color="auto"/>
                                          </w:divBdr>
                                        </w:div>
                                      </w:divsChild>
                                    </w:div>
                                    <w:div w:id="722868121">
                                      <w:marLeft w:val="0"/>
                                      <w:marRight w:val="0"/>
                                      <w:marTop w:val="0"/>
                                      <w:marBottom w:val="0"/>
                                      <w:divBdr>
                                        <w:top w:val="none" w:sz="0" w:space="0" w:color="auto"/>
                                        <w:left w:val="none" w:sz="0" w:space="0" w:color="auto"/>
                                        <w:bottom w:val="none" w:sz="0" w:space="0" w:color="auto"/>
                                        <w:right w:val="none" w:sz="0" w:space="0" w:color="auto"/>
                                      </w:divBdr>
                                      <w:divsChild>
                                        <w:div w:id="1677224242">
                                          <w:marLeft w:val="0"/>
                                          <w:marRight w:val="0"/>
                                          <w:marTop w:val="0"/>
                                          <w:marBottom w:val="0"/>
                                          <w:divBdr>
                                            <w:top w:val="none" w:sz="0" w:space="0" w:color="auto"/>
                                            <w:left w:val="none" w:sz="0" w:space="0" w:color="auto"/>
                                            <w:bottom w:val="none" w:sz="0" w:space="0" w:color="auto"/>
                                            <w:right w:val="none" w:sz="0" w:space="0" w:color="auto"/>
                                          </w:divBdr>
                                        </w:div>
                                        <w:div w:id="1162358875">
                                          <w:marLeft w:val="0"/>
                                          <w:marRight w:val="0"/>
                                          <w:marTop w:val="120"/>
                                          <w:marBottom w:val="120"/>
                                          <w:divBdr>
                                            <w:top w:val="none" w:sz="0" w:space="0" w:color="auto"/>
                                            <w:left w:val="none" w:sz="0" w:space="0" w:color="auto"/>
                                            <w:bottom w:val="none" w:sz="0" w:space="0" w:color="auto"/>
                                            <w:right w:val="none" w:sz="0" w:space="0" w:color="auto"/>
                                          </w:divBdr>
                                        </w:div>
                                      </w:divsChild>
                                    </w:div>
                                    <w:div w:id="252474896">
                                      <w:marLeft w:val="0"/>
                                      <w:marRight w:val="0"/>
                                      <w:marTop w:val="0"/>
                                      <w:marBottom w:val="0"/>
                                      <w:divBdr>
                                        <w:top w:val="none" w:sz="0" w:space="0" w:color="auto"/>
                                        <w:left w:val="none" w:sz="0" w:space="0" w:color="auto"/>
                                        <w:bottom w:val="none" w:sz="0" w:space="0" w:color="auto"/>
                                        <w:right w:val="none" w:sz="0" w:space="0" w:color="auto"/>
                                      </w:divBdr>
                                      <w:divsChild>
                                        <w:div w:id="1506434562">
                                          <w:marLeft w:val="0"/>
                                          <w:marRight w:val="0"/>
                                          <w:marTop w:val="0"/>
                                          <w:marBottom w:val="0"/>
                                          <w:divBdr>
                                            <w:top w:val="none" w:sz="0" w:space="0" w:color="auto"/>
                                            <w:left w:val="none" w:sz="0" w:space="0" w:color="auto"/>
                                            <w:bottom w:val="none" w:sz="0" w:space="0" w:color="auto"/>
                                            <w:right w:val="none" w:sz="0" w:space="0" w:color="auto"/>
                                          </w:divBdr>
                                        </w:div>
                                        <w:div w:id="260458735">
                                          <w:marLeft w:val="0"/>
                                          <w:marRight w:val="0"/>
                                          <w:marTop w:val="120"/>
                                          <w:marBottom w:val="120"/>
                                          <w:divBdr>
                                            <w:top w:val="none" w:sz="0" w:space="0" w:color="auto"/>
                                            <w:left w:val="none" w:sz="0" w:space="0" w:color="auto"/>
                                            <w:bottom w:val="none" w:sz="0" w:space="0" w:color="auto"/>
                                            <w:right w:val="none" w:sz="0" w:space="0" w:color="auto"/>
                                          </w:divBdr>
                                        </w:div>
                                      </w:divsChild>
                                    </w:div>
                                    <w:div w:id="726877559">
                                      <w:marLeft w:val="0"/>
                                      <w:marRight w:val="0"/>
                                      <w:marTop w:val="0"/>
                                      <w:marBottom w:val="0"/>
                                      <w:divBdr>
                                        <w:top w:val="none" w:sz="0" w:space="0" w:color="auto"/>
                                        <w:left w:val="none" w:sz="0" w:space="0" w:color="auto"/>
                                        <w:bottom w:val="none" w:sz="0" w:space="0" w:color="auto"/>
                                        <w:right w:val="none" w:sz="0" w:space="0" w:color="auto"/>
                                      </w:divBdr>
                                      <w:divsChild>
                                        <w:div w:id="1558664478">
                                          <w:marLeft w:val="0"/>
                                          <w:marRight w:val="0"/>
                                          <w:marTop w:val="0"/>
                                          <w:marBottom w:val="0"/>
                                          <w:divBdr>
                                            <w:top w:val="none" w:sz="0" w:space="0" w:color="auto"/>
                                            <w:left w:val="none" w:sz="0" w:space="0" w:color="auto"/>
                                            <w:bottom w:val="none" w:sz="0" w:space="0" w:color="auto"/>
                                            <w:right w:val="none" w:sz="0" w:space="0" w:color="auto"/>
                                          </w:divBdr>
                                        </w:div>
                                        <w:div w:id="1996107790">
                                          <w:marLeft w:val="0"/>
                                          <w:marRight w:val="0"/>
                                          <w:marTop w:val="120"/>
                                          <w:marBottom w:val="120"/>
                                          <w:divBdr>
                                            <w:top w:val="none" w:sz="0" w:space="0" w:color="auto"/>
                                            <w:left w:val="none" w:sz="0" w:space="0" w:color="auto"/>
                                            <w:bottom w:val="none" w:sz="0" w:space="0" w:color="auto"/>
                                            <w:right w:val="none" w:sz="0" w:space="0" w:color="auto"/>
                                          </w:divBdr>
                                        </w:div>
                                      </w:divsChild>
                                    </w:div>
                                    <w:div w:id="29260356">
                                      <w:marLeft w:val="0"/>
                                      <w:marRight w:val="0"/>
                                      <w:marTop w:val="0"/>
                                      <w:marBottom w:val="0"/>
                                      <w:divBdr>
                                        <w:top w:val="none" w:sz="0" w:space="0" w:color="auto"/>
                                        <w:left w:val="none" w:sz="0" w:space="0" w:color="auto"/>
                                        <w:bottom w:val="none" w:sz="0" w:space="0" w:color="auto"/>
                                        <w:right w:val="none" w:sz="0" w:space="0" w:color="auto"/>
                                      </w:divBdr>
                                      <w:divsChild>
                                        <w:div w:id="217713222">
                                          <w:marLeft w:val="0"/>
                                          <w:marRight w:val="0"/>
                                          <w:marTop w:val="0"/>
                                          <w:marBottom w:val="0"/>
                                          <w:divBdr>
                                            <w:top w:val="none" w:sz="0" w:space="0" w:color="auto"/>
                                            <w:left w:val="none" w:sz="0" w:space="0" w:color="auto"/>
                                            <w:bottom w:val="none" w:sz="0" w:space="0" w:color="auto"/>
                                            <w:right w:val="none" w:sz="0" w:space="0" w:color="auto"/>
                                          </w:divBdr>
                                        </w:div>
                                        <w:div w:id="469590840">
                                          <w:marLeft w:val="0"/>
                                          <w:marRight w:val="0"/>
                                          <w:marTop w:val="120"/>
                                          <w:marBottom w:val="120"/>
                                          <w:divBdr>
                                            <w:top w:val="none" w:sz="0" w:space="0" w:color="auto"/>
                                            <w:left w:val="none" w:sz="0" w:space="0" w:color="auto"/>
                                            <w:bottom w:val="none" w:sz="0" w:space="0" w:color="auto"/>
                                            <w:right w:val="none" w:sz="0" w:space="0" w:color="auto"/>
                                          </w:divBdr>
                                        </w:div>
                                      </w:divsChild>
                                    </w:div>
                                    <w:div w:id="853038821">
                                      <w:marLeft w:val="0"/>
                                      <w:marRight w:val="0"/>
                                      <w:marTop w:val="0"/>
                                      <w:marBottom w:val="0"/>
                                      <w:divBdr>
                                        <w:top w:val="none" w:sz="0" w:space="0" w:color="auto"/>
                                        <w:left w:val="none" w:sz="0" w:space="0" w:color="auto"/>
                                        <w:bottom w:val="none" w:sz="0" w:space="0" w:color="auto"/>
                                        <w:right w:val="none" w:sz="0" w:space="0" w:color="auto"/>
                                      </w:divBdr>
                                      <w:divsChild>
                                        <w:div w:id="616910272">
                                          <w:marLeft w:val="0"/>
                                          <w:marRight w:val="0"/>
                                          <w:marTop w:val="0"/>
                                          <w:marBottom w:val="0"/>
                                          <w:divBdr>
                                            <w:top w:val="none" w:sz="0" w:space="0" w:color="auto"/>
                                            <w:left w:val="none" w:sz="0" w:space="0" w:color="auto"/>
                                            <w:bottom w:val="none" w:sz="0" w:space="0" w:color="auto"/>
                                            <w:right w:val="none" w:sz="0" w:space="0" w:color="auto"/>
                                          </w:divBdr>
                                        </w:div>
                                        <w:div w:id="1786079991">
                                          <w:marLeft w:val="0"/>
                                          <w:marRight w:val="0"/>
                                          <w:marTop w:val="120"/>
                                          <w:marBottom w:val="120"/>
                                          <w:divBdr>
                                            <w:top w:val="none" w:sz="0" w:space="0" w:color="auto"/>
                                            <w:left w:val="none" w:sz="0" w:space="0" w:color="auto"/>
                                            <w:bottom w:val="none" w:sz="0" w:space="0" w:color="auto"/>
                                            <w:right w:val="none" w:sz="0" w:space="0" w:color="auto"/>
                                          </w:divBdr>
                                        </w:div>
                                      </w:divsChild>
                                    </w:div>
                                    <w:div w:id="210967063">
                                      <w:marLeft w:val="0"/>
                                      <w:marRight w:val="0"/>
                                      <w:marTop w:val="0"/>
                                      <w:marBottom w:val="0"/>
                                      <w:divBdr>
                                        <w:top w:val="none" w:sz="0" w:space="0" w:color="auto"/>
                                        <w:left w:val="none" w:sz="0" w:space="0" w:color="auto"/>
                                        <w:bottom w:val="none" w:sz="0" w:space="0" w:color="auto"/>
                                        <w:right w:val="none" w:sz="0" w:space="0" w:color="auto"/>
                                      </w:divBdr>
                                      <w:divsChild>
                                        <w:div w:id="1142499179">
                                          <w:marLeft w:val="0"/>
                                          <w:marRight w:val="0"/>
                                          <w:marTop w:val="0"/>
                                          <w:marBottom w:val="0"/>
                                          <w:divBdr>
                                            <w:top w:val="none" w:sz="0" w:space="0" w:color="auto"/>
                                            <w:left w:val="none" w:sz="0" w:space="0" w:color="auto"/>
                                            <w:bottom w:val="none" w:sz="0" w:space="0" w:color="auto"/>
                                            <w:right w:val="none" w:sz="0" w:space="0" w:color="auto"/>
                                          </w:divBdr>
                                        </w:div>
                                        <w:div w:id="1476754564">
                                          <w:marLeft w:val="0"/>
                                          <w:marRight w:val="0"/>
                                          <w:marTop w:val="120"/>
                                          <w:marBottom w:val="120"/>
                                          <w:divBdr>
                                            <w:top w:val="none" w:sz="0" w:space="0" w:color="auto"/>
                                            <w:left w:val="none" w:sz="0" w:space="0" w:color="auto"/>
                                            <w:bottom w:val="none" w:sz="0" w:space="0" w:color="auto"/>
                                            <w:right w:val="none" w:sz="0" w:space="0" w:color="auto"/>
                                          </w:divBdr>
                                        </w:div>
                                      </w:divsChild>
                                    </w:div>
                                    <w:div w:id="794838187">
                                      <w:marLeft w:val="0"/>
                                      <w:marRight w:val="0"/>
                                      <w:marTop w:val="0"/>
                                      <w:marBottom w:val="0"/>
                                      <w:divBdr>
                                        <w:top w:val="none" w:sz="0" w:space="0" w:color="auto"/>
                                        <w:left w:val="none" w:sz="0" w:space="0" w:color="auto"/>
                                        <w:bottom w:val="none" w:sz="0" w:space="0" w:color="auto"/>
                                        <w:right w:val="none" w:sz="0" w:space="0" w:color="auto"/>
                                      </w:divBdr>
                                      <w:divsChild>
                                        <w:div w:id="1629431275">
                                          <w:marLeft w:val="0"/>
                                          <w:marRight w:val="0"/>
                                          <w:marTop w:val="0"/>
                                          <w:marBottom w:val="0"/>
                                          <w:divBdr>
                                            <w:top w:val="none" w:sz="0" w:space="0" w:color="auto"/>
                                            <w:left w:val="none" w:sz="0" w:space="0" w:color="auto"/>
                                            <w:bottom w:val="none" w:sz="0" w:space="0" w:color="auto"/>
                                            <w:right w:val="none" w:sz="0" w:space="0" w:color="auto"/>
                                          </w:divBdr>
                                        </w:div>
                                        <w:div w:id="843281007">
                                          <w:marLeft w:val="0"/>
                                          <w:marRight w:val="0"/>
                                          <w:marTop w:val="120"/>
                                          <w:marBottom w:val="120"/>
                                          <w:divBdr>
                                            <w:top w:val="none" w:sz="0" w:space="0" w:color="auto"/>
                                            <w:left w:val="none" w:sz="0" w:space="0" w:color="auto"/>
                                            <w:bottom w:val="none" w:sz="0" w:space="0" w:color="auto"/>
                                            <w:right w:val="none" w:sz="0" w:space="0" w:color="auto"/>
                                          </w:divBdr>
                                        </w:div>
                                      </w:divsChild>
                                    </w:div>
                                    <w:div w:id="283661867">
                                      <w:marLeft w:val="0"/>
                                      <w:marRight w:val="0"/>
                                      <w:marTop w:val="0"/>
                                      <w:marBottom w:val="0"/>
                                      <w:divBdr>
                                        <w:top w:val="none" w:sz="0" w:space="0" w:color="auto"/>
                                        <w:left w:val="none" w:sz="0" w:space="0" w:color="auto"/>
                                        <w:bottom w:val="none" w:sz="0" w:space="0" w:color="auto"/>
                                        <w:right w:val="none" w:sz="0" w:space="0" w:color="auto"/>
                                      </w:divBdr>
                                      <w:divsChild>
                                        <w:div w:id="1911500972">
                                          <w:marLeft w:val="0"/>
                                          <w:marRight w:val="0"/>
                                          <w:marTop w:val="0"/>
                                          <w:marBottom w:val="0"/>
                                          <w:divBdr>
                                            <w:top w:val="none" w:sz="0" w:space="0" w:color="auto"/>
                                            <w:left w:val="none" w:sz="0" w:space="0" w:color="auto"/>
                                            <w:bottom w:val="none" w:sz="0" w:space="0" w:color="auto"/>
                                            <w:right w:val="none" w:sz="0" w:space="0" w:color="auto"/>
                                          </w:divBdr>
                                        </w:div>
                                        <w:div w:id="1334988569">
                                          <w:marLeft w:val="0"/>
                                          <w:marRight w:val="0"/>
                                          <w:marTop w:val="120"/>
                                          <w:marBottom w:val="120"/>
                                          <w:divBdr>
                                            <w:top w:val="none" w:sz="0" w:space="0" w:color="auto"/>
                                            <w:left w:val="none" w:sz="0" w:space="0" w:color="auto"/>
                                            <w:bottom w:val="none" w:sz="0" w:space="0" w:color="auto"/>
                                            <w:right w:val="none" w:sz="0" w:space="0" w:color="auto"/>
                                          </w:divBdr>
                                        </w:div>
                                      </w:divsChild>
                                    </w:div>
                                    <w:div w:id="386802977">
                                      <w:marLeft w:val="0"/>
                                      <w:marRight w:val="0"/>
                                      <w:marTop w:val="0"/>
                                      <w:marBottom w:val="0"/>
                                      <w:divBdr>
                                        <w:top w:val="none" w:sz="0" w:space="0" w:color="auto"/>
                                        <w:left w:val="none" w:sz="0" w:space="0" w:color="auto"/>
                                        <w:bottom w:val="none" w:sz="0" w:space="0" w:color="auto"/>
                                        <w:right w:val="none" w:sz="0" w:space="0" w:color="auto"/>
                                      </w:divBdr>
                                      <w:divsChild>
                                        <w:div w:id="1287615767">
                                          <w:marLeft w:val="0"/>
                                          <w:marRight w:val="0"/>
                                          <w:marTop w:val="0"/>
                                          <w:marBottom w:val="0"/>
                                          <w:divBdr>
                                            <w:top w:val="none" w:sz="0" w:space="0" w:color="auto"/>
                                            <w:left w:val="none" w:sz="0" w:space="0" w:color="auto"/>
                                            <w:bottom w:val="none" w:sz="0" w:space="0" w:color="auto"/>
                                            <w:right w:val="none" w:sz="0" w:space="0" w:color="auto"/>
                                          </w:divBdr>
                                        </w:div>
                                        <w:div w:id="229002439">
                                          <w:marLeft w:val="0"/>
                                          <w:marRight w:val="0"/>
                                          <w:marTop w:val="120"/>
                                          <w:marBottom w:val="120"/>
                                          <w:divBdr>
                                            <w:top w:val="none" w:sz="0" w:space="0" w:color="auto"/>
                                            <w:left w:val="none" w:sz="0" w:space="0" w:color="auto"/>
                                            <w:bottom w:val="none" w:sz="0" w:space="0" w:color="auto"/>
                                            <w:right w:val="none" w:sz="0" w:space="0" w:color="auto"/>
                                          </w:divBdr>
                                        </w:div>
                                      </w:divsChild>
                                    </w:div>
                                    <w:div w:id="472063730">
                                      <w:marLeft w:val="0"/>
                                      <w:marRight w:val="0"/>
                                      <w:marTop w:val="0"/>
                                      <w:marBottom w:val="0"/>
                                      <w:divBdr>
                                        <w:top w:val="none" w:sz="0" w:space="0" w:color="auto"/>
                                        <w:left w:val="none" w:sz="0" w:space="0" w:color="auto"/>
                                        <w:bottom w:val="none" w:sz="0" w:space="0" w:color="auto"/>
                                        <w:right w:val="none" w:sz="0" w:space="0" w:color="auto"/>
                                      </w:divBdr>
                                      <w:divsChild>
                                        <w:div w:id="1795904604">
                                          <w:marLeft w:val="0"/>
                                          <w:marRight w:val="0"/>
                                          <w:marTop w:val="0"/>
                                          <w:marBottom w:val="0"/>
                                          <w:divBdr>
                                            <w:top w:val="none" w:sz="0" w:space="0" w:color="auto"/>
                                            <w:left w:val="none" w:sz="0" w:space="0" w:color="auto"/>
                                            <w:bottom w:val="none" w:sz="0" w:space="0" w:color="auto"/>
                                            <w:right w:val="none" w:sz="0" w:space="0" w:color="auto"/>
                                          </w:divBdr>
                                        </w:div>
                                        <w:div w:id="23219353">
                                          <w:marLeft w:val="0"/>
                                          <w:marRight w:val="0"/>
                                          <w:marTop w:val="120"/>
                                          <w:marBottom w:val="120"/>
                                          <w:divBdr>
                                            <w:top w:val="none" w:sz="0" w:space="0" w:color="auto"/>
                                            <w:left w:val="none" w:sz="0" w:space="0" w:color="auto"/>
                                            <w:bottom w:val="none" w:sz="0" w:space="0" w:color="auto"/>
                                            <w:right w:val="none" w:sz="0" w:space="0" w:color="auto"/>
                                          </w:divBdr>
                                        </w:div>
                                      </w:divsChild>
                                    </w:div>
                                    <w:div w:id="134568394">
                                      <w:marLeft w:val="0"/>
                                      <w:marRight w:val="0"/>
                                      <w:marTop w:val="0"/>
                                      <w:marBottom w:val="0"/>
                                      <w:divBdr>
                                        <w:top w:val="none" w:sz="0" w:space="0" w:color="auto"/>
                                        <w:left w:val="none" w:sz="0" w:space="0" w:color="auto"/>
                                        <w:bottom w:val="none" w:sz="0" w:space="0" w:color="auto"/>
                                        <w:right w:val="none" w:sz="0" w:space="0" w:color="auto"/>
                                      </w:divBdr>
                                      <w:divsChild>
                                        <w:div w:id="1037701741">
                                          <w:marLeft w:val="0"/>
                                          <w:marRight w:val="0"/>
                                          <w:marTop w:val="0"/>
                                          <w:marBottom w:val="0"/>
                                          <w:divBdr>
                                            <w:top w:val="none" w:sz="0" w:space="0" w:color="auto"/>
                                            <w:left w:val="none" w:sz="0" w:space="0" w:color="auto"/>
                                            <w:bottom w:val="none" w:sz="0" w:space="0" w:color="auto"/>
                                            <w:right w:val="none" w:sz="0" w:space="0" w:color="auto"/>
                                          </w:divBdr>
                                        </w:div>
                                        <w:div w:id="1698896371">
                                          <w:marLeft w:val="0"/>
                                          <w:marRight w:val="0"/>
                                          <w:marTop w:val="120"/>
                                          <w:marBottom w:val="120"/>
                                          <w:divBdr>
                                            <w:top w:val="none" w:sz="0" w:space="0" w:color="auto"/>
                                            <w:left w:val="none" w:sz="0" w:space="0" w:color="auto"/>
                                            <w:bottom w:val="none" w:sz="0" w:space="0" w:color="auto"/>
                                            <w:right w:val="none" w:sz="0" w:space="0" w:color="auto"/>
                                          </w:divBdr>
                                        </w:div>
                                      </w:divsChild>
                                    </w:div>
                                    <w:div w:id="971591184">
                                      <w:marLeft w:val="0"/>
                                      <w:marRight w:val="0"/>
                                      <w:marTop w:val="0"/>
                                      <w:marBottom w:val="0"/>
                                      <w:divBdr>
                                        <w:top w:val="none" w:sz="0" w:space="0" w:color="auto"/>
                                        <w:left w:val="none" w:sz="0" w:space="0" w:color="auto"/>
                                        <w:bottom w:val="none" w:sz="0" w:space="0" w:color="auto"/>
                                        <w:right w:val="none" w:sz="0" w:space="0" w:color="auto"/>
                                      </w:divBdr>
                                      <w:divsChild>
                                        <w:div w:id="1022976761">
                                          <w:marLeft w:val="0"/>
                                          <w:marRight w:val="0"/>
                                          <w:marTop w:val="0"/>
                                          <w:marBottom w:val="0"/>
                                          <w:divBdr>
                                            <w:top w:val="none" w:sz="0" w:space="0" w:color="auto"/>
                                            <w:left w:val="none" w:sz="0" w:space="0" w:color="auto"/>
                                            <w:bottom w:val="none" w:sz="0" w:space="0" w:color="auto"/>
                                            <w:right w:val="none" w:sz="0" w:space="0" w:color="auto"/>
                                          </w:divBdr>
                                        </w:div>
                                        <w:div w:id="164059521">
                                          <w:marLeft w:val="0"/>
                                          <w:marRight w:val="0"/>
                                          <w:marTop w:val="120"/>
                                          <w:marBottom w:val="120"/>
                                          <w:divBdr>
                                            <w:top w:val="none" w:sz="0" w:space="0" w:color="auto"/>
                                            <w:left w:val="none" w:sz="0" w:space="0" w:color="auto"/>
                                            <w:bottom w:val="none" w:sz="0" w:space="0" w:color="auto"/>
                                            <w:right w:val="none" w:sz="0" w:space="0" w:color="auto"/>
                                          </w:divBdr>
                                        </w:div>
                                      </w:divsChild>
                                    </w:div>
                                    <w:div w:id="1338918158">
                                      <w:marLeft w:val="0"/>
                                      <w:marRight w:val="0"/>
                                      <w:marTop w:val="0"/>
                                      <w:marBottom w:val="0"/>
                                      <w:divBdr>
                                        <w:top w:val="none" w:sz="0" w:space="0" w:color="auto"/>
                                        <w:left w:val="none" w:sz="0" w:space="0" w:color="auto"/>
                                        <w:bottom w:val="none" w:sz="0" w:space="0" w:color="auto"/>
                                        <w:right w:val="none" w:sz="0" w:space="0" w:color="auto"/>
                                      </w:divBdr>
                                      <w:divsChild>
                                        <w:div w:id="1454252400">
                                          <w:marLeft w:val="0"/>
                                          <w:marRight w:val="0"/>
                                          <w:marTop w:val="0"/>
                                          <w:marBottom w:val="0"/>
                                          <w:divBdr>
                                            <w:top w:val="none" w:sz="0" w:space="0" w:color="auto"/>
                                            <w:left w:val="none" w:sz="0" w:space="0" w:color="auto"/>
                                            <w:bottom w:val="none" w:sz="0" w:space="0" w:color="auto"/>
                                            <w:right w:val="none" w:sz="0" w:space="0" w:color="auto"/>
                                          </w:divBdr>
                                        </w:div>
                                        <w:div w:id="1762753717">
                                          <w:marLeft w:val="0"/>
                                          <w:marRight w:val="0"/>
                                          <w:marTop w:val="120"/>
                                          <w:marBottom w:val="120"/>
                                          <w:divBdr>
                                            <w:top w:val="none" w:sz="0" w:space="0" w:color="auto"/>
                                            <w:left w:val="none" w:sz="0" w:space="0" w:color="auto"/>
                                            <w:bottom w:val="none" w:sz="0" w:space="0" w:color="auto"/>
                                            <w:right w:val="none" w:sz="0" w:space="0" w:color="auto"/>
                                          </w:divBdr>
                                        </w:div>
                                      </w:divsChild>
                                    </w:div>
                                    <w:div w:id="587929400">
                                      <w:marLeft w:val="0"/>
                                      <w:marRight w:val="0"/>
                                      <w:marTop w:val="0"/>
                                      <w:marBottom w:val="0"/>
                                      <w:divBdr>
                                        <w:top w:val="none" w:sz="0" w:space="0" w:color="auto"/>
                                        <w:left w:val="none" w:sz="0" w:space="0" w:color="auto"/>
                                        <w:bottom w:val="none" w:sz="0" w:space="0" w:color="auto"/>
                                        <w:right w:val="none" w:sz="0" w:space="0" w:color="auto"/>
                                      </w:divBdr>
                                      <w:divsChild>
                                        <w:div w:id="1293289281">
                                          <w:marLeft w:val="0"/>
                                          <w:marRight w:val="0"/>
                                          <w:marTop w:val="0"/>
                                          <w:marBottom w:val="0"/>
                                          <w:divBdr>
                                            <w:top w:val="none" w:sz="0" w:space="0" w:color="auto"/>
                                            <w:left w:val="none" w:sz="0" w:space="0" w:color="auto"/>
                                            <w:bottom w:val="none" w:sz="0" w:space="0" w:color="auto"/>
                                            <w:right w:val="none" w:sz="0" w:space="0" w:color="auto"/>
                                          </w:divBdr>
                                        </w:div>
                                        <w:div w:id="1397434341">
                                          <w:marLeft w:val="0"/>
                                          <w:marRight w:val="0"/>
                                          <w:marTop w:val="120"/>
                                          <w:marBottom w:val="120"/>
                                          <w:divBdr>
                                            <w:top w:val="none" w:sz="0" w:space="0" w:color="auto"/>
                                            <w:left w:val="none" w:sz="0" w:space="0" w:color="auto"/>
                                            <w:bottom w:val="none" w:sz="0" w:space="0" w:color="auto"/>
                                            <w:right w:val="none" w:sz="0" w:space="0" w:color="auto"/>
                                          </w:divBdr>
                                        </w:div>
                                      </w:divsChild>
                                    </w:div>
                                    <w:div w:id="1747536286">
                                      <w:marLeft w:val="0"/>
                                      <w:marRight w:val="0"/>
                                      <w:marTop w:val="0"/>
                                      <w:marBottom w:val="0"/>
                                      <w:divBdr>
                                        <w:top w:val="none" w:sz="0" w:space="0" w:color="auto"/>
                                        <w:left w:val="none" w:sz="0" w:space="0" w:color="auto"/>
                                        <w:bottom w:val="none" w:sz="0" w:space="0" w:color="auto"/>
                                        <w:right w:val="none" w:sz="0" w:space="0" w:color="auto"/>
                                      </w:divBdr>
                                      <w:divsChild>
                                        <w:div w:id="1261445804">
                                          <w:marLeft w:val="0"/>
                                          <w:marRight w:val="0"/>
                                          <w:marTop w:val="0"/>
                                          <w:marBottom w:val="0"/>
                                          <w:divBdr>
                                            <w:top w:val="none" w:sz="0" w:space="0" w:color="auto"/>
                                            <w:left w:val="none" w:sz="0" w:space="0" w:color="auto"/>
                                            <w:bottom w:val="none" w:sz="0" w:space="0" w:color="auto"/>
                                            <w:right w:val="none" w:sz="0" w:space="0" w:color="auto"/>
                                          </w:divBdr>
                                        </w:div>
                                        <w:div w:id="1156186859">
                                          <w:marLeft w:val="0"/>
                                          <w:marRight w:val="0"/>
                                          <w:marTop w:val="120"/>
                                          <w:marBottom w:val="120"/>
                                          <w:divBdr>
                                            <w:top w:val="none" w:sz="0" w:space="0" w:color="auto"/>
                                            <w:left w:val="none" w:sz="0" w:space="0" w:color="auto"/>
                                            <w:bottom w:val="none" w:sz="0" w:space="0" w:color="auto"/>
                                            <w:right w:val="none" w:sz="0" w:space="0" w:color="auto"/>
                                          </w:divBdr>
                                        </w:div>
                                      </w:divsChild>
                                    </w:div>
                                    <w:div w:id="2142190382">
                                      <w:marLeft w:val="0"/>
                                      <w:marRight w:val="0"/>
                                      <w:marTop w:val="0"/>
                                      <w:marBottom w:val="0"/>
                                      <w:divBdr>
                                        <w:top w:val="none" w:sz="0" w:space="0" w:color="auto"/>
                                        <w:left w:val="none" w:sz="0" w:space="0" w:color="auto"/>
                                        <w:bottom w:val="none" w:sz="0" w:space="0" w:color="auto"/>
                                        <w:right w:val="none" w:sz="0" w:space="0" w:color="auto"/>
                                      </w:divBdr>
                                      <w:divsChild>
                                        <w:div w:id="1265728834">
                                          <w:marLeft w:val="0"/>
                                          <w:marRight w:val="0"/>
                                          <w:marTop w:val="0"/>
                                          <w:marBottom w:val="0"/>
                                          <w:divBdr>
                                            <w:top w:val="none" w:sz="0" w:space="0" w:color="auto"/>
                                            <w:left w:val="none" w:sz="0" w:space="0" w:color="auto"/>
                                            <w:bottom w:val="none" w:sz="0" w:space="0" w:color="auto"/>
                                            <w:right w:val="none" w:sz="0" w:space="0" w:color="auto"/>
                                          </w:divBdr>
                                        </w:div>
                                        <w:div w:id="34013537">
                                          <w:marLeft w:val="0"/>
                                          <w:marRight w:val="0"/>
                                          <w:marTop w:val="120"/>
                                          <w:marBottom w:val="120"/>
                                          <w:divBdr>
                                            <w:top w:val="none" w:sz="0" w:space="0" w:color="auto"/>
                                            <w:left w:val="none" w:sz="0" w:space="0" w:color="auto"/>
                                            <w:bottom w:val="none" w:sz="0" w:space="0" w:color="auto"/>
                                            <w:right w:val="none" w:sz="0" w:space="0" w:color="auto"/>
                                          </w:divBdr>
                                        </w:div>
                                      </w:divsChild>
                                    </w:div>
                                    <w:div w:id="48772698">
                                      <w:marLeft w:val="0"/>
                                      <w:marRight w:val="0"/>
                                      <w:marTop w:val="0"/>
                                      <w:marBottom w:val="0"/>
                                      <w:divBdr>
                                        <w:top w:val="none" w:sz="0" w:space="0" w:color="auto"/>
                                        <w:left w:val="none" w:sz="0" w:space="0" w:color="auto"/>
                                        <w:bottom w:val="none" w:sz="0" w:space="0" w:color="auto"/>
                                        <w:right w:val="none" w:sz="0" w:space="0" w:color="auto"/>
                                      </w:divBdr>
                                      <w:divsChild>
                                        <w:div w:id="1969165840">
                                          <w:marLeft w:val="0"/>
                                          <w:marRight w:val="0"/>
                                          <w:marTop w:val="0"/>
                                          <w:marBottom w:val="0"/>
                                          <w:divBdr>
                                            <w:top w:val="none" w:sz="0" w:space="0" w:color="auto"/>
                                            <w:left w:val="none" w:sz="0" w:space="0" w:color="auto"/>
                                            <w:bottom w:val="none" w:sz="0" w:space="0" w:color="auto"/>
                                            <w:right w:val="none" w:sz="0" w:space="0" w:color="auto"/>
                                          </w:divBdr>
                                        </w:div>
                                        <w:div w:id="1621183630">
                                          <w:marLeft w:val="0"/>
                                          <w:marRight w:val="0"/>
                                          <w:marTop w:val="120"/>
                                          <w:marBottom w:val="120"/>
                                          <w:divBdr>
                                            <w:top w:val="none" w:sz="0" w:space="0" w:color="auto"/>
                                            <w:left w:val="none" w:sz="0" w:space="0" w:color="auto"/>
                                            <w:bottom w:val="none" w:sz="0" w:space="0" w:color="auto"/>
                                            <w:right w:val="none" w:sz="0" w:space="0" w:color="auto"/>
                                          </w:divBdr>
                                        </w:div>
                                      </w:divsChild>
                                    </w:div>
                                    <w:div w:id="1536969217">
                                      <w:marLeft w:val="0"/>
                                      <w:marRight w:val="0"/>
                                      <w:marTop w:val="0"/>
                                      <w:marBottom w:val="0"/>
                                      <w:divBdr>
                                        <w:top w:val="none" w:sz="0" w:space="0" w:color="auto"/>
                                        <w:left w:val="none" w:sz="0" w:space="0" w:color="auto"/>
                                        <w:bottom w:val="none" w:sz="0" w:space="0" w:color="auto"/>
                                        <w:right w:val="none" w:sz="0" w:space="0" w:color="auto"/>
                                      </w:divBdr>
                                      <w:divsChild>
                                        <w:div w:id="930238854">
                                          <w:marLeft w:val="0"/>
                                          <w:marRight w:val="0"/>
                                          <w:marTop w:val="0"/>
                                          <w:marBottom w:val="0"/>
                                          <w:divBdr>
                                            <w:top w:val="none" w:sz="0" w:space="0" w:color="auto"/>
                                            <w:left w:val="none" w:sz="0" w:space="0" w:color="auto"/>
                                            <w:bottom w:val="none" w:sz="0" w:space="0" w:color="auto"/>
                                            <w:right w:val="none" w:sz="0" w:space="0" w:color="auto"/>
                                          </w:divBdr>
                                        </w:div>
                                        <w:div w:id="599416504">
                                          <w:marLeft w:val="0"/>
                                          <w:marRight w:val="0"/>
                                          <w:marTop w:val="120"/>
                                          <w:marBottom w:val="120"/>
                                          <w:divBdr>
                                            <w:top w:val="none" w:sz="0" w:space="0" w:color="auto"/>
                                            <w:left w:val="none" w:sz="0" w:space="0" w:color="auto"/>
                                            <w:bottom w:val="none" w:sz="0" w:space="0" w:color="auto"/>
                                            <w:right w:val="none" w:sz="0" w:space="0" w:color="auto"/>
                                          </w:divBdr>
                                        </w:div>
                                      </w:divsChild>
                                    </w:div>
                                    <w:div w:id="361588091">
                                      <w:marLeft w:val="0"/>
                                      <w:marRight w:val="0"/>
                                      <w:marTop w:val="0"/>
                                      <w:marBottom w:val="0"/>
                                      <w:divBdr>
                                        <w:top w:val="none" w:sz="0" w:space="0" w:color="auto"/>
                                        <w:left w:val="none" w:sz="0" w:space="0" w:color="auto"/>
                                        <w:bottom w:val="none" w:sz="0" w:space="0" w:color="auto"/>
                                        <w:right w:val="none" w:sz="0" w:space="0" w:color="auto"/>
                                      </w:divBdr>
                                      <w:divsChild>
                                        <w:div w:id="948051904">
                                          <w:marLeft w:val="0"/>
                                          <w:marRight w:val="0"/>
                                          <w:marTop w:val="0"/>
                                          <w:marBottom w:val="0"/>
                                          <w:divBdr>
                                            <w:top w:val="none" w:sz="0" w:space="0" w:color="auto"/>
                                            <w:left w:val="none" w:sz="0" w:space="0" w:color="auto"/>
                                            <w:bottom w:val="none" w:sz="0" w:space="0" w:color="auto"/>
                                            <w:right w:val="none" w:sz="0" w:space="0" w:color="auto"/>
                                          </w:divBdr>
                                        </w:div>
                                        <w:div w:id="206377442">
                                          <w:marLeft w:val="0"/>
                                          <w:marRight w:val="0"/>
                                          <w:marTop w:val="120"/>
                                          <w:marBottom w:val="120"/>
                                          <w:divBdr>
                                            <w:top w:val="none" w:sz="0" w:space="0" w:color="auto"/>
                                            <w:left w:val="none" w:sz="0" w:space="0" w:color="auto"/>
                                            <w:bottom w:val="none" w:sz="0" w:space="0" w:color="auto"/>
                                            <w:right w:val="none" w:sz="0" w:space="0" w:color="auto"/>
                                          </w:divBdr>
                                        </w:div>
                                      </w:divsChild>
                                    </w:div>
                                    <w:div w:id="98570847">
                                      <w:marLeft w:val="0"/>
                                      <w:marRight w:val="0"/>
                                      <w:marTop w:val="0"/>
                                      <w:marBottom w:val="0"/>
                                      <w:divBdr>
                                        <w:top w:val="none" w:sz="0" w:space="0" w:color="auto"/>
                                        <w:left w:val="none" w:sz="0" w:space="0" w:color="auto"/>
                                        <w:bottom w:val="none" w:sz="0" w:space="0" w:color="auto"/>
                                        <w:right w:val="none" w:sz="0" w:space="0" w:color="auto"/>
                                      </w:divBdr>
                                      <w:divsChild>
                                        <w:div w:id="1370645807">
                                          <w:marLeft w:val="0"/>
                                          <w:marRight w:val="0"/>
                                          <w:marTop w:val="0"/>
                                          <w:marBottom w:val="0"/>
                                          <w:divBdr>
                                            <w:top w:val="none" w:sz="0" w:space="0" w:color="auto"/>
                                            <w:left w:val="none" w:sz="0" w:space="0" w:color="auto"/>
                                            <w:bottom w:val="none" w:sz="0" w:space="0" w:color="auto"/>
                                            <w:right w:val="none" w:sz="0" w:space="0" w:color="auto"/>
                                          </w:divBdr>
                                        </w:div>
                                        <w:div w:id="1884320136">
                                          <w:marLeft w:val="0"/>
                                          <w:marRight w:val="0"/>
                                          <w:marTop w:val="120"/>
                                          <w:marBottom w:val="120"/>
                                          <w:divBdr>
                                            <w:top w:val="none" w:sz="0" w:space="0" w:color="auto"/>
                                            <w:left w:val="none" w:sz="0" w:space="0" w:color="auto"/>
                                            <w:bottom w:val="none" w:sz="0" w:space="0" w:color="auto"/>
                                            <w:right w:val="none" w:sz="0" w:space="0" w:color="auto"/>
                                          </w:divBdr>
                                        </w:div>
                                      </w:divsChild>
                                    </w:div>
                                    <w:div w:id="155266151">
                                      <w:marLeft w:val="0"/>
                                      <w:marRight w:val="0"/>
                                      <w:marTop w:val="0"/>
                                      <w:marBottom w:val="0"/>
                                      <w:divBdr>
                                        <w:top w:val="none" w:sz="0" w:space="0" w:color="auto"/>
                                        <w:left w:val="none" w:sz="0" w:space="0" w:color="auto"/>
                                        <w:bottom w:val="none" w:sz="0" w:space="0" w:color="auto"/>
                                        <w:right w:val="none" w:sz="0" w:space="0" w:color="auto"/>
                                      </w:divBdr>
                                      <w:divsChild>
                                        <w:div w:id="1256135610">
                                          <w:marLeft w:val="0"/>
                                          <w:marRight w:val="0"/>
                                          <w:marTop w:val="0"/>
                                          <w:marBottom w:val="0"/>
                                          <w:divBdr>
                                            <w:top w:val="none" w:sz="0" w:space="0" w:color="auto"/>
                                            <w:left w:val="none" w:sz="0" w:space="0" w:color="auto"/>
                                            <w:bottom w:val="none" w:sz="0" w:space="0" w:color="auto"/>
                                            <w:right w:val="none" w:sz="0" w:space="0" w:color="auto"/>
                                          </w:divBdr>
                                        </w:div>
                                        <w:div w:id="1055086745">
                                          <w:marLeft w:val="0"/>
                                          <w:marRight w:val="0"/>
                                          <w:marTop w:val="120"/>
                                          <w:marBottom w:val="120"/>
                                          <w:divBdr>
                                            <w:top w:val="none" w:sz="0" w:space="0" w:color="auto"/>
                                            <w:left w:val="none" w:sz="0" w:space="0" w:color="auto"/>
                                            <w:bottom w:val="none" w:sz="0" w:space="0" w:color="auto"/>
                                            <w:right w:val="none" w:sz="0" w:space="0" w:color="auto"/>
                                          </w:divBdr>
                                        </w:div>
                                      </w:divsChild>
                                    </w:div>
                                    <w:div w:id="395012905">
                                      <w:marLeft w:val="0"/>
                                      <w:marRight w:val="0"/>
                                      <w:marTop w:val="0"/>
                                      <w:marBottom w:val="0"/>
                                      <w:divBdr>
                                        <w:top w:val="none" w:sz="0" w:space="0" w:color="auto"/>
                                        <w:left w:val="none" w:sz="0" w:space="0" w:color="auto"/>
                                        <w:bottom w:val="none" w:sz="0" w:space="0" w:color="auto"/>
                                        <w:right w:val="none" w:sz="0" w:space="0" w:color="auto"/>
                                      </w:divBdr>
                                      <w:divsChild>
                                        <w:div w:id="303585041">
                                          <w:marLeft w:val="0"/>
                                          <w:marRight w:val="0"/>
                                          <w:marTop w:val="0"/>
                                          <w:marBottom w:val="0"/>
                                          <w:divBdr>
                                            <w:top w:val="none" w:sz="0" w:space="0" w:color="auto"/>
                                            <w:left w:val="none" w:sz="0" w:space="0" w:color="auto"/>
                                            <w:bottom w:val="none" w:sz="0" w:space="0" w:color="auto"/>
                                            <w:right w:val="none" w:sz="0" w:space="0" w:color="auto"/>
                                          </w:divBdr>
                                        </w:div>
                                        <w:div w:id="1296179483">
                                          <w:marLeft w:val="0"/>
                                          <w:marRight w:val="0"/>
                                          <w:marTop w:val="120"/>
                                          <w:marBottom w:val="120"/>
                                          <w:divBdr>
                                            <w:top w:val="none" w:sz="0" w:space="0" w:color="auto"/>
                                            <w:left w:val="none" w:sz="0" w:space="0" w:color="auto"/>
                                            <w:bottom w:val="none" w:sz="0" w:space="0" w:color="auto"/>
                                            <w:right w:val="none" w:sz="0" w:space="0" w:color="auto"/>
                                          </w:divBdr>
                                        </w:div>
                                      </w:divsChild>
                                    </w:div>
                                    <w:div w:id="100270856">
                                      <w:marLeft w:val="0"/>
                                      <w:marRight w:val="0"/>
                                      <w:marTop w:val="0"/>
                                      <w:marBottom w:val="0"/>
                                      <w:divBdr>
                                        <w:top w:val="none" w:sz="0" w:space="0" w:color="auto"/>
                                        <w:left w:val="none" w:sz="0" w:space="0" w:color="auto"/>
                                        <w:bottom w:val="none" w:sz="0" w:space="0" w:color="auto"/>
                                        <w:right w:val="none" w:sz="0" w:space="0" w:color="auto"/>
                                      </w:divBdr>
                                      <w:divsChild>
                                        <w:div w:id="573054736">
                                          <w:marLeft w:val="0"/>
                                          <w:marRight w:val="0"/>
                                          <w:marTop w:val="0"/>
                                          <w:marBottom w:val="0"/>
                                          <w:divBdr>
                                            <w:top w:val="none" w:sz="0" w:space="0" w:color="auto"/>
                                            <w:left w:val="none" w:sz="0" w:space="0" w:color="auto"/>
                                            <w:bottom w:val="none" w:sz="0" w:space="0" w:color="auto"/>
                                            <w:right w:val="none" w:sz="0" w:space="0" w:color="auto"/>
                                          </w:divBdr>
                                        </w:div>
                                        <w:div w:id="825824561">
                                          <w:marLeft w:val="0"/>
                                          <w:marRight w:val="0"/>
                                          <w:marTop w:val="120"/>
                                          <w:marBottom w:val="120"/>
                                          <w:divBdr>
                                            <w:top w:val="none" w:sz="0" w:space="0" w:color="auto"/>
                                            <w:left w:val="none" w:sz="0" w:space="0" w:color="auto"/>
                                            <w:bottom w:val="none" w:sz="0" w:space="0" w:color="auto"/>
                                            <w:right w:val="none" w:sz="0" w:space="0" w:color="auto"/>
                                          </w:divBdr>
                                        </w:div>
                                      </w:divsChild>
                                    </w:div>
                                    <w:div w:id="662317126">
                                      <w:marLeft w:val="0"/>
                                      <w:marRight w:val="0"/>
                                      <w:marTop w:val="0"/>
                                      <w:marBottom w:val="0"/>
                                      <w:divBdr>
                                        <w:top w:val="none" w:sz="0" w:space="0" w:color="auto"/>
                                        <w:left w:val="none" w:sz="0" w:space="0" w:color="auto"/>
                                        <w:bottom w:val="none" w:sz="0" w:space="0" w:color="auto"/>
                                        <w:right w:val="none" w:sz="0" w:space="0" w:color="auto"/>
                                      </w:divBdr>
                                      <w:divsChild>
                                        <w:div w:id="1549798314">
                                          <w:marLeft w:val="0"/>
                                          <w:marRight w:val="0"/>
                                          <w:marTop w:val="0"/>
                                          <w:marBottom w:val="0"/>
                                          <w:divBdr>
                                            <w:top w:val="none" w:sz="0" w:space="0" w:color="auto"/>
                                            <w:left w:val="none" w:sz="0" w:space="0" w:color="auto"/>
                                            <w:bottom w:val="none" w:sz="0" w:space="0" w:color="auto"/>
                                            <w:right w:val="none" w:sz="0" w:space="0" w:color="auto"/>
                                          </w:divBdr>
                                        </w:div>
                                        <w:div w:id="159660791">
                                          <w:marLeft w:val="0"/>
                                          <w:marRight w:val="0"/>
                                          <w:marTop w:val="120"/>
                                          <w:marBottom w:val="120"/>
                                          <w:divBdr>
                                            <w:top w:val="none" w:sz="0" w:space="0" w:color="auto"/>
                                            <w:left w:val="none" w:sz="0" w:space="0" w:color="auto"/>
                                            <w:bottom w:val="none" w:sz="0" w:space="0" w:color="auto"/>
                                            <w:right w:val="none" w:sz="0" w:space="0" w:color="auto"/>
                                          </w:divBdr>
                                        </w:div>
                                      </w:divsChild>
                                    </w:div>
                                    <w:div w:id="1566212090">
                                      <w:marLeft w:val="0"/>
                                      <w:marRight w:val="0"/>
                                      <w:marTop w:val="0"/>
                                      <w:marBottom w:val="0"/>
                                      <w:divBdr>
                                        <w:top w:val="none" w:sz="0" w:space="0" w:color="auto"/>
                                        <w:left w:val="none" w:sz="0" w:space="0" w:color="auto"/>
                                        <w:bottom w:val="none" w:sz="0" w:space="0" w:color="auto"/>
                                        <w:right w:val="none" w:sz="0" w:space="0" w:color="auto"/>
                                      </w:divBdr>
                                      <w:divsChild>
                                        <w:div w:id="234976245">
                                          <w:marLeft w:val="0"/>
                                          <w:marRight w:val="0"/>
                                          <w:marTop w:val="0"/>
                                          <w:marBottom w:val="0"/>
                                          <w:divBdr>
                                            <w:top w:val="none" w:sz="0" w:space="0" w:color="auto"/>
                                            <w:left w:val="none" w:sz="0" w:space="0" w:color="auto"/>
                                            <w:bottom w:val="none" w:sz="0" w:space="0" w:color="auto"/>
                                            <w:right w:val="none" w:sz="0" w:space="0" w:color="auto"/>
                                          </w:divBdr>
                                        </w:div>
                                        <w:div w:id="926496050">
                                          <w:marLeft w:val="0"/>
                                          <w:marRight w:val="0"/>
                                          <w:marTop w:val="120"/>
                                          <w:marBottom w:val="120"/>
                                          <w:divBdr>
                                            <w:top w:val="none" w:sz="0" w:space="0" w:color="auto"/>
                                            <w:left w:val="none" w:sz="0" w:space="0" w:color="auto"/>
                                            <w:bottom w:val="none" w:sz="0" w:space="0" w:color="auto"/>
                                            <w:right w:val="none" w:sz="0" w:space="0" w:color="auto"/>
                                          </w:divBdr>
                                        </w:div>
                                      </w:divsChild>
                                    </w:div>
                                    <w:div w:id="1940410039">
                                      <w:marLeft w:val="0"/>
                                      <w:marRight w:val="0"/>
                                      <w:marTop w:val="0"/>
                                      <w:marBottom w:val="0"/>
                                      <w:divBdr>
                                        <w:top w:val="none" w:sz="0" w:space="0" w:color="auto"/>
                                        <w:left w:val="none" w:sz="0" w:space="0" w:color="auto"/>
                                        <w:bottom w:val="none" w:sz="0" w:space="0" w:color="auto"/>
                                        <w:right w:val="none" w:sz="0" w:space="0" w:color="auto"/>
                                      </w:divBdr>
                                      <w:divsChild>
                                        <w:div w:id="1278634669">
                                          <w:marLeft w:val="0"/>
                                          <w:marRight w:val="0"/>
                                          <w:marTop w:val="0"/>
                                          <w:marBottom w:val="0"/>
                                          <w:divBdr>
                                            <w:top w:val="none" w:sz="0" w:space="0" w:color="auto"/>
                                            <w:left w:val="none" w:sz="0" w:space="0" w:color="auto"/>
                                            <w:bottom w:val="none" w:sz="0" w:space="0" w:color="auto"/>
                                            <w:right w:val="none" w:sz="0" w:space="0" w:color="auto"/>
                                          </w:divBdr>
                                        </w:div>
                                        <w:div w:id="588394125">
                                          <w:marLeft w:val="0"/>
                                          <w:marRight w:val="0"/>
                                          <w:marTop w:val="120"/>
                                          <w:marBottom w:val="120"/>
                                          <w:divBdr>
                                            <w:top w:val="none" w:sz="0" w:space="0" w:color="auto"/>
                                            <w:left w:val="none" w:sz="0" w:space="0" w:color="auto"/>
                                            <w:bottom w:val="none" w:sz="0" w:space="0" w:color="auto"/>
                                            <w:right w:val="none" w:sz="0" w:space="0" w:color="auto"/>
                                          </w:divBdr>
                                        </w:div>
                                      </w:divsChild>
                                    </w:div>
                                    <w:div w:id="1295255316">
                                      <w:marLeft w:val="0"/>
                                      <w:marRight w:val="0"/>
                                      <w:marTop w:val="0"/>
                                      <w:marBottom w:val="0"/>
                                      <w:divBdr>
                                        <w:top w:val="none" w:sz="0" w:space="0" w:color="auto"/>
                                        <w:left w:val="none" w:sz="0" w:space="0" w:color="auto"/>
                                        <w:bottom w:val="none" w:sz="0" w:space="0" w:color="auto"/>
                                        <w:right w:val="none" w:sz="0" w:space="0" w:color="auto"/>
                                      </w:divBdr>
                                      <w:divsChild>
                                        <w:div w:id="1648051109">
                                          <w:marLeft w:val="0"/>
                                          <w:marRight w:val="0"/>
                                          <w:marTop w:val="0"/>
                                          <w:marBottom w:val="0"/>
                                          <w:divBdr>
                                            <w:top w:val="none" w:sz="0" w:space="0" w:color="auto"/>
                                            <w:left w:val="none" w:sz="0" w:space="0" w:color="auto"/>
                                            <w:bottom w:val="none" w:sz="0" w:space="0" w:color="auto"/>
                                            <w:right w:val="none" w:sz="0" w:space="0" w:color="auto"/>
                                          </w:divBdr>
                                        </w:div>
                                        <w:div w:id="582838591">
                                          <w:marLeft w:val="0"/>
                                          <w:marRight w:val="0"/>
                                          <w:marTop w:val="120"/>
                                          <w:marBottom w:val="120"/>
                                          <w:divBdr>
                                            <w:top w:val="none" w:sz="0" w:space="0" w:color="auto"/>
                                            <w:left w:val="none" w:sz="0" w:space="0" w:color="auto"/>
                                            <w:bottom w:val="none" w:sz="0" w:space="0" w:color="auto"/>
                                            <w:right w:val="none" w:sz="0" w:space="0" w:color="auto"/>
                                          </w:divBdr>
                                        </w:div>
                                      </w:divsChild>
                                    </w:div>
                                    <w:div w:id="39867478">
                                      <w:marLeft w:val="0"/>
                                      <w:marRight w:val="0"/>
                                      <w:marTop w:val="0"/>
                                      <w:marBottom w:val="0"/>
                                      <w:divBdr>
                                        <w:top w:val="none" w:sz="0" w:space="0" w:color="auto"/>
                                        <w:left w:val="none" w:sz="0" w:space="0" w:color="auto"/>
                                        <w:bottom w:val="none" w:sz="0" w:space="0" w:color="auto"/>
                                        <w:right w:val="none" w:sz="0" w:space="0" w:color="auto"/>
                                      </w:divBdr>
                                      <w:divsChild>
                                        <w:div w:id="629214250">
                                          <w:marLeft w:val="0"/>
                                          <w:marRight w:val="0"/>
                                          <w:marTop w:val="0"/>
                                          <w:marBottom w:val="0"/>
                                          <w:divBdr>
                                            <w:top w:val="none" w:sz="0" w:space="0" w:color="auto"/>
                                            <w:left w:val="none" w:sz="0" w:space="0" w:color="auto"/>
                                            <w:bottom w:val="none" w:sz="0" w:space="0" w:color="auto"/>
                                            <w:right w:val="none" w:sz="0" w:space="0" w:color="auto"/>
                                          </w:divBdr>
                                        </w:div>
                                        <w:div w:id="1156995191">
                                          <w:marLeft w:val="0"/>
                                          <w:marRight w:val="0"/>
                                          <w:marTop w:val="120"/>
                                          <w:marBottom w:val="120"/>
                                          <w:divBdr>
                                            <w:top w:val="none" w:sz="0" w:space="0" w:color="auto"/>
                                            <w:left w:val="none" w:sz="0" w:space="0" w:color="auto"/>
                                            <w:bottom w:val="none" w:sz="0" w:space="0" w:color="auto"/>
                                            <w:right w:val="none" w:sz="0" w:space="0" w:color="auto"/>
                                          </w:divBdr>
                                        </w:div>
                                      </w:divsChild>
                                    </w:div>
                                    <w:div w:id="427312310">
                                      <w:marLeft w:val="0"/>
                                      <w:marRight w:val="0"/>
                                      <w:marTop w:val="0"/>
                                      <w:marBottom w:val="0"/>
                                      <w:divBdr>
                                        <w:top w:val="none" w:sz="0" w:space="0" w:color="auto"/>
                                        <w:left w:val="none" w:sz="0" w:space="0" w:color="auto"/>
                                        <w:bottom w:val="none" w:sz="0" w:space="0" w:color="auto"/>
                                        <w:right w:val="none" w:sz="0" w:space="0" w:color="auto"/>
                                      </w:divBdr>
                                      <w:divsChild>
                                        <w:div w:id="318971456">
                                          <w:marLeft w:val="0"/>
                                          <w:marRight w:val="0"/>
                                          <w:marTop w:val="0"/>
                                          <w:marBottom w:val="0"/>
                                          <w:divBdr>
                                            <w:top w:val="none" w:sz="0" w:space="0" w:color="auto"/>
                                            <w:left w:val="none" w:sz="0" w:space="0" w:color="auto"/>
                                            <w:bottom w:val="none" w:sz="0" w:space="0" w:color="auto"/>
                                            <w:right w:val="none" w:sz="0" w:space="0" w:color="auto"/>
                                          </w:divBdr>
                                        </w:div>
                                        <w:div w:id="467671850">
                                          <w:marLeft w:val="0"/>
                                          <w:marRight w:val="0"/>
                                          <w:marTop w:val="120"/>
                                          <w:marBottom w:val="120"/>
                                          <w:divBdr>
                                            <w:top w:val="none" w:sz="0" w:space="0" w:color="auto"/>
                                            <w:left w:val="none" w:sz="0" w:space="0" w:color="auto"/>
                                            <w:bottom w:val="none" w:sz="0" w:space="0" w:color="auto"/>
                                            <w:right w:val="none" w:sz="0" w:space="0" w:color="auto"/>
                                          </w:divBdr>
                                        </w:div>
                                      </w:divsChild>
                                    </w:div>
                                    <w:div w:id="1769080725">
                                      <w:marLeft w:val="0"/>
                                      <w:marRight w:val="0"/>
                                      <w:marTop w:val="0"/>
                                      <w:marBottom w:val="0"/>
                                      <w:divBdr>
                                        <w:top w:val="none" w:sz="0" w:space="0" w:color="auto"/>
                                        <w:left w:val="none" w:sz="0" w:space="0" w:color="auto"/>
                                        <w:bottom w:val="none" w:sz="0" w:space="0" w:color="auto"/>
                                        <w:right w:val="none" w:sz="0" w:space="0" w:color="auto"/>
                                      </w:divBdr>
                                      <w:divsChild>
                                        <w:div w:id="212737715">
                                          <w:marLeft w:val="0"/>
                                          <w:marRight w:val="0"/>
                                          <w:marTop w:val="0"/>
                                          <w:marBottom w:val="0"/>
                                          <w:divBdr>
                                            <w:top w:val="none" w:sz="0" w:space="0" w:color="auto"/>
                                            <w:left w:val="none" w:sz="0" w:space="0" w:color="auto"/>
                                            <w:bottom w:val="none" w:sz="0" w:space="0" w:color="auto"/>
                                            <w:right w:val="none" w:sz="0" w:space="0" w:color="auto"/>
                                          </w:divBdr>
                                        </w:div>
                                        <w:div w:id="1511095584">
                                          <w:marLeft w:val="0"/>
                                          <w:marRight w:val="0"/>
                                          <w:marTop w:val="120"/>
                                          <w:marBottom w:val="120"/>
                                          <w:divBdr>
                                            <w:top w:val="none" w:sz="0" w:space="0" w:color="auto"/>
                                            <w:left w:val="none" w:sz="0" w:space="0" w:color="auto"/>
                                            <w:bottom w:val="none" w:sz="0" w:space="0" w:color="auto"/>
                                            <w:right w:val="none" w:sz="0" w:space="0" w:color="auto"/>
                                          </w:divBdr>
                                        </w:div>
                                      </w:divsChild>
                                    </w:div>
                                    <w:div w:id="25258835">
                                      <w:marLeft w:val="0"/>
                                      <w:marRight w:val="0"/>
                                      <w:marTop w:val="0"/>
                                      <w:marBottom w:val="0"/>
                                      <w:divBdr>
                                        <w:top w:val="none" w:sz="0" w:space="0" w:color="auto"/>
                                        <w:left w:val="none" w:sz="0" w:space="0" w:color="auto"/>
                                        <w:bottom w:val="none" w:sz="0" w:space="0" w:color="auto"/>
                                        <w:right w:val="none" w:sz="0" w:space="0" w:color="auto"/>
                                      </w:divBdr>
                                      <w:divsChild>
                                        <w:div w:id="1626279472">
                                          <w:marLeft w:val="0"/>
                                          <w:marRight w:val="0"/>
                                          <w:marTop w:val="0"/>
                                          <w:marBottom w:val="0"/>
                                          <w:divBdr>
                                            <w:top w:val="none" w:sz="0" w:space="0" w:color="auto"/>
                                            <w:left w:val="none" w:sz="0" w:space="0" w:color="auto"/>
                                            <w:bottom w:val="none" w:sz="0" w:space="0" w:color="auto"/>
                                            <w:right w:val="none" w:sz="0" w:space="0" w:color="auto"/>
                                          </w:divBdr>
                                        </w:div>
                                        <w:div w:id="1563566019">
                                          <w:marLeft w:val="0"/>
                                          <w:marRight w:val="0"/>
                                          <w:marTop w:val="120"/>
                                          <w:marBottom w:val="120"/>
                                          <w:divBdr>
                                            <w:top w:val="none" w:sz="0" w:space="0" w:color="auto"/>
                                            <w:left w:val="none" w:sz="0" w:space="0" w:color="auto"/>
                                            <w:bottom w:val="none" w:sz="0" w:space="0" w:color="auto"/>
                                            <w:right w:val="none" w:sz="0" w:space="0" w:color="auto"/>
                                          </w:divBdr>
                                        </w:div>
                                      </w:divsChild>
                                    </w:div>
                                    <w:div w:id="932862666">
                                      <w:marLeft w:val="0"/>
                                      <w:marRight w:val="0"/>
                                      <w:marTop w:val="0"/>
                                      <w:marBottom w:val="0"/>
                                      <w:divBdr>
                                        <w:top w:val="none" w:sz="0" w:space="0" w:color="auto"/>
                                        <w:left w:val="none" w:sz="0" w:space="0" w:color="auto"/>
                                        <w:bottom w:val="none" w:sz="0" w:space="0" w:color="auto"/>
                                        <w:right w:val="none" w:sz="0" w:space="0" w:color="auto"/>
                                      </w:divBdr>
                                      <w:divsChild>
                                        <w:div w:id="80951524">
                                          <w:marLeft w:val="0"/>
                                          <w:marRight w:val="0"/>
                                          <w:marTop w:val="0"/>
                                          <w:marBottom w:val="0"/>
                                          <w:divBdr>
                                            <w:top w:val="none" w:sz="0" w:space="0" w:color="auto"/>
                                            <w:left w:val="none" w:sz="0" w:space="0" w:color="auto"/>
                                            <w:bottom w:val="none" w:sz="0" w:space="0" w:color="auto"/>
                                            <w:right w:val="none" w:sz="0" w:space="0" w:color="auto"/>
                                          </w:divBdr>
                                        </w:div>
                                        <w:div w:id="418602322">
                                          <w:marLeft w:val="0"/>
                                          <w:marRight w:val="0"/>
                                          <w:marTop w:val="120"/>
                                          <w:marBottom w:val="120"/>
                                          <w:divBdr>
                                            <w:top w:val="none" w:sz="0" w:space="0" w:color="auto"/>
                                            <w:left w:val="none" w:sz="0" w:space="0" w:color="auto"/>
                                            <w:bottom w:val="none" w:sz="0" w:space="0" w:color="auto"/>
                                            <w:right w:val="none" w:sz="0" w:space="0" w:color="auto"/>
                                          </w:divBdr>
                                        </w:div>
                                      </w:divsChild>
                                    </w:div>
                                    <w:div w:id="1642155390">
                                      <w:marLeft w:val="0"/>
                                      <w:marRight w:val="0"/>
                                      <w:marTop w:val="0"/>
                                      <w:marBottom w:val="0"/>
                                      <w:divBdr>
                                        <w:top w:val="none" w:sz="0" w:space="0" w:color="auto"/>
                                        <w:left w:val="none" w:sz="0" w:space="0" w:color="auto"/>
                                        <w:bottom w:val="none" w:sz="0" w:space="0" w:color="auto"/>
                                        <w:right w:val="none" w:sz="0" w:space="0" w:color="auto"/>
                                      </w:divBdr>
                                      <w:divsChild>
                                        <w:div w:id="167909020">
                                          <w:marLeft w:val="0"/>
                                          <w:marRight w:val="0"/>
                                          <w:marTop w:val="0"/>
                                          <w:marBottom w:val="0"/>
                                          <w:divBdr>
                                            <w:top w:val="none" w:sz="0" w:space="0" w:color="auto"/>
                                            <w:left w:val="none" w:sz="0" w:space="0" w:color="auto"/>
                                            <w:bottom w:val="none" w:sz="0" w:space="0" w:color="auto"/>
                                            <w:right w:val="none" w:sz="0" w:space="0" w:color="auto"/>
                                          </w:divBdr>
                                        </w:div>
                                        <w:div w:id="1644697911">
                                          <w:marLeft w:val="0"/>
                                          <w:marRight w:val="0"/>
                                          <w:marTop w:val="120"/>
                                          <w:marBottom w:val="120"/>
                                          <w:divBdr>
                                            <w:top w:val="none" w:sz="0" w:space="0" w:color="auto"/>
                                            <w:left w:val="none" w:sz="0" w:space="0" w:color="auto"/>
                                            <w:bottom w:val="none" w:sz="0" w:space="0" w:color="auto"/>
                                            <w:right w:val="none" w:sz="0" w:space="0" w:color="auto"/>
                                          </w:divBdr>
                                        </w:div>
                                      </w:divsChild>
                                    </w:div>
                                    <w:div w:id="2027708681">
                                      <w:marLeft w:val="0"/>
                                      <w:marRight w:val="0"/>
                                      <w:marTop w:val="0"/>
                                      <w:marBottom w:val="0"/>
                                      <w:divBdr>
                                        <w:top w:val="none" w:sz="0" w:space="0" w:color="auto"/>
                                        <w:left w:val="none" w:sz="0" w:space="0" w:color="auto"/>
                                        <w:bottom w:val="none" w:sz="0" w:space="0" w:color="auto"/>
                                        <w:right w:val="none" w:sz="0" w:space="0" w:color="auto"/>
                                      </w:divBdr>
                                      <w:divsChild>
                                        <w:div w:id="11536020">
                                          <w:marLeft w:val="0"/>
                                          <w:marRight w:val="0"/>
                                          <w:marTop w:val="0"/>
                                          <w:marBottom w:val="0"/>
                                          <w:divBdr>
                                            <w:top w:val="none" w:sz="0" w:space="0" w:color="auto"/>
                                            <w:left w:val="none" w:sz="0" w:space="0" w:color="auto"/>
                                            <w:bottom w:val="none" w:sz="0" w:space="0" w:color="auto"/>
                                            <w:right w:val="none" w:sz="0" w:space="0" w:color="auto"/>
                                          </w:divBdr>
                                        </w:div>
                                        <w:div w:id="1815373684">
                                          <w:marLeft w:val="0"/>
                                          <w:marRight w:val="0"/>
                                          <w:marTop w:val="120"/>
                                          <w:marBottom w:val="120"/>
                                          <w:divBdr>
                                            <w:top w:val="none" w:sz="0" w:space="0" w:color="auto"/>
                                            <w:left w:val="none" w:sz="0" w:space="0" w:color="auto"/>
                                            <w:bottom w:val="none" w:sz="0" w:space="0" w:color="auto"/>
                                            <w:right w:val="none" w:sz="0" w:space="0" w:color="auto"/>
                                          </w:divBdr>
                                        </w:div>
                                      </w:divsChild>
                                    </w:div>
                                    <w:div w:id="1355880358">
                                      <w:marLeft w:val="0"/>
                                      <w:marRight w:val="0"/>
                                      <w:marTop w:val="0"/>
                                      <w:marBottom w:val="0"/>
                                      <w:divBdr>
                                        <w:top w:val="none" w:sz="0" w:space="0" w:color="auto"/>
                                        <w:left w:val="none" w:sz="0" w:space="0" w:color="auto"/>
                                        <w:bottom w:val="none" w:sz="0" w:space="0" w:color="auto"/>
                                        <w:right w:val="none" w:sz="0" w:space="0" w:color="auto"/>
                                      </w:divBdr>
                                      <w:divsChild>
                                        <w:div w:id="1219047389">
                                          <w:marLeft w:val="0"/>
                                          <w:marRight w:val="0"/>
                                          <w:marTop w:val="0"/>
                                          <w:marBottom w:val="0"/>
                                          <w:divBdr>
                                            <w:top w:val="none" w:sz="0" w:space="0" w:color="auto"/>
                                            <w:left w:val="none" w:sz="0" w:space="0" w:color="auto"/>
                                            <w:bottom w:val="none" w:sz="0" w:space="0" w:color="auto"/>
                                            <w:right w:val="none" w:sz="0" w:space="0" w:color="auto"/>
                                          </w:divBdr>
                                        </w:div>
                                        <w:div w:id="1053695587">
                                          <w:marLeft w:val="0"/>
                                          <w:marRight w:val="0"/>
                                          <w:marTop w:val="120"/>
                                          <w:marBottom w:val="120"/>
                                          <w:divBdr>
                                            <w:top w:val="none" w:sz="0" w:space="0" w:color="auto"/>
                                            <w:left w:val="none" w:sz="0" w:space="0" w:color="auto"/>
                                            <w:bottom w:val="none" w:sz="0" w:space="0" w:color="auto"/>
                                            <w:right w:val="none" w:sz="0" w:space="0" w:color="auto"/>
                                          </w:divBdr>
                                        </w:div>
                                      </w:divsChild>
                                    </w:div>
                                    <w:div w:id="1404140029">
                                      <w:marLeft w:val="0"/>
                                      <w:marRight w:val="0"/>
                                      <w:marTop w:val="0"/>
                                      <w:marBottom w:val="0"/>
                                      <w:divBdr>
                                        <w:top w:val="none" w:sz="0" w:space="0" w:color="auto"/>
                                        <w:left w:val="none" w:sz="0" w:space="0" w:color="auto"/>
                                        <w:bottom w:val="none" w:sz="0" w:space="0" w:color="auto"/>
                                        <w:right w:val="none" w:sz="0" w:space="0" w:color="auto"/>
                                      </w:divBdr>
                                      <w:divsChild>
                                        <w:div w:id="1492141250">
                                          <w:marLeft w:val="0"/>
                                          <w:marRight w:val="0"/>
                                          <w:marTop w:val="0"/>
                                          <w:marBottom w:val="0"/>
                                          <w:divBdr>
                                            <w:top w:val="none" w:sz="0" w:space="0" w:color="auto"/>
                                            <w:left w:val="none" w:sz="0" w:space="0" w:color="auto"/>
                                            <w:bottom w:val="none" w:sz="0" w:space="0" w:color="auto"/>
                                            <w:right w:val="none" w:sz="0" w:space="0" w:color="auto"/>
                                          </w:divBdr>
                                        </w:div>
                                        <w:div w:id="1859544587">
                                          <w:marLeft w:val="0"/>
                                          <w:marRight w:val="0"/>
                                          <w:marTop w:val="120"/>
                                          <w:marBottom w:val="120"/>
                                          <w:divBdr>
                                            <w:top w:val="none" w:sz="0" w:space="0" w:color="auto"/>
                                            <w:left w:val="none" w:sz="0" w:space="0" w:color="auto"/>
                                            <w:bottom w:val="none" w:sz="0" w:space="0" w:color="auto"/>
                                            <w:right w:val="none" w:sz="0" w:space="0" w:color="auto"/>
                                          </w:divBdr>
                                        </w:div>
                                      </w:divsChild>
                                    </w:div>
                                    <w:div w:id="95560609">
                                      <w:marLeft w:val="0"/>
                                      <w:marRight w:val="0"/>
                                      <w:marTop w:val="0"/>
                                      <w:marBottom w:val="0"/>
                                      <w:divBdr>
                                        <w:top w:val="none" w:sz="0" w:space="0" w:color="auto"/>
                                        <w:left w:val="none" w:sz="0" w:space="0" w:color="auto"/>
                                        <w:bottom w:val="none" w:sz="0" w:space="0" w:color="auto"/>
                                        <w:right w:val="none" w:sz="0" w:space="0" w:color="auto"/>
                                      </w:divBdr>
                                      <w:divsChild>
                                        <w:div w:id="330641280">
                                          <w:marLeft w:val="0"/>
                                          <w:marRight w:val="0"/>
                                          <w:marTop w:val="0"/>
                                          <w:marBottom w:val="0"/>
                                          <w:divBdr>
                                            <w:top w:val="none" w:sz="0" w:space="0" w:color="auto"/>
                                            <w:left w:val="none" w:sz="0" w:space="0" w:color="auto"/>
                                            <w:bottom w:val="none" w:sz="0" w:space="0" w:color="auto"/>
                                            <w:right w:val="none" w:sz="0" w:space="0" w:color="auto"/>
                                          </w:divBdr>
                                        </w:div>
                                        <w:div w:id="1689023776">
                                          <w:marLeft w:val="0"/>
                                          <w:marRight w:val="0"/>
                                          <w:marTop w:val="120"/>
                                          <w:marBottom w:val="120"/>
                                          <w:divBdr>
                                            <w:top w:val="none" w:sz="0" w:space="0" w:color="auto"/>
                                            <w:left w:val="none" w:sz="0" w:space="0" w:color="auto"/>
                                            <w:bottom w:val="none" w:sz="0" w:space="0" w:color="auto"/>
                                            <w:right w:val="none" w:sz="0" w:space="0" w:color="auto"/>
                                          </w:divBdr>
                                        </w:div>
                                      </w:divsChild>
                                    </w:div>
                                    <w:div w:id="701248932">
                                      <w:marLeft w:val="0"/>
                                      <w:marRight w:val="0"/>
                                      <w:marTop w:val="0"/>
                                      <w:marBottom w:val="0"/>
                                      <w:divBdr>
                                        <w:top w:val="none" w:sz="0" w:space="0" w:color="auto"/>
                                        <w:left w:val="none" w:sz="0" w:space="0" w:color="auto"/>
                                        <w:bottom w:val="none" w:sz="0" w:space="0" w:color="auto"/>
                                        <w:right w:val="none" w:sz="0" w:space="0" w:color="auto"/>
                                      </w:divBdr>
                                      <w:divsChild>
                                        <w:div w:id="1904484124">
                                          <w:marLeft w:val="0"/>
                                          <w:marRight w:val="0"/>
                                          <w:marTop w:val="0"/>
                                          <w:marBottom w:val="0"/>
                                          <w:divBdr>
                                            <w:top w:val="none" w:sz="0" w:space="0" w:color="auto"/>
                                            <w:left w:val="none" w:sz="0" w:space="0" w:color="auto"/>
                                            <w:bottom w:val="none" w:sz="0" w:space="0" w:color="auto"/>
                                            <w:right w:val="none" w:sz="0" w:space="0" w:color="auto"/>
                                          </w:divBdr>
                                        </w:div>
                                        <w:div w:id="1987976625">
                                          <w:marLeft w:val="0"/>
                                          <w:marRight w:val="0"/>
                                          <w:marTop w:val="120"/>
                                          <w:marBottom w:val="120"/>
                                          <w:divBdr>
                                            <w:top w:val="none" w:sz="0" w:space="0" w:color="auto"/>
                                            <w:left w:val="none" w:sz="0" w:space="0" w:color="auto"/>
                                            <w:bottom w:val="none" w:sz="0" w:space="0" w:color="auto"/>
                                            <w:right w:val="none" w:sz="0" w:space="0" w:color="auto"/>
                                          </w:divBdr>
                                        </w:div>
                                      </w:divsChild>
                                    </w:div>
                                    <w:div w:id="1816874340">
                                      <w:marLeft w:val="0"/>
                                      <w:marRight w:val="0"/>
                                      <w:marTop w:val="0"/>
                                      <w:marBottom w:val="0"/>
                                      <w:divBdr>
                                        <w:top w:val="none" w:sz="0" w:space="0" w:color="auto"/>
                                        <w:left w:val="none" w:sz="0" w:space="0" w:color="auto"/>
                                        <w:bottom w:val="none" w:sz="0" w:space="0" w:color="auto"/>
                                        <w:right w:val="none" w:sz="0" w:space="0" w:color="auto"/>
                                      </w:divBdr>
                                      <w:divsChild>
                                        <w:div w:id="1942184277">
                                          <w:marLeft w:val="0"/>
                                          <w:marRight w:val="0"/>
                                          <w:marTop w:val="0"/>
                                          <w:marBottom w:val="0"/>
                                          <w:divBdr>
                                            <w:top w:val="none" w:sz="0" w:space="0" w:color="auto"/>
                                            <w:left w:val="none" w:sz="0" w:space="0" w:color="auto"/>
                                            <w:bottom w:val="none" w:sz="0" w:space="0" w:color="auto"/>
                                            <w:right w:val="none" w:sz="0" w:space="0" w:color="auto"/>
                                          </w:divBdr>
                                        </w:div>
                                        <w:div w:id="409429816">
                                          <w:marLeft w:val="0"/>
                                          <w:marRight w:val="0"/>
                                          <w:marTop w:val="120"/>
                                          <w:marBottom w:val="120"/>
                                          <w:divBdr>
                                            <w:top w:val="none" w:sz="0" w:space="0" w:color="auto"/>
                                            <w:left w:val="none" w:sz="0" w:space="0" w:color="auto"/>
                                            <w:bottom w:val="none" w:sz="0" w:space="0" w:color="auto"/>
                                            <w:right w:val="none" w:sz="0" w:space="0" w:color="auto"/>
                                          </w:divBdr>
                                        </w:div>
                                      </w:divsChild>
                                    </w:div>
                                    <w:div w:id="1097672915">
                                      <w:marLeft w:val="0"/>
                                      <w:marRight w:val="0"/>
                                      <w:marTop w:val="0"/>
                                      <w:marBottom w:val="0"/>
                                      <w:divBdr>
                                        <w:top w:val="none" w:sz="0" w:space="0" w:color="auto"/>
                                        <w:left w:val="none" w:sz="0" w:space="0" w:color="auto"/>
                                        <w:bottom w:val="none" w:sz="0" w:space="0" w:color="auto"/>
                                        <w:right w:val="none" w:sz="0" w:space="0" w:color="auto"/>
                                      </w:divBdr>
                                      <w:divsChild>
                                        <w:div w:id="571083167">
                                          <w:marLeft w:val="0"/>
                                          <w:marRight w:val="0"/>
                                          <w:marTop w:val="0"/>
                                          <w:marBottom w:val="0"/>
                                          <w:divBdr>
                                            <w:top w:val="none" w:sz="0" w:space="0" w:color="auto"/>
                                            <w:left w:val="none" w:sz="0" w:space="0" w:color="auto"/>
                                            <w:bottom w:val="none" w:sz="0" w:space="0" w:color="auto"/>
                                            <w:right w:val="none" w:sz="0" w:space="0" w:color="auto"/>
                                          </w:divBdr>
                                        </w:div>
                                        <w:div w:id="512767568">
                                          <w:marLeft w:val="0"/>
                                          <w:marRight w:val="0"/>
                                          <w:marTop w:val="120"/>
                                          <w:marBottom w:val="120"/>
                                          <w:divBdr>
                                            <w:top w:val="none" w:sz="0" w:space="0" w:color="auto"/>
                                            <w:left w:val="none" w:sz="0" w:space="0" w:color="auto"/>
                                            <w:bottom w:val="none" w:sz="0" w:space="0" w:color="auto"/>
                                            <w:right w:val="none" w:sz="0" w:space="0" w:color="auto"/>
                                          </w:divBdr>
                                        </w:div>
                                      </w:divsChild>
                                    </w:div>
                                    <w:div w:id="145127758">
                                      <w:marLeft w:val="0"/>
                                      <w:marRight w:val="0"/>
                                      <w:marTop w:val="0"/>
                                      <w:marBottom w:val="0"/>
                                      <w:divBdr>
                                        <w:top w:val="none" w:sz="0" w:space="0" w:color="auto"/>
                                        <w:left w:val="none" w:sz="0" w:space="0" w:color="auto"/>
                                        <w:bottom w:val="none" w:sz="0" w:space="0" w:color="auto"/>
                                        <w:right w:val="none" w:sz="0" w:space="0" w:color="auto"/>
                                      </w:divBdr>
                                      <w:divsChild>
                                        <w:div w:id="721176412">
                                          <w:marLeft w:val="0"/>
                                          <w:marRight w:val="0"/>
                                          <w:marTop w:val="0"/>
                                          <w:marBottom w:val="0"/>
                                          <w:divBdr>
                                            <w:top w:val="none" w:sz="0" w:space="0" w:color="auto"/>
                                            <w:left w:val="none" w:sz="0" w:space="0" w:color="auto"/>
                                            <w:bottom w:val="none" w:sz="0" w:space="0" w:color="auto"/>
                                            <w:right w:val="none" w:sz="0" w:space="0" w:color="auto"/>
                                          </w:divBdr>
                                        </w:div>
                                        <w:div w:id="1123184244">
                                          <w:marLeft w:val="0"/>
                                          <w:marRight w:val="0"/>
                                          <w:marTop w:val="120"/>
                                          <w:marBottom w:val="120"/>
                                          <w:divBdr>
                                            <w:top w:val="none" w:sz="0" w:space="0" w:color="auto"/>
                                            <w:left w:val="none" w:sz="0" w:space="0" w:color="auto"/>
                                            <w:bottom w:val="none" w:sz="0" w:space="0" w:color="auto"/>
                                            <w:right w:val="none" w:sz="0" w:space="0" w:color="auto"/>
                                          </w:divBdr>
                                        </w:div>
                                      </w:divsChild>
                                    </w:div>
                                    <w:div w:id="1480540459">
                                      <w:marLeft w:val="0"/>
                                      <w:marRight w:val="0"/>
                                      <w:marTop w:val="0"/>
                                      <w:marBottom w:val="0"/>
                                      <w:divBdr>
                                        <w:top w:val="none" w:sz="0" w:space="0" w:color="auto"/>
                                        <w:left w:val="none" w:sz="0" w:space="0" w:color="auto"/>
                                        <w:bottom w:val="none" w:sz="0" w:space="0" w:color="auto"/>
                                        <w:right w:val="none" w:sz="0" w:space="0" w:color="auto"/>
                                      </w:divBdr>
                                      <w:divsChild>
                                        <w:div w:id="1391264386">
                                          <w:marLeft w:val="0"/>
                                          <w:marRight w:val="0"/>
                                          <w:marTop w:val="0"/>
                                          <w:marBottom w:val="0"/>
                                          <w:divBdr>
                                            <w:top w:val="none" w:sz="0" w:space="0" w:color="auto"/>
                                            <w:left w:val="none" w:sz="0" w:space="0" w:color="auto"/>
                                            <w:bottom w:val="none" w:sz="0" w:space="0" w:color="auto"/>
                                            <w:right w:val="none" w:sz="0" w:space="0" w:color="auto"/>
                                          </w:divBdr>
                                        </w:div>
                                        <w:div w:id="1200819657">
                                          <w:marLeft w:val="0"/>
                                          <w:marRight w:val="0"/>
                                          <w:marTop w:val="120"/>
                                          <w:marBottom w:val="120"/>
                                          <w:divBdr>
                                            <w:top w:val="none" w:sz="0" w:space="0" w:color="auto"/>
                                            <w:left w:val="none" w:sz="0" w:space="0" w:color="auto"/>
                                            <w:bottom w:val="none" w:sz="0" w:space="0" w:color="auto"/>
                                            <w:right w:val="none" w:sz="0" w:space="0" w:color="auto"/>
                                          </w:divBdr>
                                        </w:div>
                                      </w:divsChild>
                                    </w:div>
                                    <w:div w:id="1440251770">
                                      <w:marLeft w:val="0"/>
                                      <w:marRight w:val="0"/>
                                      <w:marTop w:val="0"/>
                                      <w:marBottom w:val="0"/>
                                      <w:divBdr>
                                        <w:top w:val="none" w:sz="0" w:space="0" w:color="auto"/>
                                        <w:left w:val="none" w:sz="0" w:space="0" w:color="auto"/>
                                        <w:bottom w:val="none" w:sz="0" w:space="0" w:color="auto"/>
                                        <w:right w:val="none" w:sz="0" w:space="0" w:color="auto"/>
                                      </w:divBdr>
                                      <w:divsChild>
                                        <w:div w:id="871498910">
                                          <w:marLeft w:val="0"/>
                                          <w:marRight w:val="0"/>
                                          <w:marTop w:val="0"/>
                                          <w:marBottom w:val="0"/>
                                          <w:divBdr>
                                            <w:top w:val="none" w:sz="0" w:space="0" w:color="auto"/>
                                            <w:left w:val="none" w:sz="0" w:space="0" w:color="auto"/>
                                            <w:bottom w:val="none" w:sz="0" w:space="0" w:color="auto"/>
                                            <w:right w:val="none" w:sz="0" w:space="0" w:color="auto"/>
                                          </w:divBdr>
                                        </w:div>
                                        <w:div w:id="767117980">
                                          <w:marLeft w:val="0"/>
                                          <w:marRight w:val="0"/>
                                          <w:marTop w:val="120"/>
                                          <w:marBottom w:val="120"/>
                                          <w:divBdr>
                                            <w:top w:val="none" w:sz="0" w:space="0" w:color="auto"/>
                                            <w:left w:val="none" w:sz="0" w:space="0" w:color="auto"/>
                                            <w:bottom w:val="none" w:sz="0" w:space="0" w:color="auto"/>
                                            <w:right w:val="none" w:sz="0" w:space="0" w:color="auto"/>
                                          </w:divBdr>
                                        </w:div>
                                      </w:divsChild>
                                    </w:div>
                                    <w:div w:id="1659768772">
                                      <w:marLeft w:val="0"/>
                                      <w:marRight w:val="0"/>
                                      <w:marTop w:val="0"/>
                                      <w:marBottom w:val="0"/>
                                      <w:divBdr>
                                        <w:top w:val="none" w:sz="0" w:space="0" w:color="auto"/>
                                        <w:left w:val="none" w:sz="0" w:space="0" w:color="auto"/>
                                        <w:bottom w:val="none" w:sz="0" w:space="0" w:color="auto"/>
                                        <w:right w:val="none" w:sz="0" w:space="0" w:color="auto"/>
                                      </w:divBdr>
                                      <w:divsChild>
                                        <w:div w:id="449669397">
                                          <w:marLeft w:val="0"/>
                                          <w:marRight w:val="0"/>
                                          <w:marTop w:val="0"/>
                                          <w:marBottom w:val="0"/>
                                          <w:divBdr>
                                            <w:top w:val="none" w:sz="0" w:space="0" w:color="auto"/>
                                            <w:left w:val="none" w:sz="0" w:space="0" w:color="auto"/>
                                            <w:bottom w:val="none" w:sz="0" w:space="0" w:color="auto"/>
                                            <w:right w:val="none" w:sz="0" w:space="0" w:color="auto"/>
                                          </w:divBdr>
                                        </w:div>
                                        <w:div w:id="1743063106">
                                          <w:marLeft w:val="0"/>
                                          <w:marRight w:val="0"/>
                                          <w:marTop w:val="120"/>
                                          <w:marBottom w:val="120"/>
                                          <w:divBdr>
                                            <w:top w:val="none" w:sz="0" w:space="0" w:color="auto"/>
                                            <w:left w:val="none" w:sz="0" w:space="0" w:color="auto"/>
                                            <w:bottom w:val="none" w:sz="0" w:space="0" w:color="auto"/>
                                            <w:right w:val="none" w:sz="0" w:space="0" w:color="auto"/>
                                          </w:divBdr>
                                        </w:div>
                                      </w:divsChild>
                                    </w:div>
                                    <w:div w:id="1748917498">
                                      <w:marLeft w:val="0"/>
                                      <w:marRight w:val="0"/>
                                      <w:marTop w:val="0"/>
                                      <w:marBottom w:val="0"/>
                                      <w:divBdr>
                                        <w:top w:val="none" w:sz="0" w:space="0" w:color="auto"/>
                                        <w:left w:val="none" w:sz="0" w:space="0" w:color="auto"/>
                                        <w:bottom w:val="none" w:sz="0" w:space="0" w:color="auto"/>
                                        <w:right w:val="none" w:sz="0" w:space="0" w:color="auto"/>
                                      </w:divBdr>
                                      <w:divsChild>
                                        <w:div w:id="1759523175">
                                          <w:marLeft w:val="0"/>
                                          <w:marRight w:val="0"/>
                                          <w:marTop w:val="0"/>
                                          <w:marBottom w:val="0"/>
                                          <w:divBdr>
                                            <w:top w:val="none" w:sz="0" w:space="0" w:color="auto"/>
                                            <w:left w:val="none" w:sz="0" w:space="0" w:color="auto"/>
                                            <w:bottom w:val="none" w:sz="0" w:space="0" w:color="auto"/>
                                            <w:right w:val="none" w:sz="0" w:space="0" w:color="auto"/>
                                          </w:divBdr>
                                        </w:div>
                                        <w:div w:id="1683162488">
                                          <w:marLeft w:val="0"/>
                                          <w:marRight w:val="0"/>
                                          <w:marTop w:val="120"/>
                                          <w:marBottom w:val="120"/>
                                          <w:divBdr>
                                            <w:top w:val="none" w:sz="0" w:space="0" w:color="auto"/>
                                            <w:left w:val="none" w:sz="0" w:space="0" w:color="auto"/>
                                            <w:bottom w:val="none" w:sz="0" w:space="0" w:color="auto"/>
                                            <w:right w:val="none" w:sz="0" w:space="0" w:color="auto"/>
                                          </w:divBdr>
                                        </w:div>
                                      </w:divsChild>
                                    </w:div>
                                    <w:div w:id="349913977">
                                      <w:marLeft w:val="0"/>
                                      <w:marRight w:val="0"/>
                                      <w:marTop w:val="0"/>
                                      <w:marBottom w:val="0"/>
                                      <w:divBdr>
                                        <w:top w:val="none" w:sz="0" w:space="0" w:color="auto"/>
                                        <w:left w:val="none" w:sz="0" w:space="0" w:color="auto"/>
                                        <w:bottom w:val="none" w:sz="0" w:space="0" w:color="auto"/>
                                        <w:right w:val="none" w:sz="0" w:space="0" w:color="auto"/>
                                      </w:divBdr>
                                      <w:divsChild>
                                        <w:div w:id="303974979">
                                          <w:marLeft w:val="0"/>
                                          <w:marRight w:val="0"/>
                                          <w:marTop w:val="0"/>
                                          <w:marBottom w:val="0"/>
                                          <w:divBdr>
                                            <w:top w:val="none" w:sz="0" w:space="0" w:color="auto"/>
                                            <w:left w:val="none" w:sz="0" w:space="0" w:color="auto"/>
                                            <w:bottom w:val="none" w:sz="0" w:space="0" w:color="auto"/>
                                            <w:right w:val="none" w:sz="0" w:space="0" w:color="auto"/>
                                          </w:divBdr>
                                        </w:div>
                                        <w:div w:id="79253200">
                                          <w:marLeft w:val="0"/>
                                          <w:marRight w:val="0"/>
                                          <w:marTop w:val="120"/>
                                          <w:marBottom w:val="120"/>
                                          <w:divBdr>
                                            <w:top w:val="none" w:sz="0" w:space="0" w:color="auto"/>
                                            <w:left w:val="none" w:sz="0" w:space="0" w:color="auto"/>
                                            <w:bottom w:val="none" w:sz="0" w:space="0" w:color="auto"/>
                                            <w:right w:val="none" w:sz="0" w:space="0" w:color="auto"/>
                                          </w:divBdr>
                                        </w:div>
                                      </w:divsChild>
                                    </w:div>
                                    <w:div w:id="526648719">
                                      <w:marLeft w:val="0"/>
                                      <w:marRight w:val="0"/>
                                      <w:marTop w:val="0"/>
                                      <w:marBottom w:val="0"/>
                                      <w:divBdr>
                                        <w:top w:val="none" w:sz="0" w:space="0" w:color="auto"/>
                                        <w:left w:val="none" w:sz="0" w:space="0" w:color="auto"/>
                                        <w:bottom w:val="none" w:sz="0" w:space="0" w:color="auto"/>
                                        <w:right w:val="none" w:sz="0" w:space="0" w:color="auto"/>
                                      </w:divBdr>
                                      <w:divsChild>
                                        <w:div w:id="313722147">
                                          <w:marLeft w:val="0"/>
                                          <w:marRight w:val="0"/>
                                          <w:marTop w:val="0"/>
                                          <w:marBottom w:val="0"/>
                                          <w:divBdr>
                                            <w:top w:val="none" w:sz="0" w:space="0" w:color="auto"/>
                                            <w:left w:val="none" w:sz="0" w:space="0" w:color="auto"/>
                                            <w:bottom w:val="none" w:sz="0" w:space="0" w:color="auto"/>
                                            <w:right w:val="none" w:sz="0" w:space="0" w:color="auto"/>
                                          </w:divBdr>
                                        </w:div>
                                        <w:div w:id="304823237">
                                          <w:marLeft w:val="0"/>
                                          <w:marRight w:val="0"/>
                                          <w:marTop w:val="120"/>
                                          <w:marBottom w:val="120"/>
                                          <w:divBdr>
                                            <w:top w:val="none" w:sz="0" w:space="0" w:color="auto"/>
                                            <w:left w:val="none" w:sz="0" w:space="0" w:color="auto"/>
                                            <w:bottom w:val="none" w:sz="0" w:space="0" w:color="auto"/>
                                            <w:right w:val="none" w:sz="0" w:space="0" w:color="auto"/>
                                          </w:divBdr>
                                        </w:div>
                                      </w:divsChild>
                                    </w:div>
                                    <w:div w:id="1740135925">
                                      <w:marLeft w:val="0"/>
                                      <w:marRight w:val="0"/>
                                      <w:marTop w:val="0"/>
                                      <w:marBottom w:val="0"/>
                                      <w:divBdr>
                                        <w:top w:val="none" w:sz="0" w:space="0" w:color="auto"/>
                                        <w:left w:val="none" w:sz="0" w:space="0" w:color="auto"/>
                                        <w:bottom w:val="none" w:sz="0" w:space="0" w:color="auto"/>
                                        <w:right w:val="none" w:sz="0" w:space="0" w:color="auto"/>
                                      </w:divBdr>
                                      <w:divsChild>
                                        <w:div w:id="1333676554">
                                          <w:marLeft w:val="0"/>
                                          <w:marRight w:val="0"/>
                                          <w:marTop w:val="0"/>
                                          <w:marBottom w:val="0"/>
                                          <w:divBdr>
                                            <w:top w:val="none" w:sz="0" w:space="0" w:color="auto"/>
                                            <w:left w:val="none" w:sz="0" w:space="0" w:color="auto"/>
                                            <w:bottom w:val="none" w:sz="0" w:space="0" w:color="auto"/>
                                            <w:right w:val="none" w:sz="0" w:space="0" w:color="auto"/>
                                          </w:divBdr>
                                        </w:div>
                                        <w:div w:id="1921791529">
                                          <w:marLeft w:val="0"/>
                                          <w:marRight w:val="0"/>
                                          <w:marTop w:val="120"/>
                                          <w:marBottom w:val="120"/>
                                          <w:divBdr>
                                            <w:top w:val="none" w:sz="0" w:space="0" w:color="auto"/>
                                            <w:left w:val="none" w:sz="0" w:space="0" w:color="auto"/>
                                            <w:bottom w:val="none" w:sz="0" w:space="0" w:color="auto"/>
                                            <w:right w:val="none" w:sz="0" w:space="0" w:color="auto"/>
                                          </w:divBdr>
                                        </w:div>
                                      </w:divsChild>
                                    </w:div>
                                    <w:div w:id="1655448100">
                                      <w:marLeft w:val="0"/>
                                      <w:marRight w:val="0"/>
                                      <w:marTop w:val="0"/>
                                      <w:marBottom w:val="0"/>
                                      <w:divBdr>
                                        <w:top w:val="none" w:sz="0" w:space="0" w:color="auto"/>
                                        <w:left w:val="none" w:sz="0" w:space="0" w:color="auto"/>
                                        <w:bottom w:val="none" w:sz="0" w:space="0" w:color="auto"/>
                                        <w:right w:val="none" w:sz="0" w:space="0" w:color="auto"/>
                                      </w:divBdr>
                                      <w:divsChild>
                                        <w:div w:id="335113655">
                                          <w:marLeft w:val="0"/>
                                          <w:marRight w:val="0"/>
                                          <w:marTop w:val="0"/>
                                          <w:marBottom w:val="0"/>
                                          <w:divBdr>
                                            <w:top w:val="none" w:sz="0" w:space="0" w:color="auto"/>
                                            <w:left w:val="none" w:sz="0" w:space="0" w:color="auto"/>
                                            <w:bottom w:val="none" w:sz="0" w:space="0" w:color="auto"/>
                                            <w:right w:val="none" w:sz="0" w:space="0" w:color="auto"/>
                                          </w:divBdr>
                                        </w:div>
                                        <w:div w:id="621886894">
                                          <w:marLeft w:val="0"/>
                                          <w:marRight w:val="0"/>
                                          <w:marTop w:val="120"/>
                                          <w:marBottom w:val="120"/>
                                          <w:divBdr>
                                            <w:top w:val="none" w:sz="0" w:space="0" w:color="auto"/>
                                            <w:left w:val="none" w:sz="0" w:space="0" w:color="auto"/>
                                            <w:bottom w:val="none" w:sz="0" w:space="0" w:color="auto"/>
                                            <w:right w:val="none" w:sz="0" w:space="0" w:color="auto"/>
                                          </w:divBdr>
                                        </w:div>
                                      </w:divsChild>
                                    </w:div>
                                    <w:div w:id="1583104747">
                                      <w:marLeft w:val="0"/>
                                      <w:marRight w:val="0"/>
                                      <w:marTop w:val="0"/>
                                      <w:marBottom w:val="0"/>
                                      <w:divBdr>
                                        <w:top w:val="none" w:sz="0" w:space="0" w:color="auto"/>
                                        <w:left w:val="none" w:sz="0" w:space="0" w:color="auto"/>
                                        <w:bottom w:val="none" w:sz="0" w:space="0" w:color="auto"/>
                                        <w:right w:val="none" w:sz="0" w:space="0" w:color="auto"/>
                                      </w:divBdr>
                                      <w:divsChild>
                                        <w:div w:id="1266689453">
                                          <w:marLeft w:val="0"/>
                                          <w:marRight w:val="0"/>
                                          <w:marTop w:val="0"/>
                                          <w:marBottom w:val="0"/>
                                          <w:divBdr>
                                            <w:top w:val="none" w:sz="0" w:space="0" w:color="auto"/>
                                            <w:left w:val="none" w:sz="0" w:space="0" w:color="auto"/>
                                            <w:bottom w:val="none" w:sz="0" w:space="0" w:color="auto"/>
                                            <w:right w:val="none" w:sz="0" w:space="0" w:color="auto"/>
                                          </w:divBdr>
                                        </w:div>
                                        <w:div w:id="61025542">
                                          <w:marLeft w:val="0"/>
                                          <w:marRight w:val="0"/>
                                          <w:marTop w:val="120"/>
                                          <w:marBottom w:val="120"/>
                                          <w:divBdr>
                                            <w:top w:val="none" w:sz="0" w:space="0" w:color="auto"/>
                                            <w:left w:val="none" w:sz="0" w:space="0" w:color="auto"/>
                                            <w:bottom w:val="none" w:sz="0" w:space="0" w:color="auto"/>
                                            <w:right w:val="none" w:sz="0" w:space="0" w:color="auto"/>
                                          </w:divBdr>
                                        </w:div>
                                      </w:divsChild>
                                    </w:div>
                                    <w:div w:id="1142625210">
                                      <w:marLeft w:val="0"/>
                                      <w:marRight w:val="0"/>
                                      <w:marTop w:val="0"/>
                                      <w:marBottom w:val="0"/>
                                      <w:divBdr>
                                        <w:top w:val="none" w:sz="0" w:space="0" w:color="auto"/>
                                        <w:left w:val="none" w:sz="0" w:space="0" w:color="auto"/>
                                        <w:bottom w:val="none" w:sz="0" w:space="0" w:color="auto"/>
                                        <w:right w:val="none" w:sz="0" w:space="0" w:color="auto"/>
                                      </w:divBdr>
                                      <w:divsChild>
                                        <w:div w:id="1488861489">
                                          <w:marLeft w:val="0"/>
                                          <w:marRight w:val="0"/>
                                          <w:marTop w:val="0"/>
                                          <w:marBottom w:val="0"/>
                                          <w:divBdr>
                                            <w:top w:val="none" w:sz="0" w:space="0" w:color="auto"/>
                                            <w:left w:val="none" w:sz="0" w:space="0" w:color="auto"/>
                                            <w:bottom w:val="none" w:sz="0" w:space="0" w:color="auto"/>
                                            <w:right w:val="none" w:sz="0" w:space="0" w:color="auto"/>
                                          </w:divBdr>
                                        </w:div>
                                        <w:div w:id="777213770">
                                          <w:marLeft w:val="0"/>
                                          <w:marRight w:val="0"/>
                                          <w:marTop w:val="120"/>
                                          <w:marBottom w:val="120"/>
                                          <w:divBdr>
                                            <w:top w:val="none" w:sz="0" w:space="0" w:color="auto"/>
                                            <w:left w:val="none" w:sz="0" w:space="0" w:color="auto"/>
                                            <w:bottom w:val="none" w:sz="0" w:space="0" w:color="auto"/>
                                            <w:right w:val="none" w:sz="0" w:space="0" w:color="auto"/>
                                          </w:divBdr>
                                        </w:div>
                                      </w:divsChild>
                                    </w:div>
                                    <w:div w:id="743340788">
                                      <w:marLeft w:val="0"/>
                                      <w:marRight w:val="0"/>
                                      <w:marTop w:val="0"/>
                                      <w:marBottom w:val="0"/>
                                      <w:divBdr>
                                        <w:top w:val="none" w:sz="0" w:space="0" w:color="auto"/>
                                        <w:left w:val="none" w:sz="0" w:space="0" w:color="auto"/>
                                        <w:bottom w:val="none" w:sz="0" w:space="0" w:color="auto"/>
                                        <w:right w:val="none" w:sz="0" w:space="0" w:color="auto"/>
                                      </w:divBdr>
                                      <w:divsChild>
                                        <w:div w:id="1431046889">
                                          <w:marLeft w:val="0"/>
                                          <w:marRight w:val="0"/>
                                          <w:marTop w:val="0"/>
                                          <w:marBottom w:val="0"/>
                                          <w:divBdr>
                                            <w:top w:val="none" w:sz="0" w:space="0" w:color="auto"/>
                                            <w:left w:val="none" w:sz="0" w:space="0" w:color="auto"/>
                                            <w:bottom w:val="none" w:sz="0" w:space="0" w:color="auto"/>
                                            <w:right w:val="none" w:sz="0" w:space="0" w:color="auto"/>
                                          </w:divBdr>
                                        </w:div>
                                        <w:div w:id="541939522">
                                          <w:marLeft w:val="0"/>
                                          <w:marRight w:val="0"/>
                                          <w:marTop w:val="120"/>
                                          <w:marBottom w:val="120"/>
                                          <w:divBdr>
                                            <w:top w:val="none" w:sz="0" w:space="0" w:color="auto"/>
                                            <w:left w:val="none" w:sz="0" w:space="0" w:color="auto"/>
                                            <w:bottom w:val="none" w:sz="0" w:space="0" w:color="auto"/>
                                            <w:right w:val="none" w:sz="0" w:space="0" w:color="auto"/>
                                          </w:divBdr>
                                        </w:div>
                                      </w:divsChild>
                                    </w:div>
                                    <w:div w:id="315035303">
                                      <w:marLeft w:val="0"/>
                                      <w:marRight w:val="0"/>
                                      <w:marTop w:val="0"/>
                                      <w:marBottom w:val="0"/>
                                      <w:divBdr>
                                        <w:top w:val="none" w:sz="0" w:space="0" w:color="auto"/>
                                        <w:left w:val="none" w:sz="0" w:space="0" w:color="auto"/>
                                        <w:bottom w:val="none" w:sz="0" w:space="0" w:color="auto"/>
                                        <w:right w:val="none" w:sz="0" w:space="0" w:color="auto"/>
                                      </w:divBdr>
                                      <w:divsChild>
                                        <w:div w:id="273899867">
                                          <w:marLeft w:val="0"/>
                                          <w:marRight w:val="0"/>
                                          <w:marTop w:val="0"/>
                                          <w:marBottom w:val="0"/>
                                          <w:divBdr>
                                            <w:top w:val="none" w:sz="0" w:space="0" w:color="auto"/>
                                            <w:left w:val="none" w:sz="0" w:space="0" w:color="auto"/>
                                            <w:bottom w:val="none" w:sz="0" w:space="0" w:color="auto"/>
                                            <w:right w:val="none" w:sz="0" w:space="0" w:color="auto"/>
                                          </w:divBdr>
                                        </w:div>
                                        <w:div w:id="55250448">
                                          <w:marLeft w:val="0"/>
                                          <w:marRight w:val="0"/>
                                          <w:marTop w:val="120"/>
                                          <w:marBottom w:val="120"/>
                                          <w:divBdr>
                                            <w:top w:val="none" w:sz="0" w:space="0" w:color="auto"/>
                                            <w:left w:val="none" w:sz="0" w:space="0" w:color="auto"/>
                                            <w:bottom w:val="none" w:sz="0" w:space="0" w:color="auto"/>
                                            <w:right w:val="none" w:sz="0" w:space="0" w:color="auto"/>
                                          </w:divBdr>
                                        </w:div>
                                      </w:divsChild>
                                    </w:div>
                                    <w:div w:id="92552004">
                                      <w:marLeft w:val="0"/>
                                      <w:marRight w:val="0"/>
                                      <w:marTop w:val="0"/>
                                      <w:marBottom w:val="0"/>
                                      <w:divBdr>
                                        <w:top w:val="none" w:sz="0" w:space="0" w:color="auto"/>
                                        <w:left w:val="none" w:sz="0" w:space="0" w:color="auto"/>
                                        <w:bottom w:val="none" w:sz="0" w:space="0" w:color="auto"/>
                                        <w:right w:val="none" w:sz="0" w:space="0" w:color="auto"/>
                                      </w:divBdr>
                                      <w:divsChild>
                                        <w:div w:id="561675305">
                                          <w:marLeft w:val="0"/>
                                          <w:marRight w:val="0"/>
                                          <w:marTop w:val="0"/>
                                          <w:marBottom w:val="0"/>
                                          <w:divBdr>
                                            <w:top w:val="none" w:sz="0" w:space="0" w:color="auto"/>
                                            <w:left w:val="none" w:sz="0" w:space="0" w:color="auto"/>
                                            <w:bottom w:val="none" w:sz="0" w:space="0" w:color="auto"/>
                                            <w:right w:val="none" w:sz="0" w:space="0" w:color="auto"/>
                                          </w:divBdr>
                                        </w:div>
                                        <w:div w:id="1550798930">
                                          <w:marLeft w:val="0"/>
                                          <w:marRight w:val="0"/>
                                          <w:marTop w:val="120"/>
                                          <w:marBottom w:val="120"/>
                                          <w:divBdr>
                                            <w:top w:val="none" w:sz="0" w:space="0" w:color="auto"/>
                                            <w:left w:val="none" w:sz="0" w:space="0" w:color="auto"/>
                                            <w:bottom w:val="none" w:sz="0" w:space="0" w:color="auto"/>
                                            <w:right w:val="none" w:sz="0" w:space="0" w:color="auto"/>
                                          </w:divBdr>
                                        </w:div>
                                      </w:divsChild>
                                    </w:div>
                                    <w:div w:id="940645888">
                                      <w:marLeft w:val="0"/>
                                      <w:marRight w:val="0"/>
                                      <w:marTop w:val="0"/>
                                      <w:marBottom w:val="0"/>
                                      <w:divBdr>
                                        <w:top w:val="none" w:sz="0" w:space="0" w:color="auto"/>
                                        <w:left w:val="none" w:sz="0" w:space="0" w:color="auto"/>
                                        <w:bottom w:val="none" w:sz="0" w:space="0" w:color="auto"/>
                                        <w:right w:val="none" w:sz="0" w:space="0" w:color="auto"/>
                                      </w:divBdr>
                                      <w:divsChild>
                                        <w:div w:id="1073968265">
                                          <w:marLeft w:val="0"/>
                                          <w:marRight w:val="0"/>
                                          <w:marTop w:val="0"/>
                                          <w:marBottom w:val="0"/>
                                          <w:divBdr>
                                            <w:top w:val="none" w:sz="0" w:space="0" w:color="auto"/>
                                            <w:left w:val="none" w:sz="0" w:space="0" w:color="auto"/>
                                            <w:bottom w:val="none" w:sz="0" w:space="0" w:color="auto"/>
                                            <w:right w:val="none" w:sz="0" w:space="0" w:color="auto"/>
                                          </w:divBdr>
                                        </w:div>
                                        <w:div w:id="1555459231">
                                          <w:marLeft w:val="0"/>
                                          <w:marRight w:val="0"/>
                                          <w:marTop w:val="120"/>
                                          <w:marBottom w:val="120"/>
                                          <w:divBdr>
                                            <w:top w:val="none" w:sz="0" w:space="0" w:color="auto"/>
                                            <w:left w:val="none" w:sz="0" w:space="0" w:color="auto"/>
                                            <w:bottom w:val="none" w:sz="0" w:space="0" w:color="auto"/>
                                            <w:right w:val="none" w:sz="0" w:space="0" w:color="auto"/>
                                          </w:divBdr>
                                        </w:div>
                                      </w:divsChild>
                                    </w:div>
                                    <w:div w:id="1682856406">
                                      <w:marLeft w:val="0"/>
                                      <w:marRight w:val="0"/>
                                      <w:marTop w:val="0"/>
                                      <w:marBottom w:val="0"/>
                                      <w:divBdr>
                                        <w:top w:val="none" w:sz="0" w:space="0" w:color="auto"/>
                                        <w:left w:val="none" w:sz="0" w:space="0" w:color="auto"/>
                                        <w:bottom w:val="none" w:sz="0" w:space="0" w:color="auto"/>
                                        <w:right w:val="none" w:sz="0" w:space="0" w:color="auto"/>
                                      </w:divBdr>
                                      <w:divsChild>
                                        <w:div w:id="51001027">
                                          <w:marLeft w:val="0"/>
                                          <w:marRight w:val="0"/>
                                          <w:marTop w:val="0"/>
                                          <w:marBottom w:val="0"/>
                                          <w:divBdr>
                                            <w:top w:val="none" w:sz="0" w:space="0" w:color="auto"/>
                                            <w:left w:val="none" w:sz="0" w:space="0" w:color="auto"/>
                                            <w:bottom w:val="none" w:sz="0" w:space="0" w:color="auto"/>
                                            <w:right w:val="none" w:sz="0" w:space="0" w:color="auto"/>
                                          </w:divBdr>
                                        </w:div>
                                        <w:div w:id="1574661634">
                                          <w:marLeft w:val="0"/>
                                          <w:marRight w:val="0"/>
                                          <w:marTop w:val="120"/>
                                          <w:marBottom w:val="120"/>
                                          <w:divBdr>
                                            <w:top w:val="none" w:sz="0" w:space="0" w:color="auto"/>
                                            <w:left w:val="none" w:sz="0" w:space="0" w:color="auto"/>
                                            <w:bottom w:val="none" w:sz="0" w:space="0" w:color="auto"/>
                                            <w:right w:val="none" w:sz="0" w:space="0" w:color="auto"/>
                                          </w:divBdr>
                                        </w:div>
                                      </w:divsChild>
                                    </w:div>
                                    <w:div w:id="189493936">
                                      <w:marLeft w:val="0"/>
                                      <w:marRight w:val="0"/>
                                      <w:marTop w:val="0"/>
                                      <w:marBottom w:val="0"/>
                                      <w:divBdr>
                                        <w:top w:val="none" w:sz="0" w:space="0" w:color="auto"/>
                                        <w:left w:val="none" w:sz="0" w:space="0" w:color="auto"/>
                                        <w:bottom w:val="none" w:sz="0" w:space="0" w:color="auto"/>
                                        <w:right w:val="none" w:sz="0" w:space="0" w:color="auto"/>
                                      </w:divBdr>
                                      <w:divsChild>
                                        <w:div w:id="91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429265">
      <w:bodyDiv w:val="1"/>
      <w:marLeft w:val="0"/>
      <w:marRight w:val="0"/>
      <w:marTop w:val="0"/>
      <w:marBottom w:val="0"/>
      <w:divBdr>
        <w:top w:val="none" w:sz="0" w:space="0" w:color="auto"/>
        <w:left w:val="none" w:sz="0" w:space="0" w:color="auto"/>
        <w:bottom w:val="none" w:sz="0" w:space="0" w:color="auto"/>
        <w:right w:val="none" w:sz="0" w:space="0" w:color="auto"/>
      </w:divBdr>
    </w:div>
    <w:div w:id="863521784">
      <w:bodyDiv w:val="1"/>
      <w:marLeft w:val="0"/>
      <w:marRight w:val="0"/>
      <w:marTop w:val="0"/>
      <w:marBottom w:val="0"/>
      <w:divBdr>
        <w:top w:val="none" w:sz="0" w:space="0" w:color="auto"/>
        <w:left w:val="none" w:sz="0" w:space="0" w:color="auto"/>
        <w:bottom w:val="none" w:sz="0" w:space="0" w:color="auto"/>
        <w:right w:val="none" w:sz="0" w:space="0" w:color="auto"/>
      </w:divBdr>
    </w:div>
    <w:div w:id="867765768">
      <w:bodyDiv w:val="1"/>
      <w:marLeft w:val="0"/>
      <w:marRight w:val="0"/>
      <w:marTop w:val="0"/>
      <w:marBottom w:val="0"/>
      <w:divBdr>
        <w:top w:val="none" w:sz="0" w:space="0" w:color="auto"/>
        <w:left w:val="none" w:sz="0" w:space="0" w:color="auto"/>
        <w:bottom w:val="none" w:sz="0" w:space="0" w:color="auto"/>
        <w:right w:val="none" w:sz="0" w:space="0" w:color="auto"/>
      </w:divBdr>
    </w:div>
    <w:div w:id="1025904981">
      <w:bodyDiv w:val="1"/>
      <w:marLeft w:val="0"/>
      <w:marRight w:val="0"/>
      <w:marTop w:val="0"/>
      <w:marBottom w:val="0"/>
      <w:divBdr>
        <w:top w:val="none" w:sz="0" w:space="0" w:color="auto"/>
        <w:left w:val="none" w:sz="0" w:space="0" w:color="auto"/>
        <w:bottom w:val="none" w:sz="0" w:space="0" w:color="auto"/>
        <w:right w:val="none" w:sz="0" w:space="0" w:color="auto"/>
      </w:divBdr>
    </w:div>
    <w:div w:id="1038580391">
      <w:bodyDiv w:val="1"/>
      <w:marLeft w:val="0"/>
      <w:marRight w:val="0"/>
      <w:marTop w:val="0"/>
      <w:marBottom w:val="0"/>
      <w:divBdr>
        <w:top w:val="none" w:sz="0" w:space="0" w:color="auto"/>
        <w:left w:val="none" w:sz="0" w:space="0" w:color="auto"/>
        <w:bottom w:val="none" w:sz="0" w:space="0" w:color="auto"/>
        <w:right w:val="none" w:sz="0" w:space="0" w:color="auto"/>
      </w:divBdr>
    </w:div>
    <w:div w:id="1133214132">
      <w:bodyDiv w:val="1"/>
      <w:marLeft w:val="0"/>
      <w:marRight w:val="0"/>
      <w:marTop w:val="0"/>
      <w:marBottom w:val="0"/>
      <w:divBdr>
        <w:top w:val="none" w:sz="0" w:space="0" w:color="auto"/>
        <w:left w:val="none" w:sz="0" w:space="0" w:color="auto"/>
        <w:bottom w:val="none" w:sz="0" w:space="0" w:color="auto"/>
        <w:right w:val="none" w:sz="0" w:space="0" w:color="auto"/>
      </w:divBdr>
    </w:div>
    <w:div w:id="1140459213">
      <w:bodyDiv w:val="1"/>
      <w:marLeft w:val="0"/>
      <w:marRight w:val="0"/>
      <w:marTop w:val="0"/>
      <w:marBottom w:val="0"/>
      <w:divBdr>
        <w:top w:val="none" w:sz="0" w:space="0" w:color="auto"/>
        <w:left w:val="none" w:sz="0" w:space="0" w:color="auto"/>
        <w:bottom w:val="none" w:sz="0" w:space="0" w:color="auto"/>
        <w:right w:val="none" w:sz="0" w:space="0" w:color="auto"/>
      </w:divBdr>
    </w:div>
    <w:div w:id="1157452953">
      <w:bodyDiv w:val="1"/>
      <w:marLeft w:val="0"/>
      <w:marRight w:val="0"/>
      <w:marTop w:val="0"/>
      <w:marBottom w:val="0"/>
      <w:divBdr>
        <w:top w:val="none" w:sz="0" w:space="0" w:color="auto"/>
        <w:left w:val="none" w:sz="0" w:space="0" w:color="auto"/>
        <w:bottom w:val="none" w:sz="0" w:space="0" w:color="auto"/>
        <w:right w:val="none" w:sz="0" w:space="0" w:color="auto"/>
      </w:divBdr>
    </w:div>
    <w:div w:id="1163088813">
      <w:bodyDiv w:val="1"/>
      <w:marLeft w:val="0"/>
      <w:marRight w:val="0"/>
      <w:marTop w:val="0"/>
      <w:marBottom w:val="0"/>
      <w:divBdr>
        <w:top w:val="none" w:sz="0" w:space="0" w:color="auto"/>
        <w:left w:val="none" w:sz="0" w:space="0" w:color="auto"/>
        <w:bottom w:val="none" w:sz="0" w:space="0" w:color="auto"/>
        <w:right w:val="none" w:sz="0" w:space="0" w:color="auto"/>
      </w:divBdr>
    </w:div>
    <w:div w:id="1293369843">
      <w:bodyDiv w:val="1"/>
      <w:marLeft w:val="0"/>
      <w:marRight w:val="0"/>
      <w:marTop w:val="0"/>
      <w:marBottom w:val="0"/>
      <w:divBdr>
        <w:top w:val="none" w:sz="0" w:space="0" w:color="auto"/>
        <w:left w:val="none" w:sz="0" w:space="0" w:color="auto"/>
        <w:bottom w:val="none" w:sz="0" w:space="0" w:color="auto"/>
        <w:right w:val="none" w:sz="0" w:space="0" w:color="auto"/>
      </w:divBdr>
    </w:div>
    <w:div w:id="1315337450">
      <w:bodyDiv w:val="1"/>
      <w:marLeft w:val="0"/>
      <w:marRight w:val="0"/>
      <w:marTop w:val="0"/>
      <w:marBottom w:val="0"/>
      <w:divBdr>
        <w:top w:val="none" w:sz="0" w:space="0" w:color="auto"/>
        <w:left w:val="none" w:sz="0" w:space="0" w:color="auto"/>
        <w:bottom w:val="none" w:sz="0" w:space="0" w:color="auto"/>
        <w:right w:val="none" w:sz="0" w:space="0" w:color="auto"/>
      </w:divBdr>
    </w:div>
    <w:div w:id="1318998992">
      <w:bodyDiv w:val="1"/>
      <w:marLeft w:val="0"/>
      <w:marRight w:val="0"/>
      <w:marTop w:val="0"/>
      <w:marBottom w:val="0"/>
      <w:divBdr>
        <w:top w:val="none" w:sz="0" w:space="0" w:color="auto"/>
        <w:left w:val="none" w:sz="0" w:space="0" w:color="auto"/>
        <w:bottom w:val="none" w:sz="0" w:space="0" w:color="auto"/>
        <w:right w:val="none" w:sz="0" w:space="0" w:color="auto"/>
      </w:divBdr>
    </w:div>
    <w:div w:id="1409811409">
      <w:bodyDiv w:val="1"/>
      <w:marLeft w:val="0"/>
      <w:marRight w:val="0"/>
      <w:marTop w:val="0"/>
      <w:marBottom w:val="0"/>
      <w:divBdr>
        <w:top w:val="none" w:sz="0" w:space="0" w:color="auto"/>
        <w:left w:val="none" w:sz="0" w:space="0" w:color="auto"/>
        <w:bottom w:val="none" w:sz="0" w:space="0" w:color="auto"/>
        <w:right w:val="none" w:sz="0" w:space="0" w:color="auto"/>
      </w:divBdr>
    </w:div>
    <w:div w:id="1444501525">
      <w:bodyDiv w:val="1"/>
      <w:marLeft w:val="0"/>
      <w:marRight w:val="0"/>
      <w:marTop w:val="0"/>
      <w:marBottom w:val="0"/>
      <w:divBdr>
        <w:top w:val="none" w:sz="0" w:space="0" w:color="auto"/>
        <w:left w:val="none" w:sz="0" w:space="0" w:color="auto"/>
        <w:bottom w:val="none" w:sz="0" w:space="0" w:color="auto"/>
        <w:right w:val="none" w:sz="0" w:space="0" w:color="auto"/>
      </w:divBdr>
    </w:div>
    <w:div w:id="1481145746">
      <w:bodyDiv w:val="1"/>
      <w:marLeft w:val="0"/>
      <w:marRight w:val="0"/>
      <w:marTop w:val="0"/>
      <w:marBottom w:val="0"/>
      <w:divBdr>
        <w:top w:val="none" w:sz="0" w:space="0" w:color="auto"/>
        <w:left w:val="none" w:sz="0" w:space="0" w:color="auto"/>
        <w:bottom w:val="none" w:sz="0" w:space="0" w:color="auto"/>
        <w:right w:val="none" w:sz="0" w:space="0" w:color="auto"/>
      </w:divBdr>
    </w:div>
    <w:div w:id="1632975207">
      <w:bodyDiv w:val="1"/>
      <w:marLeft w:val="0"/>
      <w:marRight w:val="0"/>
      <w:marTop w:val="0"/>
      <w:marBottom w:val="0"/>
      <w:divBdr>
        <w:top w:val="none" w:sz="0" w:space="0" w:color="auto"/>
        <w:left w:val="none" w:sz="0" w:space="0" w:color="auto"/>
        <w:bottom w:val="none" w:sz="0" w:space="0" w:color="auto"/>
        <w:right w:val="none" w:sz="0" w:space="0" w:color="auto"/>
      </w:divBdr>
    </w:div>
    <w:div w:id="1685742467">
      <w:bodyDiv w:val="1"/>
      <w:marLeft w:val="0"/>
      <w:marRight w:val="0"/>
      <w:marTop w:val="0"/>
      <w:marBottom w:val="0"/>
      <w:divBdr>
        <w:top w:val="none" w:sz="0" w:space="0" w:color="auto"/>
        <w:left w:val="none" w:sz="0" w:space="0" w:color="auto"/>
        <w:bottom w:val="none" w:sz="0" w:space="0" w:color="auto"/>
        <w:right w:val="none" w:sz="0" w:space="0" w:color="auto"/>
      </w:divBdr>
    </w:div>
    <w:div w:id="1697929836">
      <w:bodyDiv w:val="1"/>
      <w:marLeft w:val="0"/>
      <w:marRight w:val="0"/>
      <w:marTop w:val="0"/>
      <w:marBottom w:val="0"/>
      <w:divBdr>
        <w:top w:val="none" w:sz="0" w:space="0" w:color="auto"/>
        <w:left w:val="none" w:sz="0" w:space="0" w:color="auto"/>
        <w:bottom w:val="none" w:sz="0" w:space="0" w:color="auto"/>
        <w:right w:val="none" w:sz="0" w:space="0" w:color="auto"/>
      </w:divBdr>
    </w:div>
    <w:div w:id="1708875258">
      <w:bodyDiv w:val="1"/>
      <w:marLeft w:val="0"/>
      <w:marRight w:val="0"/>
      <w:marTop w:val="0"/>
      <w:marBottom w:val="0"/>
      <w:divBdr>
        <w:top w:val="none" w:sz="0" w:space="0" w:color="auto"/>
        <w:left w:val="none" w:sz="0" w:space="0" w:color="auto"/>
        <w:bottom w:val="none" w:sz="0" w:space="0" w:color="auto"/>
        <w:right w:val="none" w:sz="0" w:space="0" w:color="auto"/>
      </w:divBdr>
    </w:div>
    <w:div w:id="1833988676">
      <w:bodyDiv w:val="1"/>
      <w:marLeft w:val="0"/>
      <w:marRight w:val="0"/>
      <w:marTop w:val="0"/>
      <w:marBottom w:val="0"/>
      <w:divBdr>
        <w:top w:val="none" w:sz="0" w:space="0" w:color="auto"/>
        <w:left w:val="none" w:sz="0" w:space="0" w:color="auto"/>
        <w:bottom w:val="none" w:sz="0" w:space="0" w:color="auto"/>
        <w:right w:val="none" w:sz="0" w:space="0" w:color="auto"/>
      </w:divBdr>
    </w:div>
    <w:div w:id="194761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hyperlink" Target="http://www.eskom.co.za/Whatweredoing/ElectricityGeneration/KoebergNuclearPowerStation/TheKoebergExperience/Pages/The_Koeberg_Experience.aspx"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sa-tied.wider.unu.edu/"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2.xml"/><Relationship Id="rId27" Type="http://schemas.openxmlformats.org/officeDocument/2006/relationships/hyperlink" Target="http://www.nersa.org.za/Admin/Document/Editor/file/News%20and%20Publications/Publications/Current%20Issues/Electricity%20Supply%20Statistics/Electricity"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SATIMGE_02\Coal%20Supply\Labour_PWR_v06_pa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enovo\Documents\Work\2019\ERC\IFPRI\Coal%20supply\Paper%20results\Book1_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SATIMGE_02\Tableau2\elcprice_pap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ATIMGE_02\Tableau2\elcprice_pap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ocuments\Work\2019\ERC\IFPRI\Coal%20supply\Paper%20results\Book1_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'Lab.Calcs.Assumptions'!$F$99</c:f>
              <c:strCache>
                <c:ptCount val="1"/>
                <c:pt idx="0">
                  <c:v>Generation</c:v>
                </c:pt>
              </c:strCache>
            </c:strRef>
          </c:tx>
          <c:spPr>
            <a:solidFill>
              <a:schemeClr val="accent6">
                <a:lumMod val="75000"/>
              </a:schemeClr>
            </a:solidFill>
            <a:ln>
              <a:solidFill>
                <a:schemeClr val="tx1"/>
              </a:solid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'Lab.Calcs.Assumptions'!$F$101:$F$104</c:f>
              <c:numCache>
                <c:formatCode>General</c:formatCode>
                <c:ptCount val="4"/>
                <c:pt idx="0">
                  <c:v>12.42</c:v>
                </c:pt>
                <c:pt idx="1">
                  <c:v>1.08</c:v>
                </c:pt>
                <c:pt idx="2" formatCode="0.00">
                  <c:v>13.5</c:v>
                </c:pt>
                <c:pt idx="3" formatCode="0.000">
                  <c:v>15.221333333333334</c:v>
                </c:pt>
              </c:numCache>
            </c:numRef>
          </c:val>
          <c:extLst>
            <c:ext xmlns:c16="http://schemas.microsoft.com/office/drawing/2014/chart" uri="{C3380CC4-5D6E-409C-BE32-E72D297353CC}">
              <c16:uniqueId val="{00000000-5395-4E89-BB04-2159FD274A98}"/>
            </c:ext>
          </c:extLst>
        </c:ser>
        <c:ser>
          <c:idx val="1"/>
          <c:order val="1"/>
          <c:tx>
            <c:strRef>
              <c:f>'Lab.Calcs.Assumptions'!$G$99</c:f>
              <c:strCache>
                <c:ptCount val="1"/>
                <c:pt idx="0">
                  <c:v>Transmission</c:v>
                </c:pt>
              </c:strCache>
            </c:strRef>
          </c:tx>
          <c:spPr>
            <a:pattFill prst="pct80">
              <a:fgClr>
                <a:schemeClr val="accent6">
                  <a:lumMod val="75000"/>
                </a:schemeClr>
              </a:fgClr>
              <a:bgClr>
                <a:schemeClr val="bg1"/>
              </a:bgClr>
            </a:pattFill>
            <a:ln>
              <a:solidFill>
                <a:schemeClr val="tx1"/>
              </a:solid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'Lab.Calcs.Assumptions'!$G$101:$G$104</c:f>
              <c:numCache>
                <c:formatCode>General</c:formatCode>
                <c:ptCount val="4"/>
                <c:pt idx="0">
                  <c:v>1.67</c:v>
                </c:pt>
                <c:pt idx="2">
                  <c:v>1.67</c:v>
                </c:pt>
              </c:numCache>
            </c:numRef>
          </c:val>
          <c:extLst>
            <c:ext xmlns:c16="http://schemas.microsoft.com/office/drawing/2014/chart" uri="{C3380CC4-5D6E-409C-BE32-E72D297353CC}">
              <c16:uniqueId val="{00000001-5395-4E89-BB04-2159FD274A98}"/>
            </c:ext>
          </c:extLst>
        </c:ser>
        <c:ser>
          <c:idx val="2"/>
          <c:order val="2"/>
          <c:tx>
            <c:strRef>
              <c:f>'Lab.Calcs.Assumptions'!$H$99</c:f>
              <c:strCache>
                <c:ptCount val="1"/>
                <c:pt idx="0">
                  <c:v>Tx+Other Corporate</c:v>
                </c:pt>
              </c:strCache>
            </c:strRef>
          </c:tx>
          <c:spPr>
            <a:pattFill prst="plaid">
              <a:fgClr>
                <a:schemeClr val="accent6">
                  <a:lumMod val="75000"/>
                </a:schemeClr>
              </a:fgClr>
              <a:bgClr>
                <a:schemeClr val="bg1"/>
              </a:bgClr>
            </a:pattFill>
            <a:ln>
              <a:solidFill>
                <a:schemeClr val="tx1"/>
              </a:solid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'Lab.Calcs.Assumptions'!$H$101:$H$104</c:f>
              <c:numCache>
                <c:formatCode>General</c:formatCode>
                <c:ptCount val="4"/>
                <c:pt idx="3" formatCode="0.000">
                  <c:v>9.7730300000000057</c:v>
                </c:pt>
              </c:numCache>
            </c:numRef>
          </c:val>
          <c:extLst>
            <c:ext xmlns:c16="http://schemas.microsoft.com/office/drawing/2014/chart" uri="{C3380CC4-5D6E-409C-BE32-E72D297353CC}">
              <c16:uniqueId val="{00000002-5395-4E89-BB04-2159FD274A98}"/>
            </c:ext>
          </c:extLst>
        </c:ser>
        <c:ser>
          <c:idx val="3"/>
          <c:order val="3"/>
          <c:tx>
            <c:strRef>
              <c:f>'Lab.Calcs.Assumptions'!$I$99</c:f>
              <c:strCache>
                <c:ptCount val="1"/>
                <c:pt idx="0">
                  <c:v>Other corporate</c:v>
                </c:pt>
              </c:strCache>
            </c:strRef>
          </c:tx>
          <c:spPr>
            <a:pattFill prst="pct60">
              <a:fgClr>
                <a:schemeClr val="accent6">
                  <a:lumMod val="75000"/>
                </a:schemeClr>
              </a:fgClr>
              <a:bgClr>
                <a:schemeClr val="bg1"/>
              </a:bgClr>
            </a:pattFill>
            <a:ln>
              <a:solidFill>
                <a:schemeClr val="tx1"/>
              </a:solid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'Lab.Calcs.Assumptions'!$I$101:$I$104</c:f>
              <c:numCache>
                <c:formatCode>0.0</c:formatCode>
                <c:ptCount val="4"/>
                <c:pt idx="0" formatCode="General">
                  <c:v>7.8299999999999983</c:v>
                </c:pt>
                <c:pt idx="1">
                  <c:v>3.7160300000000035</c:v>
                </c:pt>
                <c:pt idx="2" formatCode="General">
                  <c:v>11.546030000000002</c:v>
                </c:pt>
              </c:numCache>
            </c:numRef>
          </c:val>
          <c:extLst>
            <c:ext xmlns:c16="http://schemas.microsoft.com/office/drawing/2014/chart" uri="{C3380CC4-5D6E-409C-BE32-E72D297353CC}">
              <c16:uniqueId val="{00000003-5395-4E89-BB04-2159FD274A98}"/>
            </c:ext>
          </c:extLst>
        </c:ser>
        <c:ser>
          <c:idx val="4"/>
          <c:order val="4"/>
          <c:tx>
            <c:strRef>
              <c:f>'Lab.Calcs.Assumptions'!$J$99</c:f>
              <c:strCache>
                <c:ptCount val="1"/>
                <c:pt idx="0">
                  <c:v>Finance+HR</c:v>
                </c:pt>
              </c:strCache>
            </c:strRef>
          </c:tx>
          <c:spPr>
            <a:solidFill>
              <a:schemeClr val="accent5"/>
            </a:solidFill>
            <a:ln>
              <a:no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'Lab.Calcs.Assumptions'!$J$101:$J$104</c:f>
              <c:numCache>
                <c:formatCode>General</c:formatCode>
                <c:ptCount val="4"/>
              </c:numCache>
            </c:numRef>
          </c:val>
          <c:extLst>
            <c:ext xmlns:c16="http://schemas.microsoft.com/office/drawing/2014/chart" uri="{C3380CC4-5D6E-409C-BE32-E72D297353CC}">
              <c16:uniqueId val="{00000004-5395-4E89-BB04-2159FD274A98}"/>
            </c:ext>
          </c:extLst>
        </c:ser>
        <c:ser>
          <c:idx val="5"/>
          <c:order val="5"/>
          <c:tx>
            <c:strRef>
              <c:f>'Lab.Calcs.Assumptions'!$K$99</c:f>
              <c:strCache>
                <c:ptCount val="1"/>
                <c:pt idx="0">
                  <c:v>Eskom Rotek</c:v>
                </c:pt>
              </c:strCache>
            </c:strRef>
          </c:tx>
          <c:spPr>
            <a:solidFill>
              <a:schemeClr val="accent6"/>
            </a:solidFill>
            <a:ln>
              <a:no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'Lab.Calcs.Assumptions'!$K$101:$K$104</c:f>
              <c:numCache>
                <c:formatCode>General</c:formatCode>
                <c:ptCount val="4"/>
              </c:numCache>
            </c:numRef>
          </c:val>
          <c:extLst>
            <c:ext xmlns:c16="http://schemas.microsoft.com/office/drawing/2014/chart" uri="{C3380CC4-5D6E-409C-BE32-E72D297353CC}">
              <c16:uniqueId val="{00000005-5395-4E89-BB04-2159FD274A98}"/>
            </c:ext>
          </c:extLst>
        </c:ser>
        <c:ser>
          <c:idx val="6"/>
          <c:order val="6"/>
          <c:tx>
            <c:strRef>
              <c:f>'Lab.Calcs.Assumptions'!$L$99</c:f>
              <c:strCache>
                <c:ptCount val="1"/>
                <c:pt idx="0">
                  <c:v>New build</c:v>
                </c:pt>
              </c:strCache>
            </c:strRef>
          </c:tx>
          <c:spPr>
            <a:solidFill>
              <a:schemeClr val="accent1">
                <a:lumMod val="60000"/>
              </a:schemeClr>
            </a:solidFill>
            <a:ln>
              <a:no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'Lab.Calcs.Assumptions'!$L$101:$L$104</c:f>
              <c:numCache>
                <c:formatCode>General</c:formatCode>
                <c:ptCount val="4"/>
              </c:numCache>
            </c:numRef>
          </c:val>
          <c:extLst>
            <c:ext xmlns:c16="http://schemas.microsoft.com/office/drawing/2014/chart" uri="{C3380CC4-5D6E-409C-BE32-E72D297353CC}">
              <c16:uniqueId val="{00000006-5395-4E89-BB04-2159FD274A98}"/>
            </c:ext>
          </c:extLst>
        </c:ser>
        <c:ser>
          <c:idx val="7"/>
          <c:order val="7"/>
          <c:tx>
            <c:strRef>
              <c:f>'Lab.Calcs.Assumptions'!$M$99</c:f>
              <c:strCache>
                <c:ptCount val="1"/>
                <c:pt idx="0">
                  <c:v>Distribution</c:v>
                </c:pt>
              </c:strCache>
            </c:strRef>
          </c:tx>
          <c:spPr>
            <a:pattFill prst="pct10">
              <a:fgClr>
                <a:schemeClr val="accent6">
                  <a:lumMod val="75000"/>
                </a:schemeClr>
              </a:fgClr>
              <a:bgClr>
                <a:schemeClr val="bg1"/>
              </a:bgClr>
            </a:pattFill>
            <a:ln>
              <a:solidFill>
                <a:schemeClr val="tx1"/>
              </a:solidFill>
            </a:ln>
            <a:effectLst/>
          </c:spPr>
          <c:invertIfNegative val="0"/>
          <c:cat>
            <c:strRef>
              <c:f>'Lab.Calcs.Assumptions'!$E$101:$E$104</c:f>
              <c:strCache>
                <c:ptCount val="4"/>
                <c:pt idx="0">
                  <c:v>Eskom 2012</c:v>
                </c:pt>
                <c:pt idx="1">
                  <c:v>Munics 2012</c:v>
                </c:pt>
                <c:pt idx="2">
                  <c:v>Combined 2012</c:v>
                </c:pt>
                <c:pt idx="3">
                  <c:v>This Study</c:v>
                </c:pt>
              </c:strCache>
            </c:strRef>
          </c:cat>
          <c:val>
            <c:numRef>
              <c:f>'Lab.Calcs.Assumptions'!$M$101:$M$104</c:f>
              <c:numCache>
                <c:formatCode>General</c:formatCode>
                <c:ptCount val="4"/>
                <c:pt idx="0">
                  <c:v>22.08</c:v>
                </c:pt>
                <c:pt idx="1">
                  <c:v>23.48</c:v>
                </c:pt>
                <c:pt idx="2">
                  <c:v>45.56</c:v>
                </c:pt>
                <c:pt idx="3" formatCode="0.000">
                  <c:v>47.281333333333336</c:v>
                </c:pt>
              </c:numCache>
            </c:numRef>
          </c:val>
          <c:extLst>
            <c:ext xmlns:c16="http://schemas.microsoft.com/office/drawing/2014/chart" uri="{C3380CC4-5D6E-409C-BE32-E72D297353CC}">
              <c16:uniqueId val="{00000007-5395-4E89-BB04-2159FD274A98}"/>
            </c:ext>
          </c:extLst>
        </c:ser>
        <c:dLbls>
          <c:showLegendKey val="0"/>
          <c:showVal val="0"/>
          <c:showCatName val="0"/>
          <c:showSerName val="0"/>
          <c:showPercent val="0"/>
          <c:showBubbleSize val="0"/>
        </c:dLbls>
        <c:gapWidth val="150"/>
        <c:overlap val="100"/>
        <c:axId val="427647119"/>
        <c:axId val="421671071"/>
      </c:barChart>
      <c:catAx>
        <c:axId val="42764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71071"/>
        <c:crosses val="autoZero"/>
        <c:auto val="1"/>
        <c:lblAlgn val="ctr"/>
        <c:lblOffset val="100"/>
        <c:noMultiLvlLbl val="0"/>
      </c:catAx>
      <c:valAx>
        <c:axId val="421671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'000 employed (direct)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47119"/>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007383141992746"/>
          <c:y val="3.4013605442176874E-2"/>
          <c:w val="0.83820250045080247"/>
          <c:h val="0.88900267336712779"/>
        </c:manualLayout>
      </c:layout>
      <c:barChart>
        <c:barDir val="col"/>
        <c:grouping val="stacked"/>
        <c:varyColors val="0"/>
        <c:ser>
          <c:idx val="0"/>
          <c:order val="0"/>
          <c:tx>
            <c:strRef>
              <c:f>Sheet4!$X$10</c:f>
              <c:strCache>
                <c:ptCount val="1"/>
                <c:pt idx="0">
                  <c:v>Primary (&lt;Gr 7)</c:v>
                </c:pt>
              </c:strCache>
            </c:strRef>
          </c:tx>
          <c:spPr>
            <a:solidFill>
              <a:srgbClr val="70AD47">
                <a:lumMod val="75000"/>
              </a:srgbClr>
            </a:solidFill>
            <a:ln>
              <a:solidFill>
                <a:schemeClr val="tx1"/>
              </a:solidFill>
            </a:ln>
            <a:effectLst/>
          </c:spPr>
          <c:invertIfNegative val="0"/>
          <c:cat>
            <c:strRef>
              <c:f>Sheet4!$W$32:$W$38</c:f>
              <c:strCache>
                <c:ptCount val="7"/>
                <c:pt idx="0">
                  <c:v> Agri </c:v>
                </c:pt>
                <c:pt idx="1">
                  <c:v> Coal </c:v>
                </c:pt>
                <c:pt idx="2">
                  <c:v> Other mine </c:v>
                </c:pt>
                <c:pt idx="3">
                  <c:v> Manu </c:v>
                </c:pt>
                <c:pt idx="4">
                  <c:v>Elec</c:v>
                </c:pt>
                <c:pt idx="5">
                  <c:v> Other ind </c:v>
                </c:pt>
                <c:pt idx="6">
                  <c:v> Serv </c:v>
                </c:pt>
              </c:strCache>
            </c:strRef>
          </c:cat>
          <c:val>
            <c:numRef>
              <c:f>Sheet4!$X$32:$X$38</c:f>
              <c:numCache>
                <c:formatCode>_-* #\,##0_-;\-* #\,##0_-;_-* "-"??_-;_-@_-</c:formatCode>
                <c:ptCount val="7"/>
                <c:pt idx="0">
                  <c:v>-21.921470889990928</c:v>
                </c:pt>
                <c:pt idx="1">
                  <c:v>2.4153177546135707</c:v>
                </c:pt>
                <c:pt idx="2">
                  <c:v>-6.7775587017625867</c:v>
                </c:pt>
                <c:pt idx="3">
                  <c:v>-31.644499244439885</c:v>
                </c:pt>
                <c:pt idx="4">
                  <c:v>-0.66809554064355048</c:v>
                </c:pt>
                <c:pt idx="5">
                  <c:v>-27.850280758582471</c:v>
                </c:pt>
                <c:pt idx="6">
                  <c:v>-156.64424930909081</c:v>
                </c:pt>
              </c:numCache>
            </c:numRef>
          </c:val>
          <c:extLst>
            <c:ext xmlns:c16="http://schemas.microsoft.com/office/drawing/2014/chart" uri="{C3380CC4-5D6E-409C-BE32-E72D297353CC}">
              <c16:uniqueId val="{00000000-AFEA-4477-9E02-F9C6E4C44661}"/>
            </c:ext>
          </c:extLst>
        </c:ser>
        <c:ser>
          <c:idx val="5"/>
          <c:order val="1"/>
          <c:tx>
            <c:strRef>
              <c:f>Sheet4!$Y$10</c:f>
              <c:strCache>
                <c:ptCount val="1"/>
                <c:pt idx="0">
                  <c:v>Middle  (Gr 8-11)</c:v>
                </c:pt>
              </c:strCache>
            </c:strRef>
          </c:tx>
          <c:spPr>
            <a:pattFill prst="pct80">
              <a:fgClr>
                <a:srgbClr val="70AD47">
                  <a:lumMod val="75000"/>
                </a:srgbClr>
              </a:fgClr>
              <a:bgClr>
                <a:sysClr val="window" lastClr="FFFFFF"/>
              </a:bgClr>
            </a:pattFill>
            <a:ln>
              <a:solidFill>
                <a:schemeClr val="tx1"/>
              </a:solidFill>
            </a:ln>
            <a:effectLst/>
          </c:spPr>
          <c:invertIfNegative val="0"/>
          <c:cat>
            <c:strRef>
              <c:f>Sheet4!$W$32:$W$38</c:f>
              <c:strCache>
                <c:ptCount val="7"/>
                <c:pt idx="0">
                  <c:v> Agri </c:v>
                </c:pt>
                <c:pt idx="1">
                  <c:v> Coal </c:v>
                </c:pt>
                <c:pt idx="2">
                  <c:v> Other mine </c:v>
                </c:pt>
                <c:pt idx="3">
                  <c:v> Manu </c:v>
                </c:pt>
                <c:pt idx="4">
                  <c:v>Elec</c:v>
                </c:pt>
                <c:pt idx="5">
                  <c:v> Other ind </c:v>
                </c:pt>
                <c:pt idx="6">
                  <c:v> Serv </c:v>
                </c:pt>
              </c:strCache>
            </c:strRef>
          </c:cat>
          <c:val>
            <c:numRef>
              <c:f>Sheet4!$Y$32:$Y$38</c:f>
              <c:numCache>
                <c:formatCode>_-* #\,##0_-;\-* #\,##0_-;_-* "-"??_-;_-@_-</c:formatCode>
                <c:ptCount val="7"/>
                <c:pt idx="0">
                  <c:v>-33.115754541325032</c:v>
                </c:pt>
                <c:pt idx="1">
                  <c:v>1.77730549725519</c:v>
                </c:pt>
                <c:pt idx="2">
                  <c:v>-5.1432754413266935</c:v>
                </c:pt>
                <c:pt idx="3">
                  <c:v>-13.647254682713026</c:v>
                </c:pt>
                <c:pt idx="4">
                  <c:v>-0.58719136277320949</c:v>
                </c:pt>
                <c:pt idx="5">
                  <c:v>-22.257049360907899</c:v>
                </c:pt>
                <c:pt idx="6">
                  <c:v>-104.17905817512019</c:v>
                </c:pt>
              </c:numCache>
            </c:numRef>
          </c:val>
          <c:extLst>
            <c:ext xmlns:c16="http://schemas.microsoft.com/office/drawing/2014/chart" uri="{C3380CC4-5D6E-409C-BE32-E72D297353CC}">
              <c16:uniqueId val="{00000001-AFEA-4477-9E02-F9C6E4C44661}"/>
            </c:ext>
          </c:extLst>
        </c:ser>
        <c:ser>
          <c:idx val="3"/>
          <c:order val="2"/>
          <c:tx>
            <c:strRef>
              <c:f>Sheet4!$Z$10</c:f>
              <c:strCache>
                <c:ptCount val="1"/>
                <c:pt idx="0">
                  <c:v>Secondary  (Gr 12)</c:v>
                </c:pt>
              </c:strCache>
            </c:strRef>
          </c:tx>
          <c:spPr>
            <a:pattFill prst="pct25">
              <a:fgClr>
                <a:srgbClr val="70AD47">
                  <a:lumMod val="75000"/>
                </a:srgbClr>
              </a:fgClr>
              <a:bgClr>
                <a:sysClr val="window" lastClr="FFFFFF"/>
              </a:bgClr>
            </a:pattFill>
            <a:ln>
              <a:solidFill>
                <a:schemeClr val="tx1"/>
              </a:solidFill>
            </a:ln>
            <a:effectLst/>
          </c:spPr>
          <c:invertIfNegative val="0"/>
          <c:cat>
            <c:strRef>
              <c:f>Sheet4!$W$32:$W$38</c:f>
              <c:strCache>
                <c:ptCount val="7"/>
                <c:pt idx="0">
                  <c:v> Agri </c:v>
                </c:pt>
                <c:pt idx="1">
                  <c:v> Coal </c:v>
                </c:pt>
                <c:pt idx="2">
                  <c:v> Other mine </c:v>
                </c:pt>
                <c:pt idx="3">
                  <c:v> Manu </c:v>
                </c:pt>
                <c:pt idx="4">
                  <c:v>Elec</c:v>
                </c:pt>
                <c:pt idx="5">
                  <c:v> Other ind </c:v>
                </c:pt>
                <c:pt idx="6">
                  <c:v> Serv </c:v>
                </c:pt>
              </c:strCache>
            </c:strRef>
          </c:cat>
          <c:val>
            <c:numRef>
              <c:f>Sheet4!$Z$32:$Z$38</c:f>
              <c:numCache>
                <c:formatCode>_-* #\,##0_-;\-* #\,##0_-;_-* "-"??_-;_-@_-</c:formatCode>
                <c:ptCount val="7"/>
                <c:pt idx="0">
                  <c:v>-13.157639515909977</c:v>
                </c:pt>
                <c:pt idx="1">
                  <c:v>4.0221113091520984</c:v>
                </c:pt>
                <c:pt idx="2">
                  <c:v>-10.775711740243082</c:v>
                </c:pt>
                <c:pt idx="3">
                  <c:v>-45.843952807689902</c:v>
                </c:pt>
                <c:pt idx="4">
                  <c:v>-2.2108787280642019</c:v>
                </c:pt>
                <c:pt idx="5">
                  <c:v>-30.606675965455793</c:v>
                </c:pt>
                <c:pt idx="6">
                  <c:v>-206.34485953092008</c:v>
                </c:pt>
              </c:numCache>
            </c:numRef>
          </c:val>
          <c:extLst>
            <c:ext xmlns:c16="http://schemas.microsoft.com/office/drawing/2014/chart" uri="{C3380CC4-5D6E-409C-BE32-E72D297353CC}">
              <c16:uniqueId val="{00000002-AFEA-4477-9E02-F9C6E4C44661}"/>
            </c:ext>
          </c:extLst>
        </c:ser>
        <c:ser>
          <c:idx val="2"/>
          <c:order val="3"/>
          <c:tx>
            <c:strRef>
              <c:f>Sheet4!$AA$10</c:f>
              <c:strCache>
                <c:ptCount val="1"/>
                <c:pt idx="0">
                  <c:v>Tertiary  (&gt;Gr 12)</c:v>
                </c:pt>
              </c:strCache>
            </c:strRef>
          </c:tx>
          <c:spPr>
            <a:pattFill prst="pct5">
              <a:fgClr>
                <a:srgbClr val="70AD47">
                  <a:lumMod val="75000"/>
                </a:srgbClr>
              </a:fgClr>
              <a:bgClr>
                <a:sysClr val="window" lastClr="FFFFFF"/>
              </a:bgClr>
            </a:pattFill>
            <a:ln>
              <a:solidFill>
                <a:schemeClr val="tx1"/>
              </a:solidFill>
            </a:ln>
            <a:effectLst/>
          </c:spPr>
          <c:invertIfNegative val="0"/>
          <c:cat>
            <c:strRef>
              <c:f>Sheet4!$W$32:$W$38</c:f>
              <c:strCache>
                <c:ptCount val="7"/>
                <c:pt idx="0">
                  <c:v> Agri </c:v>
                </c:pt>
                <c:pt idx="1">
                  <c:v> Coal </c:v>
                </c:pt>
                <c:pt idx="2">
                  <c:v> Other mine </c:v>
                </c:pt>
                <c:pt idx="3">
                  <c:v> Manu </c:v>
                </c:pt>
                <c:pt idx="4">
                  <c:v>Elec</c:v>
                </c:pt>
                <c:pt idx="5">
                  <c:v> Other ind </c:v>
                </c:pt>
                <c:pt idx="6">
                  <c:v> Serv </c:v>
                </c:pt>
              </c:strCache>
            </c:strRef>
          </c:cat>
          <c:val>
            <c:numRef>
              <c:f>Sheet4!$AA$32:$AA$38</c:f>
              <c:numCache>
                <c:formatCode>_-* #\,##0_-;\-* #\,##0_-;_-* "-"??_-;_-@_-</c:formatCode>
                <c:ptCount val="7"/>
                <c:pt idx="0">
                  <c:v>-7.7300027285820079</c:v>
                </c:pt>
                <c:pt idx="1">
                  <c:v>5.3009508795269014</c:v>
                </c:pt>
                <c:pt idx="2">
                  <c:v>-13.213204419797933</c:v>
                </c:pt>
                <c:pt idx="3">
                  <c:v>-42.636400412329976</c:v>
                </c:pt>
                <c:pt idx="4">
                  <c:v>-7.9150787761800956</c:v>
                </c:pt>
                <c:pt idx="5">
                  <c:v>-22.706643687691894</c:v>
                </c:pt>
                <c:pt idx="6">
                  <c:v>-278.55095576809981</c:v>
                </c:pt>
              </c:numCache>
            </c:numRef>
          </c:val>
          <c:extLst>
            <c:ext xmlns:c16="http://schemas.microsoft.com/office/drawing/2014/chart" uri="{C3380CC4-5D6E-409C-BE32-E72D297353CC}">
              <c16:uniqueId val="{00000003-AFEA-4477-9E02-F9C6E4C44661}"/>
            </c:ext>
          </c:extLst>
        </c:ser>
        <c:dLbls>
          <c:showLegendKey val="0"/>
          <c:showVal val="0"/>
          <c:showCatName val="0"/>
          <c:showSerName val="0"/>
          <c:showPercent val="0"/>
          <c:showBubbleSize val="0"/>
        </c:dLbls>
        <c:gapWidth val="50"/>
        <c:overlap val="100"/>
        <c:axId val="686908352"/>
        <c:axId val="686906712"/>
      </c:barChart>
      <c:catAx>
        <c:axId val="686908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Body)"/>
                <a:ea typeface="+mn-ea"/>
                <a:cs typeface="+mn-cs"/>
              </a:defRPr>
            </a:pPr>
            <a:endParaRPr lang="en-US"/>
          </a:p>
        </c:txPr>
        <c:crossAx val="686906712"/>
        <c:crosses val="autoZero"/>
        <c:auto val="1"/>
        <c:lblAlgn val="ctr"/>
        <c:lblOffset val="100"/>
        <c:noMultiLvlLbl val="0"/>
      </c:catAx>
      <c:valAx>
        <c:axId val="686906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Body)"/>
                    <a:ea typeface="+mn-ea"/>
                    <a:cs typeface="+mn-cs"/>
                  </a:defRPr>
                </a:pPr>
                <a:r>
                  <a:rPr lang="en-US"/>
                  <a:t>Change in employment relative to reference ('000s)</a:t>
                </a:r>
                <a:endParaRPr lang="en-ZA"/>
              </a:p>
            </c:rich>
          </c:tx>
          <c:layout>
            <c:manualLayout>
              <c:xMode val="edge"/>
              <c:yMode val="edge"/>
              <c:x val="1.4434208471816376E-2"/>
              <c:y val="4.808036547732788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Body)"/>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Body)"/>
                <a:ea typeface="+mn-ea"/>
                <a:cs typeface="+mn-cs"/>
              </a:defRPr>
            </a:pPr>
            <a:endParaRPr lang="en-US"/>
          </a:p>
        </c:txPr>
        <c:crossAx val="686908352"/>
        <c:crosses val="autoZero"/>
        <c:crossBetween val="between"/>
        <c:majorUnit val="200"/>
      </c:valAx>
      <c:spPr>
        <a:noFill/>
        <a:ln>
          <a:noFill/>
        </a:ln>
        <a:effectLst/>
      </c:spPr>
    </c:plotArea>
    <c:legend>
      <c:legendPos val="b"/>
      <c:layout>
        <c:manualLayout>
          <c:xMode val="edge"/>
          <c:yMode val="edge"/>
          <c:x val="0.14795214096846834"/>
          <c:y val="0.79056140709684031"/>
          <c:w val="0.45077389432311371"/>
          <c:h val="0.11827531298847385"/>
        </c:manualLayout>
      </c:layout>
      <c:overlay val="0"/>
      <c:spPr>
        <a:solidFill>
          <a:sysClr val="window" lastClr="FFFFFF"/>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Body)"/>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000">
          <a:latin typeface="Calibri (Body)"/>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4646702065906"/>
          <c:y val="6.4686856806821527E-2"/>
          <c:w val="0.69946865529190128"/>
          <c:h val="0.82829598520120296"/>
        </c:manualLayout>
      </c:layout>
      <c:lineChart>
        <c:grouping val="standard"/>
        <c:varyColors val="0"/>
        <c:ser>
          <c:idx val="0"/>
          <c:order val="0"/>
          <c:tx>
            <c:strRef>
              <c:f>Sheet2!$E$11</c:f>
              <c:strCache>
                <c:ptCount val="1"/>
                <c:pt idx="0">
                  <c:v>Reference</c:v>
                </c:pt>
              </c:strCache>
            </c:strRef>
          </c:tx>
          <c:spPr>
            <a:ln w="19050" cap="rnd">
              <a:solidFill>
                <a:schemeClr val="accent6">
                  <a:lumMod val="75000"/>
                </a:schemeClr>
              </a:solidFill>
              <a:round/>
            </a:ln>
            <a:effectLst/>
          </c:spPr>
          <c:marker>
            <c:symbol val="none"/>
          </c:marker>
          <c:cat>
            <c:numRef>
              <c:f>Sheet2!$M$10:$AR$10</c:f>
              <c:numCache>
                <c:formatCode>General</c:formatCode>
                <c:ptCount val="32"/>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numCache>
            </c:numRef>
          </c:cat>
          <c:val>
            <c:numRef>
              <c:f>Sheet2!$M$11:$AR$11</c:f>
              <c:numCache>
                <c:formatCode>0.00</c:formatCode>
                <c:ptCount val="32"/>
                <c:pt idx="0">
                  <c:v>0.9</c:v>
                </c:pt>
                <c:pt idx="1">
                  <c:v>0.94680000000000009</c:v>
                </c:pt>
                <c:pt idx="2">
                  <c:v>0.97920000000000007</c:v>
                </c:pt>
                <c:pt idx="3">
                  <c:v>1.0044</c:v>
                </c:pt>
                <c:pt idx="4">
                  <c:v>1.008</c:v>
                </c:pt>
                <c:pt idx="5">
                  <c:v>1.0224</c:v>
                </c:pt>
                <c:pt idx="6">
                  <c:v>1.0512000000000001</c:v>
                </c:pt>
                <c:pt idx="7">
                  <c:v>1.0512000000000001</c:v>
                </c:pt>
                <c:pt idx="8">
                  <c:v>1.0367999999999999</c:v>
                </c:pt>
                <c:pt idx="9">
                  <c:v>1.0476000000000001</c:v>
                </c:pt>
                <c:pt idx="10">
                  <c:v>1.0188000000000001</c:v>
                </c:pt>
                <c:pt idx="11">
                  <c:v>1.0224</c:v>
                </c:pt>
                <c:pt idx="12">
                  <c:v>1.0116000000000001</c:v>
                </c:pt>
                <c:pt idx="13">
                  <c:v>1.0152000000000001</c:v>
                </c:pt>
                <c:pt idx="14">
                  <c:v>1.0152000000000001</c:v>
                </c:pt>
                <c:pt idx="15">
                  <c:v>0.99720000000000009</c:v>
                </c:pt>
                <c:pt idx="16">
                  <c:v>0.95760000000000001</c:v>
                </c:pt>
                <c:pt idx="17">
                  <c:v>0.95040000000000002</c:v>
                </c:pt>
                <c:pt idx="18">
                  <c:v>0.94680000000000009</c:v>
                </c:pt>
                <c:pt idx="19">
                  <c:v>0.93959999999999999</c:v>
                </c:pt>
                <c:pt idx="20">
                  <c:v>0.93600000000000005</c:v>
                </c:pt>
                <c:pt idx="21">
                  <c:v>0.93240000000000001</c:v>
                </c:pt>
                <c:pt idx="22">
                  <c:v>0.92880000000000007</c:v>
                </c:pt>
                <c:pt idx="23">
                  <c:v>0.92520000000000002</c:v>
                </c:pt>
                <c:pt idx="24">
                  <c:v>0.92520000000000002</c:v>
                </c:pt>
                <c:pt idx="25">
                  <c:v>0.92159999999999997</c:v>
                </c:pt>
                <c:pt idx="26">
                  <c:v>0.92159999999999997</c:v>
                </c:pt>
                <c:pt idx="27">
                  <c:v>0.91439999999999999</c:v>
                </c:pt>
                <c:pt idx="28">
                  <c:v>0.91080000000000005</c:v>
                </c:pt>
                <c:pt idx="29">
                  <c:v>0.90720000000000001</c:v>
                </c:pt>
                <c:pt idx="30">
                  <c:v>0.90360000000000007</c:v>
                </c:pt>
                <c:pt idx="31">
                  <c:v>0.9</c:v>
                </c:pt>
              </c:numCache>
            </c:numRef>
          </c:val>
          <c:smooth val="0"/>
          <c:extLst>
            <c:ext xmlns:c16="http://schemas.microsoft.com/office/drawing/2014/chart" uri="{C3380CC4-5D6E-409C-BE32-E72D297353CC}">
              <c16:uniqueId val="{00000000-E6B9-40BE-947C-95B4ECC257C3}"/>
            </c:ext>
          </c:extLst>
        </c:ser>
        <c:ser>
          <c:idx val="1"/>
          <c:order val="1"/>
          <c:tx>
            <c:strRef>
              <c:f>Sheet2!$E$12</c:f>
              <c:strCache>
                <c:ptCount val="1"/>
                <c:pt idx="0">
                  <c:v>Constrained</c:v>
                </c:pt>
              </c:strCache>
            </c:strRef>
          </c:tx>
          <c:spPr>
            <a:ln w="19050" cap="rnd">
              <a:solidFill>
                <a:schemeClr val="accent6">
                  <a:lumMod val="75000"/>
                </a:schemeClr>
              </a:solidFill>
              <a:prstDash val="sysDash"/>
              <a:round/>
            </a:ln>
            <a:effectLst/>
          </c:spPr>
          <c:marker>
            <c:symbol val="none"/>
          </c:marker>
          <c:cat>
            <c:numRef>
              <c:f>Sheet2!$M$10:$AR$10</c:f>
              <c:numCache>
                <c:formatCode>General</c:formatCode>
                <c:ptCount val="32"/>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numCache>
            </c:numRef>
          </c:cat>
          <c:val>
            <c:numRef>
              <c:f>Sheet2!$M$12:$AR$12</c:f>
              <c:numCache>
                <c:formatCode>0.00</c:formatCode>
                <c:ptCount val="32"/>
                <c:pt idx="0">
                  <c:v>0.9</c:v>
                </c:pt>
                <c:pt idx="1">
                  <c:v>0.94680000000000009</c:v>
                </c:pt>
                <c:pt idx="2">
                  <c:v>0.97920000000000007</c:v>
                </c:pt>
                <c:pt idx="3">
                  <c:v>1.0116000000000001</c:v>
                </c:pt>
                <c:pt idx="4">
                  <c:v>1.0367999999999999</c:v>
                </c:pt>
                <c:pt idx="5">
                  <c:v>1.0584</c:v>
                </c:pt>
                <c:pt idx="6">
                  <c:v>1.0908</c:v>
                </c:pt>
                <c:pt idx="7">
                  <c:v>1.0944</c:v>
                </c:pt>
                <c:pt idx="8">
                  <c:v>1.1124000000000001</c:v>
                </c:pt>
                <c:pt idx="9">
                  <c:v>1.1339999999999999</c:v>
                </c:pt>
                <c:pt idx="10">
                  <c:v>1.1448</c:v>
                </c:pt>
                <c:pt idx="11">
                  <c:v>1.1736000000000002</c:v>
                </c:pt>
                <c:pt idx="12">
                  <c:v>1.1807999999999998</c:v>
                </c:pt>
                <c:pt idx="13">
                  <c:v>1.1844000000000001</c:v>
                </c:pt>
                <c:pt idx="14">
                  <c:v>1.1916000000000002</c:v>
                </c:pt>
                <c:pt idx="15">
                  <c:v>1.1879999999999999</c:v>
                </c:pt>
                <c:pt idx="16">
                  <c:v>1.1484000000000001</c:v>
                </c:pt>
                <c:pt idx="17">
                  <c:v>1.1556000000000002</c:v>
                </c:pt>
                <c:pt idx="18">
                  <c:v>1.1628000000000001</c:v>
                </c:pt>
                <c:pt idx="19">
                  <c:v>1.17</c:v>
                </c:pt>
                <c:pt idx="20">
                  <c:v>1.1772</c:v>
                </c:pt>
                <c:pt idx="21">
                  <c:v>1.1844000000000001</c:v>
                </c:pt>
                <c:pt idx="22">
                  <c:v>1.1916000000000002</c:v>
                </c:pt>
                <c:pt idx="23">
                  <c:v>1.1987999999999999</c:v>
                </c:pt>
                <c:pt idx="24">
                  <c:v>1.206</c:v>
                </c:pt>
                <c:pt idx="25">
                  <c:v>1.2132000000000001</c:v>
                </c:pt>
                <c:pt idx="26">
                  <c:v>1.2204000000000002</c:v>
                </c:pt>
                <c:pt idx="27">
                  <c:v>1.2204000000000002</c:v>
                </c:pt>
                <c:pt idx="28">
                  <c:v>1.224</c:v>
                </c:pt>
                <c:pt idx="29">
                  <c:v>1.2276000000000002</c:v>
                </c:pt>
                <c:pt idx="30">
                  <c:v>1.2276000000000002</c:v>
                </c:pt>
                <c:pt idx="31">
                  <c:v>1.2312000000000001</c:v>
                </c:pt>
              </c:numCache>
            </c:numRef>
          </c:val>
          <c:smooth val="0"/>
          <c:extLst>
            <c:ext xmlns:c16="http://schemas.microsoft.com/office/drawing/2014/chart" uri="{C3380CC4-5D6E-409C-BE32-E72D297353CC}">
              <c16:uniqueId val="{00000001-E6B9-40BE-947C-95B4ECC257C3}"/>
            </c:ext>
          </c:extLst>
        </c:ser>
        <c:dLbls>
          <c:showLegendKey val="0"/>
          <c:showVal val="0"/>
          <c:showCatName val="0"/>
          <c:showSerName val="0"/>
          <c:showPercent val="0"/>
          <c:showBubbleSize val="0"/>
        </c:dLbls>
        <c:smooth val="0"/>
        <c:axId val="1221233952"/>
        <c:axId val="1274654080"/>
      </c:lineChart>
      <c:catAx>
        <c:axId val="122123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654080"/>
        <c:crosses val="autoZero"/>
        <c:auto val="1"/>
        <c:lblAlgn val="ctr"/>
        <c:lblOffset val="100"/>
        <c:tickLblSkip val="5"/>
        <c:noMultiLvlLbl val="0"/>
      </c:catAx>
      <c:valAx>
        <c:axId val="12746540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Average Unit Cost of Electricity</a:t>
                </a:r>
                <a:endParaRPr lang="en-ZA"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000"/>
                  <a:t>(2015 R/kWh)</a:t>
                </a:r>
              </a:p>
            </c:rich>
          </c:tx>
          <c:layout>
            <c:manualLayout>
              <c:xMode val="edge"/>
              <c:yMode val="edge"/>
              <c:x val="9.0456806874717327E-3"/>
              <c:y val="3.1520141134960308E-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233952"/>
        <c:crosses val="autoZero"/>
        <c:crossBetween val="between"/>
      </c:valAx>
      <c:spPr>
        <a:noFill/>
        <a:ln>
          <a:noFill/>
        </a:ln>
        <a:effectLst/>
      </c:spPr>
    </c:plotArea>
    <c:legend>
      <c:legendPos val="b"/>
      <c:layout>
        <c:manualLayout>
          <c:xMode val="edge"/>
          <c:yMode val="edge"/>
          <c:x val="0.2526269867555565"/>
          <c:y val="0.73022570943701137"/>
          <c:w val="0.39981113786757161"/>
          <c:h val="0.13451995360327093"/>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977592353194656"/>
          <c:y val="4.406068618076666E-2"/>
          <c:w val="0.68255572531045572"/>
          <c:h val="0.82753104112500497"/>
        </c:manualLayout>
      </c:layout>
      <c:lineChart>
        <c:grouping val="standard"/>
        <c:varyColors val="0"/>
        <c:ser>
          <c:idx val="0"/>
          <c:order val="0"/>
          <c:tx>
            <c:strRef>
              <c:f>Sheet2!$D$38</c:f>
              <c:strCache>
                <c:ptCount val="1"/>
                <c:pt idx="0">
                  <c:v>Reference</c:v>
                </c:pt>
              </c:strCache>
            </c:strRef>
          </c:tx>
          <c:spPr>
            <a:ln w="19050" cap="rnd">
              <a:solidFill>
                <a:schemeClr val="accent6">
                  <a:lumMod val="75000"/>
                </a:schemeClr>
              </a:solidFill>
              <a:round/>
            </a:ln>
            <a:effectLst/>
          </c:spPr>
          <c:marker>
            <c:symbol val="none"/>
          </c:marker>
          <c:cat>
            <c:numRef>
              <c:f>Sheet2!$L$37:$AP$37</c:f>
              <c:numCache>
                <c:formatCode>General</c:formatCode>
                <c:ptCount val="3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numCache>
            </c:numRef>
          </c:cat>
          <c:val>
            <c:numRef>
              <c:f>Sheet2!$L$38:$AP$38</c:f>
              <c:numCache>
                <c:formatCode>General</c:formatCode>
                <c:ptCount val="31"/>
                <c:pt idx="0">
                  <c:v>392</c:v>
                </c:pt>
                <c:pt idx="1">
                  <c:v>466.6</c:v>
                </c:pt>
                <c:pt idx="2">
                  <c:v>531.70000000000005</c:v>
                </c:pt>
                <c:pt idx="3">
                  <c:v>639</c:v>
                </c:pt>
                <c:pt idx="4">
                  <c:v>723.7</c:v>
                </c:pt>
                <c:pt idx="5">
                  <c:v>810</c:v>
                </c:pt>
                <c:pt idx="6">
                  <c:v>833.5</c:v>
                </c:pt>
                <c:pt idx="7">
                  <c:v>887.1</c:v>
                </c:pt>
                <c:pt idx="8">
                  <c:v>938.1</c:v>
                </c:pt>
                <c:pt idx="9">
                  <c:v>1003.5</c:v>
                </c:pt>
                <c:pt idx="10">
                  <c:v>1073.2</c:v>
                </c:pt>
                <c:pt idx="11">
                  <c:v>1108.4000000000001</c:v>
                </c:pt>
                <c:pt idx="12">
                  <c:v>1187.8000000000002</c:v>
                </c:pt>
                <c:pt idx="13">
                  <c:v>1218.3000000000002</c:v>
                </c:pt>
                <c:pt idx="14">
                  <c:v>1285.5000000000002</c:v>
                </c:pt>
                <c:pt idx="15">
                  <c:v>1312.7000000000003</c:v>
                </c:pt>
                <c:pt idx="16">
                  <c:v>1344.3000000000002</c:v>
                </c:pt>
                <c:pt idx="17">
                  <c:v>1380.3000000000002</c:v>
                </c:pt>
                <c:pt idx="18">
                  <c:v>1438.9</c:v>
                </c:pt>
                <c:pt idx="19">
                  <c:v>1497</c:v>
                </c:pt>
                <c:pt idx="20">
                  <c:v>1554.6</c:v>
                </c:pt>
                <c:pt idx="21">
                  <c:v>1610.8999999999999</c:v>
                </c:pt>
                <c:pt idx="22">
                  <c:v>1665.8999999999999</c:v>
                </c:pt>
                <c:pt idx="23">
                  <c:v>1722.8</c:v>
                </c:pt>
                <c:pt idx="24">
                  <c:v>1779.3999999999999</c:v>
                </c:pt>
                <c:pt idx="25">
                  <c:v>1835.6999999999998</c:v>
                </c:pt>
                <c:pt idx="26">
                  <c:v>1892.6</c:v>
                </c:pt>
                <c:pt idx="27">
                  <c:v>1950</c:v>
                </c:pt>
                <c:pt idx="28">
                  <c:v>2051</c:v>
                </c:pt>
                <c:pt idx="29">
                  <c:v>2146.9</c:v>
                </c:pt>
                <c:pt idx="30">
                  <c:v>2237.8000000000002</c:v>
                </c:pt>
              </c:numCache>
            </c:numRef>
          </c:val>
          <c:smooth val="0"/>
          <c:extLst>
            <c:ext xmlns:c16="http://schemas.microsoft.com/office/drawing/2014/chart" uri="{C3380CC4-5D6E-409C-BE32-E72D297353CC}">
              <c16:uniqueId val="{00000000-AD54-49FD-8239-DD61CC7F9E0A}"/>
            </c:ext>
          </c:extLst>
        </c:ser>
        <c:ser>
          <c:idx val="1"/>
          <c:order val="1"/>
          <c:tx>
            <c:strRef>
              <c:f>Sheet2!$D$39</c:f>
              <c:strCache>
                <c:ptCount val="1"/>
                <c:pt idx="0">
                  <c:v>Constrained</c:v>
                </c:pt>
              </c:strCache>
            </c:strRef>
          </c:tx>
          <c:spPr>
            <a:ln w="19050" cap="rnd">
              <a:solidFill>
                <a:schemeClr val="accent6">
                  <a:lumMod val="75000"/>
                </a:schemeClr>
              </a:solidFill>
              <a:prstDash val="sysDash"/>
              <a:round/>
            </a:ln>
            <a:effectLst/>
          </c:spPr>
          <c:marker>
            <c:symbol val="none"/>
          </c:marker>
          <c:cat>
            <c:numRef>
              <c:f>Sheet2!$L$37:$AP$37</c:f>
              <c:numCache>
                <c:formatCode>General</c:formatCode>
                <c:ptCount val="3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numCache>
            </c:numRef>
          </c:cat>
          <c:val>
            <c:numRef>
              <c:f>Sheet2!$L$39:$AP$39</c:f>
              <c:numCache>
                <c:formatCode>General</c:formatCode>
                <c:ptCount val="31"/>
                <c:pt idx="0">
                  <c:v>392.59999999999997</c:v>
                </c:pt>
                <c:pt idx="1">
                  <c:v>465.5</c:v>
                </c:pt>
                <c:pt idx="2">
                  <c:v>539.70000000000005</c:v>
                </c:pt>
                <c:pt idx="3">
                  <c:v>614.70000000000005</c:v>
                </c:pt>
                <c:pt idx="4">
                  <c:v>689</c:v>
                </c:pt>
                <c:pt idx="5">
                  <c:v>765.1</c:v>
                </c:pt>
                <c:pt idx="6">
                  <c:v>815.9</c:v>
                </c:pt>
                <c:pt idx="7">
                  <c:v>870</c:v>
                </c:pt>
                <c:pt idx="8">
                  <c:v>930.3</c:v>
                </c:pt>
                <c:pt idx="9">
                  <c:v>995.3</c:v>
                </c:pt>
                <c:pt idx="10">
                  <c:v>1061.8999999999999</c:v>
                </c:pt>
                <c:pt idx="11">
                  <c:v>1131.4999999999998</c:v>
                </c:pt>
                <c:pt idx="12">
                  <c:v>1191.0999999999997</c:v>
                </c:pt>
                <c:pt idx="13">
                  <c:v>1241.1999999999996</c:v>
                </c:pt>
                <c:pt idx="14">
                  <c:v>1281.9999999999995</c:v>
                </c:pt>
                <c:pt idx="15">
                  <c:v>1324.3999999999996</c:v>
                </c:pt>
                <c:pt idx="16">
                  <c:v>1380.5999999999997</c:v>
                </c:pt>
                <c:pt idx="17">
                  <c:v>1454.6999999999996</c:v>
                </c:pt>
                <c:pt idx="18">
                  <c:v>1539.1999999999996</c:v>
                </c:pt>
                <c:pt idx="19">
                  <c:v>1623.4999999999995</c:v>
                </c:pt>
                <c:pt idx="20">
                  <c:v>1710.1999999999996</c:v>
                </c:pt>
                <c:pt idx="21">
                  <c:v>1797.9999999999995</c:v>
                </c:pt>
                <c:pt idx="22">
                  <c:v>1886.7999999999995</c:v>
                </c:pt>
                <c:pt idx="23">
                  <c:v>1976.6999999999996</c:v>
                </c:pt>
                <c:pt idx="24">
                  <c:v>2066.4999999999995</c:v>
                </c:pt>
                <c:pt idx="25">
                  <c:v>2162.2999999999997</c:v>
                </c:pt>
                <c:pt idx="26">
                  <c:v>2263.9999999999995</c:v>
                </c:pt>
                <c:pt idx="27">
                  <c:v>2374.7999999999997</c:v>
                </c:pt>
                <c:pt idx="28">
                  <c:v>2483.7999999999997</c:v>
                </c:pt>
                <c:pt idx="29">
                  <c:v>2570.3999999999996</c:v>
                </c:pt>
                <c:pt idx="30">
                  <c:v>2626.4999999999995</c:v>
                </c:pt>
              </c:numCache>
            </c:numRef>
          </c:val>
          <c:smooth val="0"/>
          <c:extLst>
            <c:ext xmlns:c16="http://schemas.microsoft.com/office/drawing/2014/chart" uri="{C3380CC4-5D6E-409C-BE32-E72D297353CC}">
              <c16:uniqueId val="{00000001-AD54-49FD-8239-DD61CC7F9E0A}"/>
            </c:ext>
          </c:extLst>
        </c:ser>
        <c:dLbls>
          <c:showLegendKey val="0"/>
          <c:showVal val="0"/>
          <c:showCatName val="0"/>
          <c:showSerName val="0"/>
          <c:showPercent val="0"/>
          <c:showBubbleSize val="0"/>
        </c:dLbls>
        <c:smooth val="0"/>
        <c:axId val="584782944"/>
        <c:axId val="773289712"/>
      </c:lineChart>
      <c:catAx>
        <c:axId val="584782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289712"/>
        <c:crosses val="autoZero"/>
        <c:auto val="1"/>
        <c:lblAlgn val="ctr"/>
        <c:lblOffset val="100"/>
        <c:tickLblSkip val="5"/>
        <c:noMultiLvlLbl val="0"/>
      </c:catAx>
      <c:valAx>
        <c:axId val="7732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sz="1000" b="0" i="0" u="none" strike="noStrike" baseline="0">
                    <a:effectLst/>
                  </a:rPr>
                  <a:t>Cumulative investment </a:t>
                </a:r>
              </a:p>
              <a:p>
                <a:pPr>
                  <a:defRPr/>
                </a:pPr>
                <a:r>
                  <a:rPr lang="en-ZA" sz="1000" b="0" i="0" u="none" strike="noStrike" baseline="0">
                    <a:effectLst/>
                  </a:rPr>
                  <a:t>(2015 </a:t>
                </a:r>
                <a:r>
                  <a:rPr lang="en-ZA"/>
                  <a:t>Rbn)</a:t>
                </a:r>
              </a:p>
            </c:rich>
          </c:tx>
          <c:layout>
            <c:manualLayout>
              <c:xMode val="edge"/>
              <c:yMode val="edge"/>
              <c:x val="9.0456806874717327E-3"/>
              <c:y val="0.120141134960305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82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79626604765067"/>
          <c:y val="4.7917585032225374E-2"/>
          <c:w val="0.81652361377373595"/>
          <c:h val="0.83638655762160008"/>
        </c:manualLayout>
      </c:layout>
      <c:lineChart>
        <c:grouping val="standard"/>
        <c:varyColors val="0"/>
        <c:ser>
          <c:idx val="0"/>
          <c:order val="0"/>
          <c:tx>
            <c:strRef>
              <c:f>Sheet5!$O$4:$P$4</c:f>
              <c:strCache>
                <c:ptCount val="2"/>
                <c:pt idx="1">
                  <c:v>Reference: Power Sector</c:v>
                </c:pt>
              </c:strCache>
            </c:strRef>
          </c:tx>
          <c:spPr>
            <a:ln w="19050" cap="rnd">
              <a:solidFill>
                <a:schemeClr val="accent6">
                  <a:lumMod val="75000"/>
                </a:schemeClr>
              </a:solidFill>
              <a:round/>
            </a:ln>
            <a:effectLst/>
          </c:spPr>
          <c:marker>
            <c:symbol val="none"/>
          </c:marker>
          <c:cat>
            <c:numRef>
              <c:f>Sheet5!$Q$3:$W$3</c:f>
              <c:numCache>
                <c:formatCode>General</c:formatCode>
                <c:ptCount val="7"/>
                <c:pt idx="0">
                  <c:v>2020</c:v>
                </c:pt>
                <c:pt idx="1">
                  <c:v>2025</c:v>
                </c:pt>
                <c:pt idx="2">
                  <c:v>2030</c:v>
                </c:pt>
                <c:pt idx="3">
                  <c:v>2035</c:v>
                </c:pt>
                <c:pt idx="4">
                  <c:v>2040</c:v>
                </c:pt>
                <c:pt idx="5">
                  <c:v>2045</c:v>
                </c:pt>
                <c:pt idx="6">
                  <c:v>2050</c:v>
                </c:pt>
              </c:numCache>
            </c:numRef>
          </c:cat>
          <c:val>
            <c:numRef>
              <c:f>Sheet5!$Q$4:$W$4</c:f>
              <c:numCache>
                <c:formatCode>General</c:formatCode>
                <c:ptCount val="7"/>
                <c:pt idx="0">
                  <c:v>231.03832</c:v>
                </c:pt>
                <c:pt idx="1">
                  <c:v>196.5907</c:v>
                </c:pt>
                <c:pt idx="2">
                  <c:v>169.23484999999999</c:v>
                </c:pt>
                <c:pt idx="3">
                  <c:v>119.82315</c:v>
                </c:pt>
                <c:pt idx="4">
                  <c:v>78.914400000000001</c:v>
                </c:pt>
                <c:pt idx="5">
                  <c:v>71.469460000000012</c:v>
                </c:pt>
                <c:pt idx="6">
                  <c:v>69.06841</c:v>
                </c:pt>
              </c:numCache>
            </c:numRef>
          </c:val>
          <c:smooth val="0"/>
          <c:extLst>
            <c:ext xmlns:c16="http://schemas.microsoft.com/office/drawing/2014/chart" uri="{C3380CC4-5D6E-409C-BE32-E72D297353CC}">
              <c16:uniqueId val="{00000000-AF39-4D4B-8650-163B08A134F6}"/>
            </c:ext>
          </c:extLst>
        </c:ser>
        <c:ser>
          <c:idx val="2"/>
          <c:order val="1"/>
          <c:tx>
            <c:strRef>
              <c:f>Sheet5!$O$5:$P$5</c:f>
              <c:strCache>
                <c:ptCount val="2"/>
                <c:pt idx="1">
                  <c:v>Constrained: Power Sector</c:v>
                </c:pt>
              </c:strCache>
            </c:strRef>
          </c:tx>
          <c:spPr>
            <a:ln w="19050" cap="rnd">
              <a:solidFill>
                <a:schemeClr val="accent6">
                  <a:lumMod val="75000"/>
                </a:schemeClr>
              </a:solidFill>
              <a:prstDash val="sysDash"/>
              <a:round/>
            </a:ln>
            <a:effectLst/>
          </c:spPr>
          <c:marker>
            <c:symbol val="none"/>
          </c:marker>
          <c:cat>
            <c:numRef>
              <c:f>Sheet5!$Q$3:$W$3</c:f>
              <c:numCache>
                <c:formatCode>General</c:formatCode>
                <c:ptCount val="7"/>
                <c:pt idx="0">
                  <c:v>2020</c:v>
                </c:pt>
                <c:pt idx="1">
                  <c:v>2025</c:v>
                </c:pt>
                <c:pt idx="2">
                  <c:v>2030</c:v>
                </c:pt>
                <c:pt idx="3">
                  <c:v>2035</c:v>
                </c:pt>
                <c:pt idx="4">
                  <c:v>2040</c:v>
                </c:pt>
                <c:pt idx="5">
                  <c:v>2045</c:v>
                </c:pt>
                <c:pt idx="6">
                  <c:v>2050</c:v>
                </c:pt>
              </c:numCache>
            </c:numRef>
          </c:cat>
          <c:val>
            <c:numRef>
              <c:f>Sheet5!$Q$5:$W$5</c:f>
              <c:numCache>
                <c:formatCode>General</c:formatCode>
                <c:ptCount val="7"/>
                <c:pt idx="0">
                  <c:v>230.57535000000001</c:v>
                </c:pt>
                <c:pt idx="1">
                  <c:v>212.66561999999999</c:v>
                </c:pt>
                <c:pt idx="2">
                  <c:v>202.94308999999998</c:v>
                </c:pt>
                <c:pt idx="3">
                  <c:v>180.70719</c:v>
                </c:pt>
                <c:pt idx="4">
                  <c:v>170.328</c:v>
                </c:pt>
                <c:pt idx="5">
                  <c:v>206.71375</c:v>
                </c:pt>
                <c:pt idx="6">
                  <c:v>240.86358999999999</c:v>
                </c:pt>
              </c:numCache>
            </c:numRef>
          </c:val>
          <c:smooth val="0"/>
          <c:extLst>
            <c:ext xmlns:c16="http://schemas.microsoft.com/office/drawing/2014/chart" uri="{C3380CC4-5D6E-409C-BE32-E72D297353CC}">
              <c16:uniqueId val="{00000001-AF39-4D4B-8650-163B08A134F6}"/>
            </c:ext>
          </c:extLst>
        </c:ser>
        <c:ser>
          <c:idx val="5"/>
          <c:order val="2"/>
          <c:tx>
            <c:strRef>
              <c:f>Sheet5!$O$6:$P$6</c:f>
              <c:strCache>
                <c:ptCount val="2"/>
                <c:pt idx="1">
                  <c:v>Reference: Total</c:v>
                </c:pt>
              </c:strCache>
            </c:strRef>
          </c:tx>
          <c:spPr>
            <a:ln w="19050" cap="rnd">
              <a:solidFill>
                <a:schemeClr val="tx1"/>
              </a:solidFill>
              <a:round/>
            </a:ln>
            <a:effectLst/>
          </c:spPr>
          <c:marker>
            <c:symbol val="none"/>
          </c:marker>
          <c:cat>
            <c:numRef>
              <c:f>Sheet5!$Q$3:$W$3</c:f>
              <c:numCache>
                <c:formatCode>General</c:formatCode>
                <c:ptCount val="7"/>
                <c:pt idx="0">
                  <c:v>2020</c:v>
                </c:pt>
                <c:pt idx="1">
                  <c:v>2025</c:v>
                </c:pt>
                <c:pt idx="2">
                  <c:v>2030</c:v>
                </c:pt>
                <c:pt idx="3">
                  <c:v>2035</c:v>
                </c:pt>
                <c:pt idx="4">
                  <c:v>2040</c:v>
                </c:pt>
                <c:pt idx="5">
                  <c:v>2045</c:v>
                </c:pt>
                <c:pt idx="6">
                  <c:v>2050</c:v>
                </c:pt>
              </c:numCache>
            </c:numRef>
          </c:cat>
          <c:val>
            <c:numRef>
              <c:f>Sheet5!$Q$6:$W$6</c:f>
              <c:numCache>
                <c:formatCode>General</c:formatCode>
                <c:ptCount val="7"/>
                <c:pt idx="0">
                  <c:v>416.66371000000004</c:v>
                </c:pt>
                <c:pt idx="1">
                  <c:v>385.82730000000004</c:v>
                </c:pt>
                <c:pt idx="2">
                  <c:v>368.32531000000006</c:v>
                </c:pt>
                <c:pt idx="3">
                  <c:v>323.24379999999996</c:v>
                </c:pt>
                <c:pt idx="4">
                  <c:v>237.93973000000003</c:v>
                </c:pt>
                <c:pt idx="5">
                  <c:v>243.14458999999999</c:v>
                </c:pt>
                <c:pt idx="6">
                  <c:v>257.19904000000002</c:v>
                </c:pt>
              </c:numCache>
            </c:numRef>
          </c:val>
          <c:smooth val="0"/>
          <c:extLst>
            <c:ext xmlns:c16="http://schemas.microsoft.com/office/drawing/2014/chart" uri="{C3380CC4-5D6E-409C-BE32-E72D297353CC}">
              <c16:uniqueId val="{00000002-AF39-4D4B-8650-163B08A134F6}"/>
            </c:ext>
          </c:extLst>
        </c:ser>
        <c:ser>
          <c:idx val="1"/>
          <c:order val="3"/>
          <c:tx>
            <c:strRef>
              <c:f>Sheet5!$O$7:$P$7</c:f>
              <c:strCache>
                <c:ptCount val="2"/>
                <c:pt idx="1">
                  <c:v>Constrained: Total</c:v>
                </c:pt>
              </c:strCache>
            </c:strRef>
          </c:tx>
          <c:spPr>
            <a:ln w="19050" cap="rnd">
              <a:solidFill>
                <a:schemeClr val="tx1"/>
              </a:solidFill>
              <a:prstDash val="sysDash"/>
              <a:round/>
            </a:ln>
            <a:effectLst/>
          </c:spPr>
          <c:marker>
            <c:symbol val="none"/>
          </c:marker>
          <c:cat>
            <c:numRef>
              <c:f>Sheet5!$Q$3:$W$3</c:f>
              <c:numCache>
                <c:formatCode>General</c:formatCode>
                <c:ptCount val="7"/>
                <c:pt idx="0">
                  <c:v>2020</c:v>
                </c:pt>
                <c:pt idx="1">
                  <c:v>2025</c:v>
                </c:pt>
                <c:pt idx="2">
                  <c:v>2030</c:v>
                </c:pt>
                <c:pt idx="3">
                  <c:v>2035</c:v>
                </c:pt>
                <c:pt idx="4">
                  <c:v>2040</c:v>
                </c:pt>
                <c:pt idx="5">
                  <c:v>2045</c:v>
                </c:pt>
                <c:pt idx="6">
                  <c:v>2050</c:v>
                </c:pt>
              </c:numCache>
            </c:numRef>
          </c:cat>
          <c:val>
            <c:numRef>
              <c:f>Sheet5!$Q$7:$W$7</c:f>
              <c:numCache>
                <c:formatCode>General</c:formatCode>
                <c:ptCount val="7"/>
                <c:pt idx="0">
                  <c:v>416.22104000000002</c:v>
                </c:pt>
                <c:pt idx="1">
                  <c:v>402.14926999999994</c:v>
                </c:pt>
                <c:pt idx="2">
                  <c:v>402.55442000000005</c:v>
                </c:pt>
                <c:pt idx="3">
                  <c:v>382.35626000000002</c:v>
                </c:pt>
                <c:pt idx="4">
                  <c:v>327.7166499999999</c:v>
                </c:pt>
                <c:pt idx="5">
                  <c:v>374.97161999999997</c:v>
                </c:pt>
                <c:pt idx="6">
                  <c:v>427.16377</c:v>
                </c:pt>
              </c:numCache>
            </c:numRef>
          </c:val>
          <c:smooth val="0"/>
          <c:extLst>
            <c:ext xmlns:c16="http://schemas.microsoft.com/office/drawing/2014/chart" uri="{C3380CC4-5D6E-409C-BE32-E72D297353CC}">
              <c16:uniqueId val="{00000003-AF39-4D4B-8650-163B08A134F6}"/>
            </c:ext>
          </c:extLst>
        </c:ser>
        <c:dLbls>
          <c:showLegendKey val="0"/>
          <c:showVal val="0"/>
          <c:showCatName val="0"/>
          <c:showSerName val="0"/>
          <c:showPercent val="0"/>
          <c:showBubbleSize val="0"/>
        </c:dLbls>
        <c:smooth val="0"/>
        <c:axId val="783210304"/>
        <c:axId val="783218176"/>
      </c:lineChart>
      <c:catAx>
        <c:axId val="783210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83218176"/>
        <c:crosses val="autoZero"/>
        <c:auto val="1"/>
        <c:lblAlgn val="ctr"/>
        <c:lblOffset val="100"/>
        <c:noMultiLvlLbl val="0"/>
      </c:catAx>
      <c:valAx>
        <c:axId val="78321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CO2eq  emissions (MTons)</a:t>
                </a:r>
              </a:p>
            </c:rich>
          </c:tx>
          <c:layout>
            <c:manualLayout>
              <c:xMode val="edge"/>
              <c:yMode val="edge"/>
              <c:x val="1.0500393578936338E-2"/>
              <c:y val="0.128931326438039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83210304"/>
        <c:crosses val="autoZero"/>
        <c:crossBetween val="between"/>
      </c:valAx>
      <c:spPr>
        <a:noFill/>
        <a:ln>
          <a:noFill/>
        </a:ln>
        <a:effectLst/>
      </c:spPr>
    </c:plotArea>
    <c:legend>
      <c:legendPos val="b"/>
      <c:layout>
        <c:manualLayout>
          <c:xMode val="edge"/>
          <c:yMode val="edge"/>
          <c:x val="0.15791401743231295"/>
          <c:y val="0.63158366393459131"/>
          <c:w val="0.44802440435165136"/>
          <c:h val="0.22989781739467441"/>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mn-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OEC11</b:Tag>
    <b:SourceType>Report</b:SourceType>
    <b:Guid>{9E4F8DE3-2459-458C-9FD6-BF24EA7A1DDA}</b:Guid>
    <b:Title>Fiscal consolidation: targets, plans and measures</b:Title>
    <b:Year>2011</b:Year>
    <b:Publisher>OECD Journal on Budgeting, Vol. 11(2)</b:Publisher>
    <b:Author>
      <b:Author>
        <b:Corporate>OECD</b:Corporate>
      </b:Author>
    </b:Author>
    <b:RefOrder>1</b:RefOrder>
  </b:Source>
  <b:Source>
    <b:Tag>Jan17</b:Tag>
    <b:SourceType>Report</b:SourceType>
    <b:Guid>{CF80BABE-0D36-44E3-B203-C68EB03FBA95}</b:Guid>
    <b:Author>
      <b:Author>
        <b:NameList>
          <b:Person>
            <b:Last>Jansen</b:Last>
            <b:First>Ada</b:First>
          </b:Person>
          <b:Person>
            <b:Last>Marais</b:Last>
            <b:First>Lara</b:First>
          </b:Person>
          <b:Person>
            <b:Last>Siebrits</b:Last>
            <b:First>Krige</b:First>
          </b:Person>
        </b:NameList>
      </b:Author>
    </b:Author>
    <b:Title>Strategies for Fiscal Consolidation after the International Financial Crisis</b:Title>
    <b:Year>2017</b:Year>
    <b:Publisher>Department of Economics</b:Publisher>
    <b:City>Stellenbosch University</b:City>
    <b:RefOrder>2</b:RefOrder>
  </b:Source>
  <b:Source>
    <b:Tag>Int18</b:Tag>
    <b:SourceType>Report</b:SourceType>
    <b:Guid>{4369784A-54BB-4F73-AE5F-00494CA2BEE1}</b:Guid>
    <b:Title>Fiscal monitor</b:Title>
    <b:Year>2018</b:Year>
    <b:Author>
      <b:Author>
        <b:Corporate>International Monetary Fund</b:Corporate>
      </b:Author>
    </b:Author>
    <b:Publisher>International Monetary Fund</b:Publisher>
    <b:City>Washington, DC</b:City>
    <b:RefOrder>3</b:RefOrder>
  </b:Source>
  <b:Source>
    <b:Tag>Kap15</b:Tag>
    <b:SourceType>JournalArticle</b:SourceType>
    <b:Guid>{3479CA94-780B-40DA-8536-5D452FCFCA0D}</b:Guid>
    <b:Title>Does Fairness Matter for the Success of Fiscal Consolidation?</b:Title>
    <b:Year>2015</b:Year>
    <b:Author>
      <b:Author>
        <b:NameList>
          <b:Person>
            <b:Last>Kaplanoglou</b:Last>
            <b:First>Georgia</b:First>
          </b:Person>
          <b:Person>
            <b:Last>Rapanos</b:Last>
            <b:First>Vassilis</b:First>
            <b:Middle>T</b:Middle>
          </b:Person>
          <b:Person>
            <b:Last>Bardakas</b:Last>
            <b:First>Ioanna</b:First>
            <b:Middle>C</b:Middle>
          </b:Person>
        </b:NameList>
      </b:Author>
    </b:Author>
    <b:JournalName>International Review of </b:JournalName>
    <b:Pages>197-219</b:Pages>
    <b:Volume>68</b:Volume>
    <b:Issue>2</b:Issue>
    <b:RefOrder>4</b:RefOrder>
  </b:Source>
  <b:Source>
    <b:Tag>Ale11</b:Tag>
    <b:SourceType>JournalArticle</b:SourceType>
    <b:Guid>{0D24D368-B714-4AB7-9576-AFD2E7455F08}</b:Guid>
    <b:Author>
      <b:Author>
        <b:NameList>
          <b:Person>
            <b:Last>Alesina</b:Last>
            <b:First>Alberto</b:First>
            <b:Middle>F</b:Middle>
          </b:Person>
          <b:Person>
            <b:Last>Ardagna</b:Last>
            <b:First>Silvia</b:First>
          </b:Person>
        </b:NameList>
      </b:Author>
    </b:Author>
    <b:Title>Large changes in fiscal policy: taxes versus spending</b:Title>
    <b:JournalName>NBER Working Paper </b:JournalName>
    <b:Year>2011</b:Year>
    <b:Volume>No. 15438</b:Volume>
    <b:RefOrder>5</b:RefOrder>
  </b:Source>
  <b:Source>
    <b:Tag>Gup03</b:Tag>
    <b:SourceType>JournalArticle</b:SourceType>
    <b:Guid>{D383FB2A-A5DC-4712-8BA4-9502B7CABD6E}</b:Guid>
    <b:Author>
      <b:Author>
        <b:NameList>
          <b:Person>
            <b:Last>Gupta</b:Last>
            <b:First>Sanjeev</b:First>
          </b:Person>
          <b:Person>
            <b:Last>Baldacci</b:Last>
            <b:First>Emanuele</b:First>
          </b:Person>
          <b:Person>
            <b:Last>Clements</b:Last>
            <b:First>Benedict</b:First>
          </b:Person>
          <b:Person>
            <b:Last>Tiongson</b:Last>
            <b:First>Erwin</b:First>
            <b:Middle>R</b:Middle>
          </b:Person>
        </b:NameList>
      </b:Author>
    </b:Author>
    <b:Title>What Sustains Fiscal Consolidations in Emerging Market Countries?</b:Title>
    <b:JournalName>IMF Working Paper</b:JournalName>
    <b:Year>2003</b:Year>
    <b:Pages>1-27</b:Pages>
    <b:URL>https://ssrn.com/abstract=880917</b:URL>
    <b:RefOrder>6</b:RefOrder>
  </b:Source>
  <b:Source>
    <b:Tag>2012a</b:Tag>
    <b:SourceType>JournalArticle</b:SourceType>
    <b:Guid>{FA74837C-E7D6-46BC-A122-1AB5C14E6E22}</b:Guid>
    <b:Author>
      <b:Author>
        <b:NameList>
          <b:Person>
            <b:Last>Molnar</b:Last>
            <b:First>M</b:First>
          </b:Person>
        </b:NameList>
      </b:Author>
    </b:Author>
    <b:Title>Fiscal consolidation: What factors determine the success of consolidation efforts?</b:Title>
    <b:JournalName>OECD Journal: Economic</b:JournalName>
    <b:Year>2012a</b:Year>
    <b:Volume>2012</b:Volume>
    <b:Issue>1</b:Issue>
    <b:URL>https://www.oecd-ilibrary.org/economics</b:URL>
    <b:RefOrder>7</b:RefOrder>
  </b:Source>
  <b:Source>
    <b:Tag>Afo11</b:Tag>
    <b:SourceType>JournalArticle</b:SourceType>
    <b:Guid>{45BED748-7ACA-4D86-9D36-86B6A544AA88}</b:Guid>
    <b:Author>
      <b:Author>
        <b:NameList>
          <b:Person>
            <b:Last>Afonso</b:Last>
            <b:First>A</b:First>
          </b:Person>
          <b:Person>
            <b:Last>Jalles</b:Last>
            <b:First>J.</b:First>
            <b:Middle>T</b:Middle>
          </b:Person>
        </b:NameList>
      </b:Author>
    </b:Author>
    <b:Title>Measuring the Success of Fiscal Consolidations. Technical University Of Lisbon</b:Title>
    <b:JournalName>School of Economics and Management</b:JournalName>
    <b:Year>2011</b:Year>
    <b:Volume>WP 22/2011/DE/UECE</b:Volume>
    <b:URL>https://pdfs.semanticscholar.org/</b:URL>
    <b:RefOrder>8</b:RefOrder>
  </b:Source>
  <b:Source>
    <b:Tag>Bur15</b:Tag>
    <b:SourceType>JournalArticle</b:SourceType>
    <b:Guid>{2DF53504-25AF-464F-A4B4-256D2548C372}</b:Guid>
    <b:Author>
      <b:Author>
        <b:NameList>
          <b:Person>
            <b:Last>Burger</b:Last>
            <b:First>P</b:First>
          </b:Person>
          <b:Person>
            <b:Last>Siebrits</b:Last>
            <b:First>K</b:First>
          </b:Person>
          <b:Person>
            <b:Last>Calitz</b:Last>
            <b:First>E</b:First>
          </b:Person>
        </b:NameList>
      </b:Author>
    </b:Author>
    <b:Title>The public sector balance sheet and fiscal consolidation in South Africa</b:Title>
    <b:JournalName>Stellenbosch Economic Working Papers</b:JournalName>
    <b:Year>2015</b:Year>
    <b:Volume>11</b:Volume>
    <b:Issue>15</b:Issue>
    <b:RefOrder>9</b:RefOrder>
  </b:Source>
  <b:Source>
    <b:Tag>von01</b:Tag>
    <b:SourceType>JournalArticle</b:SourceType>
    <b:Guid>{93EF67C7-676D-4172-A943-DA04641F5F32}</b:Guid>
    <b:Author>
      <b:Author>
        <b:NameList>
          <b:Person>
            <b:Last>Von Hagen</b:Last>
            <b:First>J</b:First>
          </b:Person>
          <b:Person>
            <b:Last>Strauch</b:Last>
            <b:First>Rolf</b:First>
            <b:Middle>R</b:Middle>
          </b:Person>
        </b:NameList>
      </b:Author>
    </b:Author>
    <b:Title>Fiscal Consolidations: Quality, Economic Conditions, and Success</b:Title>
    <b:JournalName>Public Choice</b:JournalName>
    <b:Year>2001</b:Year>
    <b:Pages>327–346</b:Pages>
    <b:Volume>109</b:Volume>
    <b:Issue>3–4</b:Issue>
    <b:RefOrder>10</b:RefOrder>
  </b:Source>
  <b:Source>
    <b:Tag>Dep6a</b:Tag>
    <b:SourceType>Report</b:SourceType>
    <b:Guid>{76668641-2DCB-4B9D-A74F-41378170BEBD}</b:Guid>
    <b:Author>
      <b:Author>
        <b:Corporate>Department of Finance</b:Corporate>
      </b:Author>
    </b:Author>
    <b:Title>Budget Review</b:Title>
    <b:Year>1996a</b:Year>
    <b:Publisher>Department of Finance</b:Publisher>
    <b:City>Pretoria</b:City>
    <b:RefOrder>11</b:RefOrder>
  </b:Source>
  <b:Source>
    <b:Tag>Dep961</b:Tag>
    <b:SourceType>Report</b:SourceType>
    <b:Guid>{43E938E3-FA05-410D-938B-4893BE86D01D}</b:Guid>
    <b:Author>
      <b:Author>
        <b:Corporate>Department of Finance</b:Corporate>
      </b:Author>
    </b:Author>
    <b:Title>Growth, Employment and Redistribution: A Macroeconomic Strategy for South Africa (GEAR)</b:Title>
    <b:Year>1996b</b:Year>
    <b:Publisher>Department of Finance</b:Publisher>
    <b:City>Pretoria</b:City>
    <b:RefOrder>12</b:RefOrder>
  </b:Source>
  <b:Source>
    <b:Tag>Nat</b:Tag>
    <b:SourceType>InternetSite</b:SourceType>
    <b:Guid>{45D6ED57-2523-4863-A910-8300DA27E226}</b:Guid>
    <b:Author>
      <b:Author>
        <b:Corporate>National Treasury</b:Corporate>
      </b:Author>
    </b:Author>
    <b:Title>Budget Information</b:Title>
    <b:URL>http://www.treasury.gov.za/</b:URL>
    <b:Year>2019</b:Year>
    <b:RefOrder>13</b:RefOrder>
  </b:Source>
  <b:Source>
    <b:Tag>Sou19</b:Tag>
    <b:SourceType>InternetSite</b:SourceType>
    <b:Guid>{D4FB1F5F-B5BA-4624-8FBB-5D13C5ABD5E9}</b:Guid>
    <b:Author>
      <b:Author>
        <b:Corporate>South African Reserve Bank</b:Corporate>
      </b:Author>
    </b:Author>
    <b:Title>Statistics</b:Title>
    <b:Year>2019</b:Year>
    <b:URL>https://www.resbank.co.za/Research/Statistics/Pages/Statistics</b:URL>
    <b:RefOrder>14</b:RefOrder>
  </b:Source>
  <b:Source>
    <b:Tag>Hor05</b:Tag>
    <b:SourceType>BookSection</b:SourceType>
    <b:Guid>{6041AFB1-D905-49B5-9D50-6EBE13F9CAE7}</b:Guid>
    <b:Author>
      <b:Author>
        <b:NameList>
          <b:Person>
            <b:Last>Horton</b:Last>
            <b:First>M</b:First>
          </b:Person>
        </b:NameList>
      </b:Author>
      <b:Editor>
        <b:NameList>
          <b:Person>
            <b:Last>Nowak</b:Last>
            <b:First>M</b:First>
          </b:Person>
          <b:Person>
            <b:Last>Ricci</b:Last>
            <b:First>L</b:First>
            <b:Middle>A</b:Middle>
          </b:Person>
        </b:NameList>
      </b:Editor>
    </b:Author>
    <b:Title>Role of fiscal policy in stabilization and poverty alleviation</b:Title>
    <b:Year>2005</b:Year>
    <b:BookTitle>Post-Apartheid South Africa: The first ten years</b:BookTitle>
    <b:Pages>79-111</b:Pages>
    <b:City>Washington, D.C.</b:City>
    <b:Publisher>International Monetary Fund</b:Publisher>
    <b:RefOrder>15</b:RefOrder>
  </b:Source>
  <b:Source>
    <b:Tag>Kom13</b:Tag>
    <b:SourceType>JournalArticle</b:SourceType>
    <b:Guid>{9D43B918-8E88-409E-8F9C-BDD34BAD5B14}</b:Guid>
    <b:Title>The trajectory of economic development policies in South Africa. The case for public policy analysis.</b:Title>
    <b:Year>2013</b:Year>
    <b:Pages>142-160</b:Pages>
    <b:Author>
      <b:Author>
        <b:NameList>
          <b:Person>
            <b:Last>Koma</b:Last>
            <b:First>S</b:First>
            <b:Middle>B</b:Middle>
          </b:Person>
        </b:NameList>
      </b:Author>
    </b:Author>
    <b:JournalName>Administratio Publica</b:JournalName>
    <b:Volume>21</b:Volume>
    <b:Issue>1</b:Issue>
    <b:URL>https://journal.assadpam.net/</b:URL>
    <b:RefOrder>16</b:RefOrder>
  </b:Source>
  <b:Source>
    <b:Tag>Bal04</b:Tag>
    <b:SourceType>BookSection</b:SourceType>
    <b:Guid>{67C23751-0831-4FAA-840E-01570B616633}</b:Guid>
    <b:Title>Persistance of fiscal adjustments and expenditure composition in low-income countries</b:Title>
    <b:Year>2004</b:Year>
    <b:Pages>48-66</b:Pages>
    <b:Author>
      <b:Author>
        <b:NameList>
          <b:Person>
            <b:Last>Baldacci</b:Last>
            <b:First>E.</b:First>
          </b:Person>
          <b:Person>
            <b:Last>Clements</b:Last>
            <b:First>B.</b:First>
          </b:Person>
          <b:Person>
            <b:Last>Gupta</b:Last>
            <b:First>S</b:First>
          </b:Person>
          <b:Person>
            <b:Last>Mulas-Granados</b:Last>
            <b:First>C</b:First>
          </b:Person>
        </b:NameList>
      </b:Author>
      <b:Editor>
        <b:NameList>
          <b:Person>
            <b:Last>Gupta</b:Last>
            <b:First>S.</b:First>
          </b:Person>
          <b:Person>
            <b:Last>Clemments</b:Last>
            <b:First>B</b:First>
          </b:Person>
          <b:Person>
            <b:Last>. Inchauste</b:Last>
            <b:First>G</b:First>
          </b:Person>
        </b:NameList>
      </b:Editor>
    </b:Author>
    <b:BookTitle>Helping countries develop: the role of fiscal policy</b:BookTitle>
    <b:City>Washington, D.C</b:City>
    <b:Publisher>International Monetary Fund</b:Publisher>
    <b:RefOrder>17</b:RefOrder>
  </b:Source>
  <b:Source>
    <b:Tag>Mar18</b:Tag>
    <b:SourceType>Report</b:SourceType>
    <b:Guid>{8B997F0F-B98D-494E-A85A-7F3EF81ECAB7}</b:Guid>
    <b:Title>Polity IV Project: Dataset Users’ Manual</b:Title>
    <b:Year>2018</b:Year>
    <b:Author>
      <b:Author>
        <b:NameList>
          <b:Person>
            <b:Last>Marshall</b:Last>
            <b:First>M</b:First>
            <b:Middle>G</b:Middle>
          </b:Person>
          <b:Person>
            <b:Last>Gurr</b:Last>
            <b:First>T</b:First>
            <b:Middle>R</b:Middle>
          </b:Person>
          <b:Person>
            <b:Last>Jaggers</b:Last>
            <b:First>K</b:First>
          </b:Person>
        </b:NameList>
      </b:Author>
    </b:Author>
    <b:Publisher>George Mason University and Center for Systemic Peace</b:Publisher>
    <b:City>Vienna</b:City>
    <b:RefOrder>18</b:RefOrder>
  </b:Source>
  <b:Source>
    <b:Tag>Tal00</b:Tag>
    <b:SourceType>JournalArticle</b:SourceType>
    <b:Guid>{84312450-FDFB-4F92-A21C-980AACB5D648}</b:Guid>
    <b:Title>Tax base variability and procyclical fiscal policy</b:Title>
    <b:Year>2000</b:Year>
    <b:Author>
      <b:Author>
        <b:NameList>
          <b:Person>
            <b:Last>Talvi</b:Last>
            <b:First>E</b:First>
          </b:Person>
          <b:Person>
            <b:Last>Vègh</b:Last>
            <b:First>C.A</b:First>
          </b:Person>
        </b:NameList>
      </b:Author>
    </b:Author>
    <b:JournalName>National Bureau of Economic Research</b:JournalName>
    <b:Volume>Working paper No. 7499</b:Volume>
    <b:RefOrder>19</b:RefOrder>
  </b:Source>
  <b:Source>
    <b:Tag>Cap14</b:Tag>
    <b:SourceType>Report</b:SourceType>
    <b:Guid>{B72A9B36-B687-4104-925A-170616C98BFD}</b:Guid>
    <b:Title>The fiscal and monetary history of Chile 1960-2010</b:Title>
    <b:Year>2014</b:Year>
    <b:Author>
      <b:Author>
        <b:NameList>
          <b:Person>
            <b:Last>Caputo</b:Last>
            <b:First>R</b:First>
          </b:Person>
          <b:Person>
            <b:Last>Sarabia</b:Last>
            <b:First>D</b:First>
          </b:Person>
        </b:NameList>
      </b:Author>
    </b:Author>
    <b:Publisher>Central Bank of Chile</b:Publisher>
    <b:City>Santiago</b:City>
    <b:RefOrder>20</b:RefOrder>
  </b:Source>
  <b:Source>
    <b:Tag>Fie04</b:Tag>
    <b:SourceType>Report</b:SourceType>
    <b:Guid>{65520CAF-4967-41CD-A09A-0E0C343EBFE3}</b:Guid>
    <b:Author>
      <b:Author>
        <b:NameList>
          <b:Person>
            <b:Last>Fiess</b:Last>
            <b:First>N</b:First>
          </b:Person>
        </b:NameList>
      </b:Author>
    </b:Author>
    <b:Title>Chile’s fiscal rule.</b:Title>
    <b:Year>2004</b:Year>
    <b:Publisher>Econometric Society</b:Publisher>
    <b:RefOrder>21</b:RefOrder>
  </b:Source>
  <b:Source>
    <b:Tag>Car18</b:Tag>
    <b:SourceType>JournalArticle</b:SourceType>
    <b:Guid>{91472A7F-0E54-464A-A72B-80BA072007E4}</b:Guid>
    <b:Title>The macroeconomic effects of fiscal consolidation in emerging economies: Evidence from Latin America</b:Title>
    <b:Year>2018</b:Year>
    <b:Author>
      <b:Author>
        <b:NameList>
          <b:Person>
            <b:Last>Carrière-Swallow</b:Last>
            <b:First>Y</b:First>
          </b:Person>
          <b:Person>
            <b:Last>David</b:Last>
            <b:First>A</b:First>
            <b:Middle>C</b:Middle>
          </b:Person>
          <b:Person>
            <b:Last>Leigh</b:Last>
            <b:First>D</b:First>
          </b:Person>
        </b:NameList>
      </b:Author>
    </b:Author>
    <b:JournalName>International Monetary Fund</b:JournalName>
    <b:Volume>Working Paper No. WP/18/142</b:Volume>
    <b:RefOrder>22</b:RefOrder>
  </b:Source>
  <b:Source>
    <b:Tag>Dav18</b:Tag>
    <b:SourceType>JournalArticle</b:SourceType>
    <b:Guid>{A0D53547-A444-4A2D-81D6-44DB1CD3110F}</b:Guid>
    <b:Author>
      <b:Author>
        <b:NameList>
          <b:Person>
            <b:Last>David</b:Last>
            <b:First>A.C</b:First>
          </b:Person>
          <b:Person>
            <b:Last>Leigh</b:Last>
            <b:First>D</b:First>
          </b:Person>
        </b:NameList>
      </b:Author>
    </b:Author>
    <b:Title>A new action-based dataset of fiscal consolidation in Latin America and the Caribbean</b:Title>
    <b:JournalName>International Monetary Fund</b:JournalName>
    <b:Year>2018</b:Year>
    <b:Volume>Working Paper No. WP/18/94</b:Volume>
    <b:RefOrder>23</b:RefOrder>
  </b:Source>
  <b:Source>
    <b:Tag>Eas07</b:Tag>
    <b:SourceType>JournalArticle</b:SourceType>
    <b:Guid>{6B3E9007-A316-4DBC-A53B-A23487B4BB3F}</b:Guid>
    <b:Author>
      <b:Author>
        <b:NameList>
          <b:Person>
            <b:Last>Easterly</b:Last>
            <b:First>W</b:First>
          </b:Person>
          <b:Person>
            <b:Last>Irwin</b:Last>
            <b:First>T</b:First>
          </b:Person>
          <b:Person>
            <b:Last>Servèn</b:Last>
            <b:First>L</b:First>
          </b:Person>
        </b:NameList>
      </b:Author>
    </b:Author>
    <b:Title>Walking up the down escalator: Public investment and fiscal stability</b:Title>
    <b:JournalName>World Bank</b:JournalName>
    <b:Year>2007</b:Year>
    <b:Volume>Policy Research Working Paper </b:Volume>
    <b:Issue>4158</b:Issue>
    <b:RefOrder>24</b:RefOrder>
  </b:Source>
</b:Sources>
</file>

<file path=customXml/itemProps1.xml><?xml version="1.0" encoding="utf-8"?>
<ds:datastoreItem xmlns:ds="http://schemas.openxmlformats.org/officeDocument/2006/customXml" ds:itemID="{0B0BEEBB-4C77-4740-9486-ED5DEADA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6787</Words>
  <Characters>38691</Characters>
  <Application>Microsoft Office Word</Application>
  <DocSecurity>0</DocSecurity>
  <Lines>322</Lines>
  <Paragraphs>90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Introduction</vt:lpstr>
      <vt:lpstr>Methodology</vt:lpstr>
      <vt:lpstr>    Data preparation – improving the match on energy and economic coal data</vt:lpstr>
      <vt:lpstr>    Characterization of the coal and power sectors in SATIM</vt:lpstr>
      <vt:lpstr>        </vt:lpstr>
      <vt:lpstr>    Characterization of the Links between SATIM and eSAGE</vt:lpstr>
      <vt:lpstr>    Energy intermediate input coefficients for activities in eSAGE</vt:lpstr>
      <vt:lpstr>    Specifying the capital supply to the electricity sector in eSAGE</vt:lpstr>
      <vt:lpstr>    Adjusting labour and capital inputs for the electricity sector activity in eSAGE</vt:lpstr>
      <vt:lpstr>    Labour intensity for the electricity sector in eSAGE</vt:lpstr>
      <vt:lpstr>    Capital intensity for the electricity sector in eSAGE</vt:lpstr>
      <vt:lpstr>    Specifying the capital supply to the coal-mining sector in eSAGE</vt:lpstr>
      <vt:lpstr>    Adjusting the labour/capital inputs of the coal-mining sector in eSAGE</vt:lpstr>
      <vt:lpstr>Scenarios and assumptions</vt:lpstr>
      <vt:lpstr>Results</vt:lpstr>
      <vt:lpstr>    Power capacity and production</vt:lpstr>
      <vt:lpstr>    GDP and employment impact</vt:lpstr>
      <vt:lpstr>Conclusion</vt:lpstr>
      <vt:lpstr>References</vt:lpstr>
    </vt:vector>
  </TitlesOfParts>
  <Company>University of Cape Town</Company>
  <LinksUpToDate>false</LinksUpToDate>
  <CharactersWithSpaces>45388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Falik, Jamed (IFPRI)</dc:creator>
  <cp:lastModifiedBy>bruno merven</cp:lastModifiedBy>
  <cp:revision>4</cp:revision>
  <cp:lastPrinted>2020-01-31T10:50:00Z</cp:lastPrinted>
  <dcterms:created xsi:type="dcterms:W3CDTF">2020-01-31T10:50:00Z</dcterms:created>
  <dcterms:modified xsi:type="dcterms:W3CDTF">2020-01-31T11:02:00Z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