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3BC80F" w14:textId="31237F56" w:rsidR="00F0156B" w:rsidRDefault="006B600D" w:rsidP="00C16CBE">
      <w:pPr>
        <w:pStyle w:val="Title"/>
        <w:spacing w:before="720" w:line="276" w:lineRule="auto"/>
        <w:rPr>
          <w:sz w:val="48"/>
          <w:szCs w:val="48"/>
        </w:rPr>
      </w:pPr>
      <w:bookmarkStart w:id="0" w:name="_GoBack"/>
      <w:bookmarkEnd w:id="0"/>
      <w:r w:rsidRPr="006B600D">
        <w:rPr>
          <w:sz w:val="48"/>
          <w:szCs w:val="48"/>
        </w:rPr>
        <w:t xml:space="preserve">Private </w:t>
      </w:r>
      <w:r w:rsidR="00FD22BF">
        <w:rPr>
          <w:sz w:val="48"/>
          <w:szCs w:val="48"/>
        </w:rPr>
        <w:t>t</w:t>
      </w:r>
      <w:r w:rsidR="00FD22BF" w:rsidRPr="006B600D">
        <w:rPr>
          <w:sz w:val="48"/>
          <w:szCs w:val="48"/>
        </w:rPr>
        <w:t xml:space="preserve">ransport </w:t>
      </w:r>
      <w:r w:rsidR="00FD22BF">
        <w:rPr>
          <w:sz w:val="48"/>
          <w:szCs w:val="48"/>
        </w:rPr>
        <w:t>m</w:t>
      </w:r>
      <w:r w:rsidR="00FD22BF" w:rsidRPr="006B600D">
        <w:rPr>
          <w:sz w:val="48"/>
          <w:szCs w:val="48"/>
        </w:rPr>
        <w:t xml:space="preserve">odelled </w:t>
      </w:r>
      <w:r w:rsidRPr="006B600D">
        <w:rPr>
          <w:sz w:val="48"/>
          <w:szCs w:val="48"/>
        </w:rPr>
        <w:t xml:space="preserve">in SATIMGE and the </w:t>
      </w:r>
      <w:r w:rsidR="00FD22BF">
        <w:rPr>
          <w:sz w:val="48"/>
          <w:szCs w:val="48"/>
        </w:rPr>
        <w:t>s</w:t>
      </w:r>
      <w:r w:rsidR="00FD22BF" w:rsidRPr="006B600D">
        <w:rPr>
          <w:sz w:val="48"/>
          <w:szCs w:val="48"/>
        </w:rPr>
        <w:t>ocio</w:t>
      </w:r>
      <w:r w:rsidRPr="006B600D">
        <w:rPr>
          <w:sz w:val="48"/>
          <w:szCs w:val="48"/>
        </w:rPr>
        <w:t>-</w:t>
      </w:r>
      <w:r w:rsidR="00FD22BF">
        <w:rPr>
          <w:sz w:val="48"/>
          <w:szCs w:val="48"/>
        </w:rPr>
        <w:t>e</w:t>
      </w:r>
      <w:r w:rsidR="00FD22BF" w:rsidRPr="006B600D">
        <w:rPr>
          <w:sz w:val="48"/>
          <w:szCs w:val="48"/>
        </w:rPr>
        <w:t xml:space="preserve">conomic </w:t>
      </w:r>
      <w:r w:rsidR="00FD22BF">
        <w:rPr>
          <w:sz w:val="48"/>
          <w:szCs w:val="48"/>
        </w:rPr>
        <w:t>i</w:t>
      </w:r>
      <w:r w:rsidR="00FD22BF" w:rsidRPr="006B600D">
        <w:rPr>
          <w:sz w:val="48"/>
          <w:szCs w:val="48"/>
        </w:rPr>
        <w:t xml:space="preserve">mpacts </w:t>
      </w:r>
      <w:r w:rsidRPr="006B600D">
        <w:rPr>
          <w:sz w:val="48"/>
          <w:szCs w:val="48"/>
        </w:rPr>
        <w:t xml:space="preserve">of </w:t>
      </w:r>
      <w:r w:rsidR="00FD22BF">
        <w:rPr>
          <w:sz w:val="48"/>
          <w:szCs w:val="48"/>
        </w:rPr>
        <w:t>electric vehicle</w:t>
      </w:r>
      <w:r w:rsidR="00FD22BF" w:rsidRPr="006B600D">
        <w:rPr>
          <w:sz w:val="48"/>
          <w:szCs w:val="48"/>
        </w:rPr>
        <w:t>s</w:t>
      </w:r>
      <w:r w:rsidR="00FD22BF">
        <w:rPr>
          <w:sz w:val="48"/>
          <w:szCs w:val="48"/>
        </w:rPr>
        <w:t xml:space="preserve"> in South Africa</w:t>
      </w:r>
    </w:p>
    <w:p w14:paraId="2DC9B4F0" w14:textId="4A9DD4E1" w:rsidR="00F0156B" w:rsidRDefault="00C16CBE" w:rsidP="00C16CBE">
      <w:pPr>
        <w:pStyle w:val="AuthorNames"/>
        <w:rPr>
          <w:b/>
          <w:bCs/>
        </w:rPr>
      </w:pPr>
      <w:r w:rsidRPr="00C16CBE">
        <w:rPr>
          <w:b/>
          <w:bCs/>
        </w:rPr>
        <w:t>Bruno Merven, Faaiqa Hartley</w:t>
      </w:r>
      <w:r w:rsidR="00103A9C">
        <w:rPr>
          <w:b/>
          <w:bCs/>
        </w:rPr>
        <w:t>,</w:t>
      </w:r>
      <w:r w:rsidRPr="00C16CBE">
        <w:rPr>
          <w:b/>
          <w:bCs/>
        </w:rPr>
        <w:t xml:space="preserve"> Jules Schers</w:t>
      </w:r>
      <w:r w:rsidR="00103A9C">
        <w:rPr>
          <w:b/>
          <w:bCs/>
        </w:rPr>
        <w:t xml:space="preserve"> and Fadiel</w:t>
      </w:r>
      <w:r w:rsidR="00EC523B">
        <w:rPr>
          <w:b/>
          <w:bCs/>
        </w:rPr>
        <w:t xml:space="preserve"> Ahjum</w:t>
      </w:r>
    </w:p>
    <w:p w14:paraId="7CBFD60A" w14:textId="77777777" w:rsidR="00F0156B" w:rsidRDefault="00093014" w:rsidP="00C16CBE">
      <w:pPr>
        <w:pStyle w:val="Heading1"/>
        <w:numPr>
          <w:ilvl w:val="0"/>
          <w:numId w:val="0"/>
        </w:numPr>
        <w:rPr>
          <w:lang w:val="en-GB"/>
        </w:rPr>
      </w:pPr>
      <w:bookmarkStart w:id="1" w:name="_Toc508797956"/>
      <w:r>
        <w:rPr>
          <w:lang w:val="en-GB"/>
        </w:rPr>
        <w:t>Abstract</w:t>
      </w:r>
      <w:bookmarkEnd w:id="1"/>
    </w:p>
    <w:p w14:paraId="34CE8A74" w14:textId="7DA65931" w:rsidR="00F0156B" w:rsidRDefault="007F3F0C" w:rsidP="00C16CBE">
      <w:pPr>
        <w:rPr>
          <w:rFonts w:eastAsia="Calibri" w:cs="Calibri"/>
        </w:rPr>
      </w:pPr>
      <w:r>
        <w:rPr>
          <w:rFonts w:eastAsia="Calibri" w:cs="Calibri"/>
        </w:rPr>
        <w:t>This paper presents an alternative methodology to modelling private transport in the</w:t>
      </w:r>
      <w:r w:rsidR="00CF3BC3">
        <w:rPr>
          <w:rFonts w:eastAsia="Calibri" w:cs="Calibri"/>
        </w:rPr>
        <w:t xml:space="preserve"> hard-</w:t>
      </w:r>
      <w:r>
        <w:rPr>
          <w:rFonts w:eastAsia="Calibri" w:cs="Calibri"/>
        </w:rPr>
        <w:t xml:space="preserve">linked energy-economic model, SATIMGE. </w:t>
      </w:r>
      <w:r w:rsidR="00D8130E">
        <w:rPr>
          <w:rFonts w:eastAsia="Calibri" w:cs="Calibri"/>
        </w:rPr>
        <w:t xml:space="preserve">The methodology considers a shift from total fuel consumption in the economic model to end-use energy consumption for the private transport sector. The results show an improved </w:t>
      </w:r>
      <w:r w:rsidR="00CF3BC3">
        <w:rPr>
          <w:rFonts w:eastAsia="Calibri" w:cs="Calibri"/>
        </w:rPr>
        <w:t>synergy between the energy and economic model</w:t>
      </w:r>
      <w:r w:rsidR="00FD22BF">
        <w:rPr>
          <w:rFonts w:eastAsia="Calibri" w:cs="Calibri"/>
        </w:rPr>
        <w:t>s</w:t>
      </w:r>
      <w:r w:rsidR="00CF3BC3">
        <w:rPr>
          <w:rFonts w:eastAsia="Calibri" w:cs="Calibri"/>
        </w:rPr>
        <w:t xml:space="preserve"> in the hard-linked model. The </w:t>
      </w:r>
      <w:r w:rsidR="00697E26">
        <w:rPr>
          <w:rFonts w:eastAsia="Calibri" w:cs="Calibri"/>
        </w:rPr>
        <w:t xml:space="preserve">paper uses the new model to assess the energy, emissions and economic impacts of </w:t>
      </w:r>
      <w:r w:rsidR="00FD22BF">
        <w:rPr>
          <w:rFonts w:eastAsia="Calibri" w:cs="Calibri"/>
        </w:rPr>
        <w:t xml:space="preserve">electric vehicle </w:t>
      </w:r>
      <w:r w:rsidR="00697E26">
        <w:rPr>
          <w:rFonts w:eastAsia="Calibri" w:cs="Calibri"/>
        </w:rPr>
        <w:t>adoption i</w:t>
      </w:r>
      <w:r w:rsidR="00FD22BF">
        <w:rPr>
          <w:rFonts w:eastAsia="Calibri" w:cs="Calibri"/>
        </w:rPr>
        <w:t>n</w:t>
      </w:r>
      <w:r w:rsidR="00697E26">
        <w:rPr>
          <w:rFonts w:eastAsia="Calibri" w:cs="Calibri"/>
        </w:rPr>
        <w:t xml:space="preserve"> South Africa. </w:t>
      </w:r>
      <w:r w:rsidR="00697E26">
        <w:t>The results show that shifting from traditional fossil fuel technologies to cleaner alternatives are beneficial for emissions reductions without being harmful to economic growth over the long</w:t>
      </w:r>
      <w:r w:rsidR="00FD22BF">
        <w:t xml:space="preserve"> </w:t>
      </w:r>
      <w:r w:rsidR="00697E26">
        <w:t>term. The impact</w:t>
      </w:r>
      <w:r w:rsidR="00FD22BF">
        <w:t xml:space="preserve"> is,</w:t>
      </w:r>
      <w:r w:rsidR="00697E26">
        <w:t xml:space="preserve"> however</w:t>
      </w:r>
      <w:r w:rsidR="00FD22BF">
        <w:t>,</w:t>
      </w:r>
      <w:r w:rsidR="00697E26">
        <w:t xml:space="preserve"> dependent on the </w:t>
      </w:r>
      <w:r w:rsidR="00E77414">
        <w:t xml:space="preserve">rebound effect of </w:t>
      </w:r>
      <w:r w:rsidR="00697E26">
        <w:t xml:space="preserve">behavioural </w:t>
      </w:r>
      <w:r w:rsidR="00E77414">
        <w:t>changes</w:t>
      </w:r>
      <w:r w:rsidR="00697E26">
        <w:t xml:space="preserve"> to fuel economy improvements.</w:t>
      </w:r>
    </w:p>
    <w:p w14:paraId="4164DC31" w14:textId="77777777" w:rsidR="006F06AE" w:rsidRPr="006F06AE" w:rsidRDefault="006F06AE" w:rsidP="006F06AE"/>
    <w:p w14:paraId="65189A55" w14:textId="77777777" w:rsidR="006F06AE" w:rsidRPr="006F06AE" w:rsidRDefault="006F06AE" w:rsidP="006F06AE"/>
    <w:p w14:paraId="324A2F08" w14:textId="77777777" w:rsidR="006F06AE" w:rsidRPr="006F06AE" w:rsidRDefault="006F06AE" w:rsidP="006F06AE"/>
    <w:p w14:paraId="541DD52A" w14:textId="77777777" w:rsidR="006F06AE" w:rsidRPr="006F06AE" w:rsidRDefault="006F06AE" w:rsidP="006F06AE"/>
    <w:p w14:paraId="47FEDE6C" w14:textId="77777777" w:rsidR="006F06AE" w:rsidRPr="006F06AE" w:rsidRDefault="006F06AE" w:rsidP="006F06AE"/>
    <w:p w14:paraId="17B7B4C8" w14:textId="77777777" w:rsidR="006F06AE" w:rsidRPr="006F06AE" w:rsidRDefault="006F06AE" w:rsidP="006F06AE"/>
    <w:p w14:paraId="5E28CCC2" w14:textId="77777777" w:rsidR="006F06AE" w:rsidRPr="006F06AE" w:rsidRDefault="006F06AE" w:rsidP="006F06AE"/>
    <w:p w14:paraId="753EC33B" w14:textId="77777777" w:rsidR="006F06AE" w:rsidRPr="006F06AE" w:rsidRDefault="006F06AE" w:rsidP="006F06AE"/>
    <w:p w14:paraId="0E6255D0" w14:textId="77777777" w:rsidR="006F06AE" w:rsidRDefault="006F06AE" w:rsidP="006F06AE">
      <w:pPr>
        <w:rPr>
          <w:rFonts w:eastAsia="Calibri" w:cs="Calibri"/>
        </w:rPr>
      </w:pPr>
    </w:p>
    <w:p w14:paraId="2F5F3040" w14:textId="2BD29448" w:rsidR="006F06AE" w:rsidRDefault="006F06AE" w:rsidP="006F06AE">
      <w:pPr>
        <w:tabs>
          <w:tab w:val="left" w:pos="1995"/>
        </w:tabs>
        <w:rPr>
          <w:rFonts w:eastAsia="Calibri" w:cs="Calibri"/>
        </w:rPr>
      </w:pPr>
      <w:r>
        <w:rPr>
          <w:rFonts w:eastAsia="Calibri" w:cs="Calibri"/>
        </w:rPr>
        <w:tab/>
      </w:r>
    </w:p>
    <w:p w14:paraId="6852C332" w14:textId="71B8AAD4" w:rsidR="006F06AE" w:rsidRPr="006F06AE" w:rsidRDefault="006F06AE" w:rsidP="006F06AE">
      <w:pPr>
        <w:tabs>
          <w:tab w:val="left" w:pos="1995"/>
        </w:tabs>
        <w:sectPr w:rsidR="006F06AE" w:rsidRPr="006F06AE">
          <w:headerReference w:type="default" r:id="rId8"/>
          <w:footerReference w:type="default" r:id="rId9"/>
          <w:pgSz w:w="11906" w:h="16838"/>
          <w:pgMar w:top="1701" w:right="1418" w:bottom="1440" w:left="1418" w:header="720" w:footer="0" w:gutter="0"/>
          <w:cols w:space="720"/>
          <w:formProt w:val="0"/>
          <w:docGrid w:linePitch="360" w:charSpace="4096"/>
        </w:sectPr>
      </w:pPr>
    </w:p>
    <w:p w14:paraId="3E7A9F1C" w14:textId="287E8D74" w:rsidR="00F0156B" w:rsidRDefault="00093014" w:rsidP="00424303">
      <w:pPr>
        <w:pStyle w:val="Heading1"/>
        <w:numPr>
          <w:ilvl w:val="0"/>
          <w:numId w:val="2"/>
        </w:numPr>
        <w:spacing w:line="276" w:lineRule="auto"/>
      </w:pPr>
      <w:r>
        <w:lastRenderedPageBreak/>
        <w:t>Introduction</w:t>
      </w:r>
    </w:p>
    <w:p w14:paraId="5C9D7720" w14:textId="010943D4" w:rsidR="00103A9C" w:rsidRDefault="00103A9C" w:rsidP="00E136B9">
      <w:r>
        <w:t xml:space="preserve">The transport sector accounts for </w:t>
      </w:r>
      <w:r w:rsidR="00EC523B">
        <w:t>14</w:t>
      </w:r>
      <w:r>
        <w:t xml:space="preserve">% of total </w:t>
      </w:r>
      <w:r w:rsidR="00904948">
        <w:t xml:space="preserve">energy-related </w:t>
      </w:r>
      <w:commentRangeStart w:id="2"/>
      <w:r>
        <w:t>emissions</w:t>
      </w:r>
      <w:commentRangeEnd w:id="2"/>
      <w:r w:rsidR="00904948">
        <w:rPr>
          <w:rStyle w:val="CommentReference"/>
        </w:rPr>
        <w:commentReference w:id="2"/>
      </w:r>
      <w:r>
        <w:t xml:space="preserve"> in South Africa. As such it is the </w:t>
      </w:r>
      <w:r w:rsidR="00FD22BF">
        <w:t>second-</w:t>
      </w:r>
      <w:r>
        <w:t>largest emitting sector</w:t>
      </w:r>
      <w:r w:rsidR="00FD22BF">
        <w:t>,</w:t>
      </w:r>
      <w:r>
        <w:t xml:space="preserve"> </w:t>
      </w:r>
      <w:commentRangeStart w:id="3"/>
      <w:r>
        <w:t>along with industry</w:t>
      </w:r>
      <w:commentRangeEnd w:id="3"/>
      <w:r w:rsidR="00FB4879">
        <w:rPr>
          <w:rStyle w:val="CommentReference"/>
        </w:rPr>
        <w:commentReference w:id="3"/>
      </w:r>
      <w:r>
        <w:t>. The sector is directly linked to emissions produced within the industrial sector, specifically  liquid fuels</w:t>
      </w:r>
      <w:r w:rsidR="00FD22BF">
        <w:t>,</w:t>
      </w:r>
      <w:r>
        <w:t xml:space="preserve"> with </w:t>
      </w:r>
      <w:r w:rsidR="00EC523B">
        <w:t>nearly all</w:t>
      </w:r>
      <w:r>
        <w:t xml:space="preserve"> vehicle</w:t>
      </w:r>
      <w:r w:rsidR="00EC523B">
        <w:t>s</w:t>
      </w:r>
      <w:r>
        <w:t xml:space="preserve"> </w:t>
      </w:r>
      <w:r w:rsidR="00FD22BF">
        <w:t xml:space="preserve">that </w:t>
      </w:r>
      <w:r>
        <w:t>us</w:t>
      </w:r>
      <w:r w:rsidR="00FD22BF">
        <w:t>e</w:t>
      </w:r>
      <w:r>
        <w:t xml:space="preserve"> internal combustion engine technologies requiring petrol or diesel as an energy input. </w:t>
      </w:r>
      <w:r w:rsidR="00EC523B">
        <w:t>Nearly 100</w:t>
      </w:r>
      <w:r>
        <w:t xml:space="preserve">% of petrol and </w:t>
      </w:r>
      <w:r w:rsidR="00EC523B">
        <w:t xml:space="preserve">76% of </w:t>
      </w:r>
      <w:r>
        <w:t xml:space="preserve">diesel consumed in South Africa is </w:t>
      </w:r>
      <w:r w:rsidR="00874801">
        <w:t xml:space="preserve">accounted for </w:t>
      </w:r>
      <w:r>
        <w:t xml:space="preserve">by the transport sector. Residential transport, which includes public and private passenger transport, accounts for </w:t>
      </w:r>
      <w:r w:rsidR="00EC523B">
        <w:t>roughly half</w:t>
      </w:r>
      <w:r>
        <w:t xml:space="preserve"> of total transport energy consumption and </w:t>
      </w:r>
      <w:r w:rsidR="00EC523B">
        <w:t>6</w:t>
      </w:r>
      <w:r>
        <w:t>% of total</w:t>
      </w:r>
      <w:r w:rsidR="00EC523B">
        <w:t xml:space="preserve"> energy</w:t>
      </w:r>
      <w:r w:rsidR="00904948">
        <w:t>-related</w:t>
      </w:r>
      <w:r>
        <w:t xml:space="preserve"> emissions. Mitigation policies to reduce South Africa</w:t>
      </w:r>
      <w:r w:rsidR="00904948">
        <w:t>’s</w:t>
      </w:r>
      <w:r>
        <w:t xml:space="preserve"> emissions will therefore need to include measures to reduce emissions in the transport sector, including </w:t>
      </w:r>
      <w:r w:rsidR="009F3006">
        <w:t>in private transport</w:t>
      </w:r>
      <w:r>
        <w:t>.</w:t>
      </w:r>
    </w:p>
    <w:p w14:paraId="1FEFF034" w14:textId="19DB0566" w:rsidR="00103A9C" w:rsidRDefault="00103A9C" w:rsidP="00E136B9">
      <w:r>
        <w:t xml:space="preserve">Advances in clean energy technologies over the past </w:t>
      </w:r>
      <w:r w:rsidR="00874801">
        <w:t xml:space="preserve">ten </w:t>
      </w:r>
      <w:r>
        <w:t>years have provided alternatives for mobility which enable a reduction in emissions within the transport sector without negatively affecting emissions in other sectors. Ahjum et al. (</w:t>
      </w:r>
      <w:r w:rsidR="00165899">
        <w:t>2019</w:t>
      </w:r>
      <w:r>
        <w:t>)</w:t>
      </w:r>
      <w:r w:rsidR="00874801">
        <w:t>,</w:t>
      </w:r>
      <w:r>
        <w:t xml:space="preserve"> for example</w:t>
      </w:r>
      <w:r w:rsidR="00874801">
        <w:t>,</w:t>
      </w:r>
      <w:r>
        <w:t xml:space="preserve"> show that </w:t>
      </w:r>
      <w:commentRangeStart w:id="4"/>
      <w:r>
        <w:t>increasing</w:t>
      </w:r>
      <w:r w:rsidR="00874801">
        <w:t xml:space="preserve"> electric vehicle (EV) use in</w:t>
      </w:r>
      <w:r>
        <w:t xml:space="preserve"> private transport </w:t>
      </w:r>
      <w:commentRangeEnd w:id="4"/>
      <w:r w:rsidR="00874801">
        <w:rPr>
          <w:rStyle w:val="CommentReference"/>
        </w:rPr>
        <w:commentReference w:id="4"/>
      </w:r>
      <w:r w:rsidR="00E50F33" w:rsidRPr="00E50F33">
        <w:t xml:space="preserve">from practically </w:t>
      </w:r>
      <w:r w:rsidR="00874801">
        <w:t xml:space="preserve">nothing </w:t>
      </w:r>
      <w:r w:rsidR="00E50F33" w:rsidRPr="00E50F33">
        <w:t xml:space="preserve"> to 80%</w:t>
      </w:r>
      <w:r w:rsidR="00E50F33">
        <w:t xml:space="preserve"> </w:t>
      </w:r>
      <w:r w:rsidR="00874801" w:rsidRPr="00E50F33">
        <w:t xml:space="preserve">of the total vehicle parc </w:t>
      </w:r>
      <w:r w:rsidR="00E50F33" w:rsidRPr="00E50F33">
        <w:t>could reduce transport emissions by 55% and total emissions by 13%</w:t>
      </w:r>
      <w:r w:rsidR="00874801">
        <w:t>,</w:t>
      </w:r>
      <w:r>
        <w:t xml:space="preserve"> as the shift would lead to a decline in demand for petrol and diesel. Global shifts to </w:t>
      </w:r>
      <w:r w:rsidR="00D75236">
        <w:t>EVs</w:t>
      </w:r>
      <w:r>
        <w:t xml:space="preserve"> are already underway</w:t>
      </w:r>
      <w:r w:rsidR="00874801">
        <w:t>,</w:t>
      </w:r>
      <w:r>
        <w:t xml:space="preserve"> with growth in electric car deployment increasing over the past ten years. In 2018 the global stock of electric passenger cars exceeded </w:t>
      </w:r>
      <w:r w:rsidR="00874801">
        <w:t xml:space="preserve">five </w:t>
      </w:r>
      <w:r>
        <w:t>million. Under announced policy ambitions, the I</w:t>
      </w:r>
      <w:r w:rsidR="00874801">
        <w:t>nternational Energy Agency (I</w:t>
      </w:r>
      <w:r>
        <w:t>EA</w:t>
      </w:r>
      <w:r w:rsidR="00874801">
        <w:t>)</w:t>
      </w:r>
      <w:r>
        <w:t xml:space="preserve"> (2019) estimates </w:t>
      </w:r>
      <w:r w:rsidR="00874801">
        <w:t xml:space="preserve">that </w:t>
      </w:r>
      <w:r>
        <w:t xml:space="preserve">global EV sales </w:t>
      </w:r>
      <w:r w:rsidR="00874801">
        <w:t xml:space="preserve">will </w:t>
      </w:r>
      <w:r>
        <w:t xml:space="preserve">reach 23 million by 2030. This would cut demand for oil products by 127 million tonnes of oil equivalent (Mtoe) or 2.5 million barrels per day and reduce well-to-wheel GHG emissions by nearly 50% relative to emissions that would have resulted from a fleet of </w:t>
      </w:r>
      <w:r w:rsidR="00D24C77">
        <w:t>international combustion engine (</w:t>
      </w:r>
      <w:r>
        <w:t>ICE</w:t>
      </w:r>
      <w:r w:rsidR="00D24C77">
        <w:t>)</w:t>
      </w:r>
      <w:r>
        <w:t xml:space="preserve"> vehicles of equivalent size.</w:t>
      </w:r>
    </w:p>
    <w:p w14:paraId="52DEABBE" w14:textId="5C1C5DB3" w:rsidR="00103A9C" w:rsidRDefault="00103A9C" w:rsidP="00E136B9">
      <w:r>
        <w:t xml:space="preserve">In developing countries, the commitment to reduce emissions must be balanced with the economic development impacts of doing so. The need for </w:t>
      </w:r>
      <w:r w:rsidR="00874801">
        <w:t xml:space="preserve">the requisite </w:t>
      </w:r>
      <w:r>
        <w:t xml:space="preserve">analysis has resulted in the development of assessment tools </w:t>
      </w:r>
      <w:r w:rsidR="00874801">
        <w:t>that</w:t>
      </w:r>
      <w:r>
        <w:t xml:space="preserve"> include energy detailed economic models, macroeconomic module</w:t>
      </w:r>
      <w:r w:rsidR="00874801">
        <w:t>-</w:t>
      </w:r>
      <w:r>
        <w:t>linked energy models, or combined models to provide a consistent framework for analysis. A criti</w:t>
      </w:r>
      <w:r w:rsidR="00874801">
        <w:t>cism</w:t>
      </w:r>
      <w:r>
        <w:t xml:space="preserve"> of these tools is the different approaches it takes to estimating </w:t>
      </w:r>
      <w:r w:rsidR="009F3006">
        <w:t xml:space="preserve">household </w:t>
      </w:r>
      <w:r>
        <w:t xml:space="preserve">energy demand. Energy models generally estimate </w:t>
      </w:r>
      <w:r w:rsidR="009F3006">
        <w:t xml:space="preserve">household </w:t>
      </w:r>
      <w:r>
        <w:t>energy demand based on end</w:t>
      </w:r>
      <w:r w:rsidR="00874801">
        <w:t>-</w:t>
      </w:r>
      <w:r>
        <w:t>use demand and technologies available to meet this demand, where</w:t>
      </w:r>
      <w:r w:rsidR="00874801">
        <w:t>as</w:t>
      </w:r>
      <w:r>
        <w:t xml:space="preserve"> the end</w:t>
      </w:r>
      <w:r w:rsidR="00874801">
        <w:t>-</w:t>
      </w:r>
      <w:r>
        <w:t>use demand is estimated based on changes in household income.</w:t>
      </w:r>
      <w:r>
        <w:rPr>
          <w:rStyle w:val="FootnoteReference"/>
        </w:rPr>
        <w:footnoteReference w:id="1"/>
      </w:r>
      <w:r>
        <w:t xml:space="preserve"> Economic models use generali</w:t>
      </w:r>
      <w:r w:rsidR="00874801">
        <w:t>z</w:t>
      </w:r>
      <w:r>
        <w:t>ed behavioural functional forms, such as the Linear Expenditure System or Cobb Douglas functional forms, to determine expenditures on goods and services classified according to the standard</w:t>
      </w:r>
      <w:r w:rsidR="00874801">
        <w:t xml:space="preserve"> </w:t>
      </w:r>
      <w:r w:rsidR="00874801">
        <w:rPr>
          <w:rStyle w:val="st"/>
        </w:rPr>
        <w:t>Classification of Individual Consumption According to Purpose</w:t>
      </w:r>
      <w:r>
        <w:t xml:space="preserve"> </w:t>
      </w:r>
      <w:r w:rsidR="00FA2612">
        <w:t>(</w:t>
      </w:r>
      <w:r>
        <w:t>COICOP</w:t>
      </w:r>
      <w:r w:rsidR="00FA2612">
        <w:t>)</w:t>
      </w:r>
      <w:r>
        <w:t>. In the case of energy, they therefore do not generally distinguish between energy end</w:t>
      </w:r>
      <w:r w:rsidR="00FA2612">
        <w:t>-</w:t>
      </w:r>
      <w:r>
        <w:t>uses.</w:t>
      </w:r>
    </w:p>
    <w:p w14:paraId="436F8259" w14:textId="2C3EC4F4" w:rsidR="00103A9C" w:rsidRDefault="00103A9C" w:rsidP="00E136B9">
      <w:r>
        <w:t xml:space="preserve">The SATIMGE model, a hard-linked full sector energy TIMES </w:t>
      </w:r>
      <w:r w:rsidR="00840058">
        <w:t xml:space="preserve">model (SATIM) </w:t>
      </w:r>
      <w:r>
        <w:t>and Computable General Equilibrium (CGE) economy-wide model for South Africa</w:t>
      </w:r>
      <w:r w:rsidR="00840058">
        <w:t xml:space="preserve"> (eSAGE)</w:t>
      </w:r>
      <w:r>
        <w:t>, overcomes this by adjusting energy use in the economic model using information from the energy model. The combined use of these models enables the assessment of fuel</w:t>
      </w:r>
      <w:r w:rsidR="00BF02A0">
        <w:t>-</w:t>
      </w:r>
      <w:r>
        <w:t xml:space="preserve">switching and efficiency changes in energy use. Whilst </w:t>
      </w:r>
      <w:r w:rsidR="00BF02A0">
        <w:t xml:space="preserve">this is </w:t>
      </w:r>
      <w:r>
        <w:t>a significant improvement to other approaches, the inherent difference in modelling of energy demand makes it difficult to align the two models in terms of energy demand and supply</w:t>
      </w:r>
      <w:r w:rsidR="00BF02A0">
        <w:t>,</w:t>
      </w:r>
      <w:r>
        <w:t xml:space="preserve"> particularly at the disaggregated household level. </w:t>
      </w:r>
      <w:r w:rsidR="00744632" w:rsidRPr="00036161">
        <w:t xml:space="preserve">Merven et al. (2020) </w:t>
      </w:r>
      <w:r w:rsidR="00744632">
        <w:t>presented an approach to modelling long</w:t>
      </w:r>
      <w:r w:rsidR="00BF02A0">
        <w:t>-</w:t>
      </w:r>
      <w:r w:rsidR="00744632">
        <w:t>term household consumption in the eSAGE model using a Coub-Douglas functional form, with some advantages compared to the Linear Expenditure System</w:t>
      </w:r>
      <w:r w:rsidR="00840058">
        <w:t>, but the approach is not able to capture technical change that could occur in the private transport sector if EVs were to become cost</w:t>
      </w:r>
      <w:r w:rsidR="00BF02A0">
        <w:t>-</w:t>
      </w:r>
      <w:r w:rsidR="00840058">
        <w:t xml:space="preserve">competitive. </w:t>
      </w:r>
      <w:r w:rsidR="009906A8">
        <w:t>This paper</w:t>
      </w:r>
      <w:r>
        <w:t xml:space="preserve"> presents a</w:t>
      </w:r>
      <w:r w:rsidR="009F3006">
        <w:t xml:space="preserve"> possible</w:t>
      </w:r>
      <w:r>
        <w:t xml:space="preserve"> approach to </w:t>
      </w:r>
      <w:r w:rsidR="00840058">
        <w:t>passing information about technical change taking place in the private transport sector</w:t>
      </w:r>
      <w:r w:rsidR="00C31B30">
        <w:t>,</w:t>
      </w:r>
      <w:r w:rsidR="00840058">
        <w:t xml:space="preserve"> as observed in the energy model</w:t>
      </w:r>
      <w:r w:rsidR="00C31B30">
        <w:t>,</w:t>
      </w:r>
      <w:r w:rsidR="00840058">
        <w:t xml:space="preserve"> to the CGE model</w:t>
      </w:r>
      <w:r w:rsidR="009906A8">
        <w:t xml:space="preserve"> in SATIMGE</w:t>
      </w:r>
      <w:r w:rsidR="00840058">
        <w:t>.</w:t>
      </w:r>
      <w:r w:rsidR="009906A8">
        <w:t xml:space="preserve"> </w:t>
      </w:r>
      <w:r w:rsidR="00C31B30">
        <w:t>This</w:t>
      </w:r>
      <w:r w:rsidR="00324065">
        <w:t xml:space="preserve"> approach </w:t>
      </w:r>
      <w:r>
        <w:t>distinguish</w:t>
      </w:r>
      <w:r w:rsidR="00C31B30">
        <w:t>es</w:t>
      </w:r>
      <w:r>
        <w:t xml:space="preserve"> energy demand for private transport from that of other uses </w:t>
      </w:r>
      <w:r w:rsidR="00324065">
        <w:t xml:space="preserve">in the CGE model </w:t>
      </w:r>
      <w:r>
        <w:t>such that it better aligns to the TIMES model.</w:t>
      </w:r>
      <w:r w:rsidR="00DE45DA">
        <w:t xml:space="preserve"> This allows for improved analysis of the impacts of changes in transport fuels and fuel volumes on the economy. </w:t>
      </w:r>
      <w:r w:rsidR="00840058">
        <w:t xml:space="preserve">The approach proposed also </w:t>
      </w:r>
      <w:r w:rsidR="009E3163">
        <w:t>addresses linkages going from the CGE back to SATIM in terms of the specification of the vehicle-km demand projection (required by SATIM), which takes into account income changes, private transportation costs, budget constraints and other behavioural aspects such as Rebound.</w:t>
      </w:r>
    </w:p>
    <w:p w14:paraId="18739ED7" w14:textId="008FDDF6" w:rsidR="14C45E8B" w:rsidRPr="003367CC" w:rsidRDefault="00103A9C" w:rsidP="00E136B9">
      <w:r>
        <w:t>The paper is structured as follows: Section 2 provides a background to private passenger transport in South Africa and the potential shifts that can be expected</w:t>
      </w:r>
      <w:r w:rsidR="00C31B30">
        <w:t>,</w:t>
      </w:r>
      <w:r>
        <w:t xml:space="preserve"> based on global trends and changes in technologies</w:t>
      </w:r>
      <w:r w:rsidR="00C31B30">
        <w:t>.</w:t>
      </w:r>
      <w:r>
        <w:t xml:space="preserve"> Section 3 reviews previous literature which have taken similar approaches</w:t>
      </w:r>
      <w:r w:rsidR="00C31B30">
        <w:t>.</w:t>
      </w:r>
      <w:r>
        <w:t xml:space="preserve"> Section 4 presents the SATIMGE model and outlines the changes made to the TIMES and SAGE models as well as the model links</w:t>
      </w:r>
      <w:r w:rsidR="00C31B30">
        <w:t>.</w:t>
      </w:r>
      <w:r>
        <w:t xml:space="preserve"> Section 5 illustrates the impacts of the changes made</w:t>
      </w:r>
      <w:r w:rsidR="00C31B30">
        <w:t>,</w:t>
      </w:r>
      <w:r>
        <w:t xml:space="preserve"> and Section 6 concludes with a discussion of further research.</w:t>
      </w:r>
    </w:p>
    <w:p w14:paraId="520163A1" w14:textId="2F3AFB3A" w:rsidR="00A44227" w:rsidRDefault="00A44227" w:rsidP="006C2203">
      <w:pPr>
        <w:pStyle w:val="Heading1"/>
        <w:numPr>
          <w:ilvl w:val="0"/>
          <w:numId w:val="2"/>
        </w:numPr>
        <w:spacing w:line="276" w:lineRule="auto"/>
      </w:pPr>
      <w:r>
        <w:t>Trends in private transport in South Africa</w:t>
      </w:r>
    </w:p>
    <w:p w14:paraId="611D5ED4" w14:textId="2FFC2DC2" w:rsidR="00171CC8" w:rsidRDefault="00C01A14" w:rsidP="00E136B9">
      <w:r>
        <w:t>Private transport accounts for</w:t>
      </w:r>
      <w:r w:rsidR="00171CC8">
        <w:t xml:space="preserve"> more than a third </w:t>
      </w:r>
      <w:r>
        <w:t>of total passenger transport in South Africa and comprise</w:t>
      </w:r>
      <w:r w:rsidR="00EF5DF8">
        <w:t>s</w:t>
      </w:r>
      <w:r>
        <w:t xml:space="preserve"> two modes, namely </w:t>
      </w:r>
      <w:r w:rsidR="00EF5DF8">
        <w:t xml:space="preserve">motorized </w:t>
      </w:r>
      <w:r>
        <w:t>and non-</w:t>
      </w:r>
      <w:r w:rsidR="00EF5DF8">
        <w:t>motorized</w:t>
      </w:r>
      <w:r>
        <w:t xml:space="preserve">. Motorised or car usage </w:t>
      </w:r>
      <w:r w:rsidR="00582CC8">
        <w:t>account</w:t>
      </w:r>
      <w:r w:rsidR="00EF5DF8">
        <w:t>s</w:t>
      </w:r>
      <w:r w:rsidR="00582CC8">
        <w:t xml:space="preserve"> for</w:t>
      </w:r>
      <w:r>
        <w:t xml:space="preserve"> </w:t>
      </w:r>
      <w:r w:rsidR="00171CC8">
        <w:t>more than half</w:t>
      </w:r>
      <w:r>
        <w:t xml:space="preserve"> of private transport</w:t>
      </w:r>
      <w:r w:rsidR="00EF5DF8">
        <w:t>,</w:t>
      </w:r>
      <w:r w:rsidR="00171CC8">
        <w:t xml:space="preserve"> </w:t>
      </w:r>
      <w:r>
        <w:t xml:space="preserve">with </w:t>
      </w:r>
      <w:r w:rsidR="00171CC8">
        <w:t>non-motorised options such as walking being concentrated in lower</w:t>
      </w:r>
      <w:r w:rsidR="00EF5DF8">
        <w:t>-</w:t>
      </w:r>
      <w:r w:rsidR="00171CC8">
        <w:t>income groups (StatsSA</w:t>
      </w:r>
      <w:r w:rsidR="00477CBE">
        <w:t>, 2014</w:t>
      </w:r>
      <w:r w:rsidR="00EF5DF8">
        <w:t>;</w:t>
      </w:r>
      <w:r w:rsidR="00477CBE">
        <w:t xml:space="preserve"> StatsSA, 2019</w:t>
      </w:r>
      <w:r w:rsidR="00171CC8">
        <w:t xml:space="preserve">). Despite government efforts to reduce private motorised transport through the introduction of public transport systems such as the </w:t>
      </w:r>
      <w:r w:rsidR="00171CC8" w:rsidRPr="00171CC8">
        <w:t>Bus Rapid Transit (BRT) systems and the Gautrain rapid rail network</w:t>
      </w:r>
      <w:r w:rsidR="00171CC8">
        <w:t>, private motori</w:t>
      </w:r>
      <w:r w:rsidR="00EF5DF8">
        <w:t>z</w:t>
      </w:r>
      <w:r w:rsidR="00171CC8">
        <w:t>ed transport has continued to increase</w:t>
      </w:r>
      <w:r w:rsidR="00EF5DF8">
        <w:t>,</w:t>
      </w:r>
      <w:r w:rsidR="00171CC8">
        <w:t xml:space="preserve"> with its share in private transport increasing from 28.5% in 2003 to 35.9% in 2019 (StatsSA</w:t>
      </w:r>
      <w:r w:rsidR="00477CBE">
        <w:t>, 2019</w:t>
      </w:r>
      <w:r w:rsidR="00171CC8">
        <w:t>)</w:t>
      </w:r>
      <w:r w:rsidR="00582CC8">
        <w:t>.</w:t>
      </w:r>
      <w:r w:rsidR="00F3206C">
        <w:t xml:space="preserve"> </w:t>
      </w:r>
      <w:r w:rsidR="00582CC8">
        <w:t>T</w:t>
      </w:r>
      <w:r w:rsidR="00F3206C">
        <w:t>he motorization rate</w:t>
      </w:r>
      <w:r w:rsidR="00582CC8">
        <w:t xml:space="preserve"> in South Africa is</w:t>
      </w:r>
      <w:r w:rsidR="00F3206C">
        <w:t xml:space="preserve"> </w:t>
      </w:r>
      <w:commentRangeStart w:id="5"/>
      <w:r w:rsidR="00F3206C">
        <w:t>estimated</w:t>
      </w:r>
      <w:commentRangeEnd w:id="5"/>
      <w:r w:rsidR="00EF5DF8">
        <w:rPr>
          <w:rStyle w:val="CommentReference"/>
        </w:rPr>
        <w:commentReference w:id="5"/>
      </w:r>
      <w:r w:rsidR="00F3206C">
        <w:t xml:space="preserve"> to have increased by about 6%</w:t>
      </w:r>
      <w:r w:rsidR="00582CC8">
        <w:t xml:space="preserve"> per annum over a similar period</w:t>
      </w:r>
      <w:r w:rsidR="00171CC8">
        <w:t>.</w:t>
      </w:r>
    </w:p>
    <w:p w14:paraId="7AFFD176" w14:textId="205B40B9" w:rsidR="006B0A28" w:rsidRDefault="00F3206C" w:rsidP="00947D60">
      <w:r>
        <w:t>Private p</w:t>
      </w:r>
      <w:r w:rsidR="00947D60">
        <w:t xml:space="preserve">assenger vehicles account for 65% of all vehicles </w:t>
      </w:r>
      <w:r>
        <w:t xml:space="preserve">(including the freight fleet) and nearly all of </w:t>
      </w:r>
      <w:r w:rsidR="00EF5DF8">
        <w:t>them are</w:t>
      </w:r>
      <w:r>
        <w:t xml:space="preserve"> powered by ICE</w:t>
      </w:r>
      <w:r w:rsidR="00EF5DF8">
        <w:t>s</w:t>
      </w:r>
      <w:r>
        <w:t xml:space="preserve"> (</w:t>
      </w:r>
      <w:r w:rsidRPr="00F3206C">
        <w:t>Deonarain</w:t>
      </w:r>
      <w:r>
        <w:t>, 2018)</w:t>
      </w:r>
      <w:r w:rsidR="00EF5DF8">
        <w:t>,</w:t>
      </w:r>
      <w:r w:rsidR="00A30B3A">
        <w:t xml:space="preserve"> with petrol being the primary fuel source </w:t>
      </w:r>
      <w:r w:rsidR="00EF5DF8">
        <w:t xml:space="preserve">and </w:t>
      </w:r>
      <w:r w:rsidR="00A30B3A">
        <w:t xml:space="preserve">accounting for </w:t>
      </w:r>
      <w:r w:rsidR="006B0A28">
        <w:t>86</w:t>
      </w:r>
      <w:r w:rsidR="00A30B3A">
        <w:t>%</w:t>
      </w:r>
      <w:r w:rsidR="00582CC8">
        <w:t xml:space="preserve"> of fuel demand</w:t>
      </w:r>
      <w:r>
        <w:t>.</w:t>
      </w:r>
      <w:r w:rsidR="006B0A28">
        <w:t xml:space="preserve"> Figure </w:t>
      </w:r>
      <w:r w:rsidR="00580066">
        <w:t>1</w:t>
      </w:r>
      <w:r w:rsidR="006B0A28">
        <w:t xml:space="preserve"> presents the p</w:t>
      </w:r>
      <w:r w:rsidR="006B0A28" w:rsidRPr="006B0A28">
        <w:t>assenger vehicle typology by market share and fuel type</w:t>
      </w:r>
      <w:r w:rsidR="006B0A28">
        <w:t>.</w:t>
      </w:r>
    </w:p>
    <w:p w14:paraId="77221B83" w14:textId="20732EE4" w:rsidR="009E2880" w:rsidRDefault="009E2880" w:rsidP="00947D60">
      <w:r>
        <w:t xml:space="preserve">The average passenger vehicle age is </w:t>
      </w:r>
      <w:commentRangeStart w:id="6"/>
      <w:r>
        <w:t>reportedly</w:t>
      </w:r>
      <w:commentRangeEnd w:id="6"/>
      <w:r w:rsidR="00EF5DF8">
        <w:rPr>
          <w:rStyle w:val="CommentReference"/>
        </w:rPr>
        <w:commentReference w:id="6"/>
      </w:r>
      <w:r>
        <w:t xml:space="preserve"> </w:t>
      </w:r>
      <w:r w:rsidR="00EF5DF8">
        <w:t xml:space="preserve">ten </w:t>
      </w:r>
      <w:r>
        <w:t>years</w:t>
      </w:r>
      <w:r w:rsidR="00EF5DF8">
        <w:t>,</w:t>
      </w:r>
      <w:r>
        <w:t xml:space="preserve"> with a fleet CO</w:t>
      </w:r>
      <w:r w:rsidRPr="00E136B9">
        <w:rPr>
          <w:vertAlign w:val="subscript"/>
        </w:rPr>
        <w:t>2</w:t>
      </w:r>
      <w:r>
        <w:t xml:space="preserve"> emissions profile depicted in Figure 2. V</w:t>
      </w:r>
      <w:r w:rsidRPr="003C6868">
        <w:t xml:space="preserve">ehicle emission legislation </w:t>
      </w:r>
      <w:r>
        <w:t xml:space="preserve">currently requires compliance with only </w:t>
      </w:r>
      <w:commentRangeStart w:id="7"/>
      <w:r>
        <w:t>Euro</w:t>
      </w:r>
      <w:r w:rsidR="00EF5DF8">
        <w:t>-</w:t>
      </w:r>
      <w:r>
        <w:t>2</w:t>
      </w:r>
      <w:commentRangeEnd w:id="7"/>
      <w:r w:rsidR="00EF5DF8">
        <w:rPr>
          <w:rStyle w:val="CommentReference"/>
        </w:rPr>
        <w:commentReference w:id="7"/>
      </w:r>
      <w:r>
        <w:t xml:space="preserve"> emissions standards, well behind Euro</w:t>
      </w:r>
      <w:r w:rsidR="00EF5DF8">
        <w:t>-</w:t>
      </w:r>
      <w:r>
        <w:t>6d emissions for petrol passenger vehicles introduced this year</w:t>
      </w:r>
      <w:r w:rsidR="00EF5DF8">
        <w:t>,</w:t>
      </w:r>
      <w:r>
        <w:t xml:space="preserve"> and more than double the emissions limit. While </w:t>
      </w:r>
      <w:r w:rsidRPr="003C6868">
        <w:t>the Department of Energy (DoE)</w:t>
      </w:r>
      <w:r>
        <w:t xml:space="preserve"> has targeted the adoption of Euro</w:t>
      </w:r>
      <w:r w:rsidR="00EF5DF8">
        <w:t>-</w:t>
      </w:r>
      <w:r>
        <w:t xml:space="preserve">5 standards, this has not </w:t>
      </w:r>
      <w:r w:rsidR="00EF5DF8">
        <w:t>yet happened</w:t>
      </w:r>
      <w:r>
        <w:t>. Current fuels in South Africa are also not on-par in terms of the quality required for efficient use (</w:t>
      </w:r>
      <w:r w:rsidRPr="00F3206C">
        <w:t>Deonarain</w:t>
      </w:r>
      <w:r>
        <w:t>, 2018). The Cleans Fuels Phase 2 government programme, which aims to improve domestic fuel production to a minimum standard of Euro-5, has to date not been promulgated</w:t>
      </w:r>
      <w:r w:rsidR="0075425D">
        <w:t>,</w:t>
      </w:r>
      <w:r>
        <w:t xml:space="preserve"> as the investment for the refinery refurbishment remains a subject of negotiation. Private motori</w:t>
      </w:r>
      <w:r w:rsidR="0075425D">
        <w:t>z</w:t>
      </w:r>
      <w:r>
        <w:t>ed transport accounted for 38% of total transport emissions in 2015.</w:t>
      </w:r>
    </w:p>
    <w:p w14:paraId="752CC4B7" w14:textId="056CA893" w:rsidR="009E2880" w:rsidRDefault="009E2880" w:rsidP="00947D60">
      <w:r>
        <w:t xml:space="preserve">Globally, policy-based incentives to promote the adoption of </w:t>
      </w:r>
      <w:r w:rsidR="0075425D">
        <w:t>zero-</w:t>
      </w:r>
      <w:r>
        <w:t>emissions vehicles ha</w:t>
      </w:r>
      <w:r w:rsidR="0075425D">
        <w:t>ve</w:t>
      </w:r>
      <w:r>
        <w:t xml:space="preserve"> predominantly centred on global action to reduce </w:t>
      </w:r>
      <w:r w:rsidR="0075425D">
        <w:t>GHG</w:t>
      </w:r>
      <w:r>
        <w:t xml:space="preserve"> emissions and improve local air quality. This has resulted in EVs being the technology of choice by market share. Initial EV adoption has </w:t>
      </w:r>
      <w:r w:rsidR="0075425D">
        <w:t xml:space="preserve">been </w:t>
      </w:r>
      <w:r>
        <w:t xml:space="preserve">primarily </w:t>
      </w:r>
      <w:r w:rsidR="0075425D">
        <w:t>in</w:t>
      </w:r>
      <w:r>
        <w:t xml:space="preserve"> the European, North American and Japanese markets. However, EV deployment has recently gained momentum in developing countries such as China, India and </w:t>
      </w:r>
      <w:r w:rsidR="0075425D">
        <w:t xml:space="preserve">some in </w:t>
      </w:r>
      <w:r>
        <w:t>South America. Locally, it is estimated that approximately 1000 EVs have been sold to date. Although lagging global adoption rates, historical sales suggest a trend of increasing future demand (WattEV2Buy, 2018). Ahjum et al. (2018) suggested that EVs could potentially comprise 80% of new sales of vehicles by 2045, reduce direct emissions from transport by 70%</w:t>
      </w:r>
      <w:r w:rsidR="0075425D">
        <w:t>,</w:t>
      </w:r>
      <w:r>
        <w:t xml:space="preserve"> and hal</w:t>
      </w:r>
      <w:r w:rsidR="0075425D">
        <w:t>ve</w:t>
      </w:r>
      <w:r>
        <w:t xml:space="preserve"> the energy intensity of private passenger transport.</w:t>
      </w:r>
    </w:p>
    <w:p w14:paraId="62056A52" w14:textId="5C036F93" w:rsidR="006B0A28" w:rsidRDefault="006B0A28" w:rsidP="006B0A28">
      <w:pPr>
        <w:keepNext/>
      </w:pPr>
      <w:r>
        <w:rPr>
          <w:rFonts w:ascii="Arial" w:hAnsi="Arial" w:cs="Arial"/>
          <w:noProof/>
          <w:color w:val="000000"/>
          <w:bdr w:val="none" w:sz="0" w:space="0" w:color="auto" w:frame="1"/>
          <w:lang w:val="en-GB" w:eastAsia="en-GB"/>
        </w:rPr>
        <w:drawing>
          <wp:inline distT="0" distB="0" distL="0" distR="0" wp14:anchorId="17E516FF" wp14:editId="46ED8637">
            <wp:extent cx="5200650" cy="2393904"/>
            <wp:effectExtent l="0" t="0" r="0" b="698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14322" cy="2400198"/>
                    </a:xfrm>
                    <a:prstGeom prst="rect">
                      <a:avLst/>
                    </a:prstGeom>
                    <a:noFill/>
                    <a:ln>
                      <a:noFill/>
                    </a:ln>
                  </pic:spPr>
                </pic:pic>
              </a:graphicData>
            </a:graphic>
          </wp:inline>
        </w:drawing>
      </w:r>
    </w:p>
    <w:p w14:paraId="04CCB0CC" w14:textId="0B090295" w:rsidR="006B0A28" w:rsidRDefault="006B0A28" w:rsidP="006B0A28">
      <w:pPr>
        <w:pStyle w:val="Caption"/>
        <w:spacing w:before="0" w:after="0"/>
      </w:pPr>
      <w:r>
        <w:t xml:space="preserve">Figure </w:t>
      </w:r>
      <w:r w:rsidR="001C1DBB">
        <w:rPr>
          <w:noProof/>
        </w:rPr>
        <w:t>1</w:t>
      </w:r>
      <w:r w:rsidR="0075425D">
        <w:rPr>
          <w:noProof/>
        </w:rPr>
        <w:t>:</w:t>
      </w:r>
      <w:r>
        <w:t xml:space="preserve"> </w:t>
      </w:r>
      <w:r w:rsidRPr="00E16B18">
        <w:t>Passenger vehicle typology by market share and fuel type</w:t>
      </w:r>
    </w:p>
    <w:p w14:paraId="3BA72FE4" w14:textId="12779BE2" w:rsidR="006B0A28" w:rsidRPr="0035219A" w:rsidRDefault="006B0A28" w:rsidP="006B0A28">
      <w:pPr>
        <w:pStyle w:val="Caption"/>
        <w:spacing w:before="0" w:after="0"/>
        <w:rPr>
          <w:b w:val="0"/>
          <w:bCs/>
          <w:szCs w:val="16"/>
        </w:rPr>
      </w:pPr>
      <w:r w:rsidRPr="0035219A">
        <w:rPr>
          <w:b w:val="0"/>
          <w:bCs/>
          <w:szCs w:val="16"/>
        </w:rPr>
        <w:t xml:space="preserve">Source: </w:t>
      </w:r>
      <w:r w:rsidR="005C5D33" w:rsidRPr="0035219A">
        <w:rPr>
          <w:b w:val="0"/>
          <w:bCs/>
          <w:szCs w:val="16"/>
        </w:rPr>
        <w:t>Posada</w:t>
      </w:r>
      <w:r w:rsidRPr="0035219A">
        <w:rPr>
          <w:b w:val="0"/>
          <w:bCs/>
          <w:szCs w:val="16"/>
        </w:rPr>
        <w:t xml:space="preserve"> (2018)</w:t>
      </w:r>
    </w:p>
    <w:p w14:paraId="6109BF49" w14:textId="77777777" w:rsidR="006B0A28" w:rsidRDefault="006B0A28" w:rsidP="00947D60"/>
    <w:p w14:paraId="08AAFAE1" w14:textId="3FBE9A05" w:rsidR="00947D60" w:rsidRDefault="00EC523B" w:rsidP="00947D60">
      <w:pPr>
        <w:keepNext/>
        <w:jc w:val="center"/>
      </w:pPr>
      <w:r>
        <w:rPr>
          <w:noProof/>
          <w:lang w:val="en-GB" w:eastAsia="en-GB"/>
        </w:rPr>
        <w:drawing>
          <wp:inline distT="0" distB="0" distL="0" distR="0" wp14:anchorId="0E278058" wp14:editId="776BEF8F">
            <wp:extent cx="4065737" cy="240982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93519" cy="2426292"/>
                    </a:xfrm>
                    <a:prstGeom prst="rect">
                      <a:avLst/>
                    </a:prstGeom>
                    <a:noFill/>
                    <a:ln>
                      <a:noFill/>
                    </a:ln>
                  </pic:spPr>
                </pic:pic>
              </a:graphicData>
            </a:graphic>
          </wp:inline>
        </w:drawing>
      </w:r>
    </w:p>
    <w:p w14:paraId="39536DEB" w14:textId="73B4BE74" w:rsidR="00947D60" w:rsidRDefault="00947D60" w:rsidP="00947D60">
      <w:pPr>
        <w:pStyle w:val="Caption"/>
        <w:spacing w:before="0" w:after="0"/>
      </w:pPr>
      <w:r>
        <w:t xml:space="preserve">Figure </w:t>
      </w:r>
      <w:r w:rsidR="001C1DBB">
        <w:rPr>
          <w:noProof/>
        </w:rPr>
        <w:t>2</w:t>
      </w:r>
      <w:r w:rsidR="0075425D">
        <w:rPr>
          <w:noProof/>
        </w:rPr>
        <w:t>:</w:t>
      </w:r>
      <w:r>
        <w:t xml:space="preserve"> </w:t>
      </w:r>
      <w:r w:rsidRPr="00947D60">
        <w:t>CO</w:t>
      </w:r>
      <w:r w:rsidRPr="00E136B9">
        <w:rPr>
          <w:vertAlign w:val="subscript"/>
        </w:rPr>
        <w:t>2</w:t>
      </w:r>
      <w:r w:rsidRPr="00947D60">
        <w:t xml:space="preserve"> emissions distribution for the South African passenger fleet compared to the EU fleet</w:t>
      </w:r>
    </w:p>
    <w:p w14:paraId="2267369F" w14:textId="64B7E8A1" w:rsidR="00947D60" w:rsidRPr="0035219A" w:rsidRDefault="00947D60" w:rsidP="00947D60">
      <w:pPr>
        <w:pStyle w:val="Caption"/>
        <w:spacing w:before="0" w:after="0"/>
        <w:rPr>
          <w:b w:val="0"/>
          <w:bCs/>
          <w:szCs w:val="16"/>
        </w:rPr>
      </w:pPr>
      <w:r w:rsidRPr="0035219A">
        <w:rPr>
          <w:b w:val="0"/>
          <w:bCs/>
          <w:szCs w:val="16"/>
        </w:rPr>
        <w:t xml:space="preserve">Source: </w:t>
      </w:r>
      <w:r w:rsidR="005C5D33" w:rsidRPr="0035219A">
        <w:rPr>
          <w:b w:val="0"/>
          <w:bCs/>
          <w:szCs w:val="16"/>
        </w:rPr>
        <w:t>Posada</w:t>
      </w:r>
      <w:r w:rsidRPr="0035219A">
        <w:rPr>
          <w:b w:val="0"/>
          <w:bCs/>
          <w:szCs w:val="16"/>
        </w:rPr>
        <w:t xml:space="preserve"> (2018)</w:t>
      </w:r>
    </w:p>
    <w:p w14:paraId="2BDB3A25" w14:textId="77777777" w:rsidR="0035219A" w:rsidRDefault="0035219A" w:rsidP="00DF6CB0">
      <w:pPr>
        <w:spacing w:after="0"/>
        <w:jc w:val="left"/>
      </w:pPr>
    </w:p>
    <w:p w14:paraId="4D172854" w14:textId="145262D4" w:rsidR="006C2203" w:rsidRPr="0035219A" w:rsidRDefault="0029602C" w:rsidP="00DF6CB0">
      <w:pPr>
        <w:spacing w:after="0"/>
        <w:jc w:val="left"/>
        <w:rPr>
          <w:b/>
          <w:bCs/>
        </w:rPr>
      </w:pPr>
      <w:r w:rsidRPr="0035219A">
        <w:rPr>
          <w:b/>
          <w:bCs/>
        </w:rPr>
        <w:t>Hybrid transport modelling in linked energy-economic models</w:t>
      </w:r>
    </w:p>
    <w:p w14:paraId="34D380C6" w14:textId="1A8A82BB" w:rsidR="00773802" w:rsidRDefault="001C20EC" w:rsidP="00676556">
      <w:r>
        <w:t>Hybrid bottom-up, top-down (BU-TD) models are needed to robustly assess the</w:t>
      </w:r>
      <w:r w:rsidR="0040454B">
        <w:t xml:space="preserve"> long-term</w:t>
      </w:r>
      <w:r>
        <w:t xml:space="preserve"> changes in transport behaviour over time</w:t>
      </w:r>
      <w:r w:rsidR="00FB4879">
        <w:t xml:space="preserve"> </w:t>
      </w:r>
      <w:r>
        <w:t>and hence the implications of this for energy demand and emissions (</w:t>
      </w:r>
      <w:r w:rsidRPr="001C20EC">
        <w:t>Creutzig</w:t>
      </w:r>
      <w:r>
        <w:t>,</w:t>
      </w:r>
      <w:r w:rsidR="0040454B">
        <w:t xml:space="preserve"> </w:t>
      </w:r>
      <w:r w:rsidRPr="001C20EC">
        <w:t>2015</w:t>
      </w:r>
      <w:r>
        <w:t>).</w:t>
      </w:r>
      <w:r w:rsidR="0040454B">
        <w:t xml:space="preserve"> </w:t>
      </w:r>
      <w:r w:rsidR="0029602C">
        <w:t xml:space="preserve">Very few </w:t>
      </w:r>
      <w:r w:rsidR="00773802">
        <w:t xml:space="preserve">linked </w:t>
      </w:r>
      <w:r w:rsidR="0029602C">
        <w:t>energy-economic model</w:t>
      </w:r>
      <w:r w:rsidR="00773802">
        <w:t>s</w:t>
      </w:r>
      <w:r w:rsidR="0029602C">
        <w:t xml:space="preserve"> have taken </w:t>
      </w:r>
      <w:r w:rsidR="00773802">
        <w:t>such an approach</w:t>
      </w:r>
      <w:r w:rsidR="00FB4879">
        <w:t>;</w:t>
      </w:r>
      <w:r w:rsidR="0029602C">
        <w:t xml:space="preserve"> </w:t>
      </w:r>
      <w:r w:rsidR="00773802" w:rsidRPr="0029602C">
        <w:t>Schäfer (2012)</w:t>
      </w:r>
      <w:r w:rsidR="00773802">
        <w:t xml:space="preserve"> provides a comprehensive assessment of the</w:t>
      </w:r>
      <w:r w:rsidR="00FB4879">
        <w:t>m</w:t>
      </w:r>
      <w:r w:rsidR="00773802">
        <w:t xml:space="preserve">. This section presents the transport approach taken by some of the models identified by Schafer </w:t>
      </w:r>
      <w:r w:rsidR="00FB4879">
        <w:t>that</w:t>
      </w:r>
      <w:r w:rsidR="00773802">
        <w:t xml:space="preserve"> are comparable to SATIMGE.</w:t>
      </w:r>
    </w:p>
    <w:p w14:paraId="1641F4BB" w14:textId="5373D7DD" w:rsidR="00F41073" w:rsidRDefault="00042024" w:rsidP="00676556">
      <w:r w:rsidRPr="00F41073">
        <w:rPr>
          <w:b/>
          <w:bCs/>
          <w:i/>
          <w:iCs/>
        </w:rPr>
        <w:t>CIMS</w:t>
      </w:r>
      <w:r w:rsidR="00773802">
        <w:rPr>
          <w:b/>
          <w:bCs/>
          <w:i/>
          <w:iCs/>
        </w:rPr>
        <w:t xml:space="preserve">: </w:t>
      </w:r>
      <w:r w:rsidR="00F41073" w:rsidRPr="00F41073">
        <w:t>CIMS combines a technologically detailed bottom-up energy systems simulation model</w:t>
      </w:r>
      <w:r w:rsidR="0029602C">
        <w:t xml:space="preserve"> (which includes </w:t>
      </w:r>
      <w:r w:rsidR="00F41073" w:rsidRPr="00F41073">
        <w:t>a high degree of behavioural realism</w:t>
      </w:r>
      <w:r w:rsidR="0029602C">
        <w:t>)</w:t>
      </w:r>
      <w:r w:rsidR="00F41073" w:rsidRPr="00F41073">
        <w:t xml:space="preserve"> with a CGE model</w:t>
      </w:r>
      <w:r w:rsidR="0029602C">
        <w:t xml:space="preserve"> for Canada</w:t>
      </w:r>
      <w:r w:rsidR="00F41073" w:rsidRPr="00F41073">
        <w:t>. CIMS tracks capital stocks of individual technologies, and for private transport commodities the model distinguishes intercity and intra-urban transport, for personal and high occupancy vehicles as well as transiting, walking and cycling. In determining technology shares</w:t>
      </w:r>
      <w:r w:rsidR="00FB4879">
        <w:t>,</w:t>
      </w:r>
      <w:r w:rsidR="00F41073" w:rsidRPr="00F41073">
        <w:t xml:space="preserve"> CIMS considers which option is least-cost, using sectoral discount rates, </w:t>
      </w:r>
      <w:r w:rsidR="00773802">
        <w:t>and</w:t>
      </w:r>
      <w:r w:rsidR="00F41073" w:rsidRPr="00F41073">
        <w:t xml:space="preserve"> uses an intangible cost parameter and a market heterogeneity parameter that limits change in market shares compared to previous time periods. All are sector-specific and estimated based on discrete choice surveys for the most important energy-use nodes in the model. Volumes of the aggregate good supplied by different technologies that are consumed in final or intermediate consumption respect macro-economic equilibrium</w:t>
      </w:r>
      <w:r w:rsidR="00773802">
        <w:t xml:space="preserve"> conditions</w:t>
      </w:r>
      <w:r w:rsidR="00F41073" w:rsidRPr="00F41073">
        <w:t xml:space="preserve"> and are determined by price-elastic demand functions (</w:t>
      </w:r>
      <w:r w:rsidR="00471DF8" w:rsidRPr="00471DF8">
        <w:t>Horne et al</w:t>
      </w:r>
      <w:r w:rsidR="00471DF8">
        <w:t>.</w:t>
      </w:r>
      <w:r w:rsidR="00471DF8" w:rsidRPr="00471DF8">
        <w:t>, 2005; Bataille et al</w:t>
      </w:r>
      <w:r w:rsidR="00471DF8">
        <w:t>.</w:t>
      </w:r>
      <w:r w:rsidR="00471DF8" w:rsidRPr="00471DF8">
        <w:t>, 2006</w:t>
      </w:r>
      <w:r w:rsidR="00471DF8">
        <w:t xml:space="preserve"> and</w:t>
      </w:r>
      <w:r w:rsidR="00471DF8" w:rsidRPr="00471DF8">
        <w:t xml:space="preserve"> Jaccard, 2009</w:t>
      </w:r>
      <w:r w:rsidR="00F41073" w:rsidRPr="00F41073">
        <w:t xml:space="preserve">). </w:t>
      </w:r>
    </w:p>
    <w:p w14:paraId="76697A53" w14:textId="42072703" w:rsidR="00F41073" w:rsidRPr="00F41073" w:rsidRDefault="00042024" w:rsidP="00676556">
      <w:r w:rsidRPr="00F41073">
        <w:rPr>
          <w:b/>
          <w:bCs/>
          <w:i/>
          <w:iCs/>
        </w:rPr>
        <w:t>IMACLIM-R</w:t>
      </w:r>
      <w:r w:rsidR="00471DF8">
        <w:rPr>
          <w:b/>
          <w:bCs/>
          <w:i/>
          <w:iCs/>
        </w:rPr>
        <w:t xml:space="preserve">: </w:t>
      </w:r>
      <w:r w:rsidR="00F41073" w:rsidRPr="00F41073">
        <w:t>The hybrid BU-TD IMACLIM-R Monde model (the global application of the IMACLIM framework) considers a mobility service to be one of the products of its 12 world region (aggregate) households as part of a CES utility function, which</w:t>
      </w:r>
      <w:r w:rsidR="00FB4879">
        <w:t>,</w:t>
      </w:r>
      <w:r w:rsidR="00F41073" w:rsidRPr="00F41073">
        <w:t xml:space="preserve"> together with a budget constraint</w:t>
      </w:r>
      <w:r w:rsidR="00FB4879">
        <w:t>,</w:t>
      </w:r>
      <w:r w:rsidR="00F41073" w:rsidRPr="00F41073">
        <w:t xml:space="preserve"> determines volumes consumed (</w:t>
      </w:r>
      <w:r w:rsidR="00471DF8" w:rsidRPr="00471DF8">
        <w:t>Crassous et al</w:t>
      </w:r>
      <w:r w:rsidR="00471DF8">
        <w:t>.</w:t>
      </w:r>
      <w:r w:rsidR="00471DF8" w:rsidRPr="00471DF8">
        <w:t>, 2006</w:t>
      </w:r>
      <w:r w:rsidR="00471DF8">
        <w:t xml:space="preserve">; </w:t>
      </w:r>
      <w:r w:rsidR="00F41073" w:rsidRPr="00F41073">
        <w:t>Waisman et al</w:t>
      </w:r>
      <w:r w:rsidR="00471DF8">
        <w:t>.</w:t>
      </w:r>
      <w:r w:rsidR="00F41073" w:rsidRPr="00F41073">
        <w:t>, 2012</w:t>
      </w:r>
      <w:r w:rsidR="00471DF8">
        <w:t xml:space="preserve"> and</w:t>
      </w:r>
      <w:r w:rsidR="00F41073" w:rsidRPr="00F41073">
        <w:t xml:space="preserve"> Waisman et al</w:t>
      </w:r>
      <w:r w:rsidR="00471DF8">
        <w:t>.</w:t>
      </w:r>
      <w:r w:rsidR="00F41073" w:rsidRPr="00F41073">
        <w:t xml:space="preserve">, 2013). Within the mobility service a CES function determines modal shares, dependent on a few modal parameters. The aggregate household’s modal choice </w:t>
      </w:r>
      <w:r w:rsidR="00471DF8">
        <w:t>is</w:t>
      </w:r>
      <w:r w:rsidR="00F41073" w:rsidRPr="00F41073">
        <w:t xml:space="preserve"> also subject to a region-specific constant household time constraint for transport. This time constraint translates into passenger-kms by </w:t>
      </w:r>
      <w:r w:rsidR="00471DF8" w:rsidRPr="00F41073">
        <w:t>considering</w:t>
      </w:r>
      <w:r w:rsidR="00F41073" w:rsidRPr="00F41073">
        <w:t xml:space="preserve"> average speeds of the transport mode and is also a function of congestion effects. Finally, vehicle purchases are part of household investment and depends on an income-elastic motorization rate (Waisman et al</w:t>
      </w:r>
      <w:r w:rsidR="00471DF8">
        <w:t>.</w:t>
      </w:r>
      <w:r w:rsidR="00F41073" w:rsidRPr="00F41073">
        <w:t>, 2013). O’Broin and Guivarch (2017) add the estimation of transport infrastructure construction costs to improve the economic evaluation of different scenarios in respect to developments in transport systems.</w:t>
      </w:r>
    </w:p>
    <w:p w14:paraId="033F923A" w14:textId="1BF24AFD" w:rsidR="00F41073" w:rsidRDefault="00042024" w:rsidP="00F41073">
      <w:r w:rsidRPr="00F41073">
        <w:rPr>
          <w:b/>
          <w:bCs/>
          <w:i/>
          <w:iCs/>
        </w:rPr>
        <w:t>ReMIND-G</w:t>
      </w:r>
      <w:r w:rsidR="00471DF8">
        <w:rPr>
          <w:b/>
          <w:bCs/>
          <w:i/>
          <w:iCs/>
        </w:rPr>
        <w:t xml:space="preserve">: </w:t>
      </w:r>
      <w:r w:rsidR="00F41073">
        <w:t>ReMIND-G is a hybrid intertemporal optimized model in which a growth model and an energy model are hard-linked. Land use and a simplified climate model also iterat</w:t>
      </w:r>
      <w:r w:rsidR="00FB4879">
        <w:t>e</w:t>
      </w:r>
      <w:r w:rsidR="00F41073">
        <w:t xml:space="preserve"> with the energy model. The use of a growth model implies that there is no product heterogeneity in consumption other than energy consumption</w:t>
      </w:r>
      <w:r w:rsidR="00FB4879">
        <w:t>,</w:t>
      </w:r>
      <w:r w:rsidR="00471DF8">
        <w:t xml:space="preserve"> and there is no</w:t>
      </w:r>
      <w:r w:rsidR="00F41073">
        <w:t xml:space="preserve"> household disaggregation. Transport is one of the CES inputs into an economy’s energy provision (which is part of a CES function with capital and labour), with the demand for different transport modes being modelled as a CES function </w:t>
      </w:r>
      <w:r w:rsidR="00471DF8">
        <w:t>as well</w:t>
      </w:r>
      <w:r w:rsidR="00F41073">
        <w:t xml:space="preserve">. </w:t>
      </w:r>
      <w:r w:rsidR="00471DF8">
        <w:t>T</w:t>
      </w:r>
      <w:r w:rsidR="00F41073">
        <w:t xml:space="preserve">echnology choice for the different transport modes, like </w:t>
      </w:r>
      <w:r w:rsidR="00FB4879">
        <w:t>light duty vehi</w:t>
      </w:r>
      <w:r w:rsidR="00F41073">
        <w:t xml:space="preserve">cles, is determined by the technologically detailed </w:t>
      </w:r>
      <w:r w:rsidR="00FB4879">
        <w:t>bottom-u</w:t>
      </w:r>
      <w:r w:rsidR="00F41073">
        <w:t>p energy system model</w:t>
      </w:r>
      <w:r w:rsidR="00471DF8">
        <w:t xml:space="preserve"> (Pietzcker et al., 2010 and Luderer, 2015).</w:t>
      </w:r>
    </w:p>
    <w:p w14:paraId="6DF6A20D" w14:textId="39339F02" w:rsidR="00F41073" w:rsidRPr="00F41073" w:rsidRDefault="00652E66" w:rsidP="00F41073">
      <w:r w:rsidRPr="00652E66">
        <w:rPr>
          <w:b/>
          <w:bCs/>
          <w:i/>
          <w:iCs/>
        </w:rPr>
        <w:t>EPPA:</w:t>
      </w:r>
      <w:r>
        <w:t xml:space="preserve"> </w:t>
      </w:r>
      <w:r w:rsidR="00F41073">
        <w:t xml:space="preserve">The EPPA model is a CGE model with </w:t>
      </w:r>
      <w:r>
        <w:t>b</w:t>
      </w:r>
      <w:r w:rsidR="00F41073">
        <w:t>ottom-</w:t>
      </w:r>
      <w:r>
        <w:t>u</w:t>
      </w:r>
      <w:r w:rsidR="00F41073">
        <w:t>p model elements and dynamics</w:t>
      </w:r>
      <w:r>
        <w:t xml:space="preserve"> (Paltsev et al., 2004; Karplus et al., 2009</w:t>
      </w:r>
      <w:r w:rsidR="00FB4879">
        <w:t>;</w:t>
      </w:r>
      <w:r>
        <w:t xml:space="preserve"> Chen et al., 2016)</w:t>
      </w:r>
      <w:r w:rsidR="00F41073">
        <w:t>. Household budgets for private transport are an elastic part of total household consumption, and the budget constraint is the only constraint on transport use. Within the private transport budget</w:t>
      </w:r>
      <w:r w:rsidR="00FB4879">
        <w:t>,</w:t>
      </w:r>
      <w:r w:rsidR="00F41073">
        <w:t xml:space="preserve"> fuel costs, vehicle (purchase) costs and vehicle operation </w:t>
      </w:r>
      <w:r>
        <w:t>and</w:t>
      </w:r>
      <w:r w:rsidR="00F41073">
        <w:t xml:space="preserve"> maintenance costs are considered.</w:t>
      </w:r>
    </w:p>
    <w:p w14:paraId="089477BA" w14:textId="2F752BB2" w:rsidR="00DD0E80" w:rsidRDefault="00DD0E80" w:rsidP="000E01D8">
      <w:pPr>
        <w:pStyle w:val="Heading1"/>
        <w:numPr>
          <w:ilvl w:val="0"/>
          <w:numId w:val="2"/>
        </w:numPr>
        <w:spacing w:line="276" w:lineRule="auto"/>
      </w:pPr>
      <w:r w:rsidRPr="00DD0E80">
        <w:t>M</w:t>
      </w:r>
      <w:r w:rsidR="00676556">
        <w:t>ethodology</w:t>
      </w:r>
    </w:p>
    <w:p w14:paraId="3D1A1CA9" w14:textId="3471E22D" w:rsidR="00676556" w:rsidRPr="00676556" w:rsidRDefault="00676556" w:rsidP="00676556">
      <w:r>
        <w:t>SATIMGE is hard-linked energy-economic model for South Africa which combines the South African TIMES (SATIM) model, a full sector energy systems optimization model, with an energy</w:t>
      </w:r>
      <w:r w:rsidR="00F41919">
        <w:t>-</w:t>
      </w:r>
      <w:r>
        <w:t>hybridized recursive dynamic computable general equilibrium (eSAGE) model of the country. The hard-linking of the models combines different aspects of the country, capturing both the technical detail needed for full energy systems modelling and economic detail for assessing the impact of changes in the energy system on various sectors, markets, and agents in the economy</w:t>
      </w:r>
      <w:r w:rsidR="00FB4879">
        <w:t>,</w:t>
      </w:r>
      <w:r>
        <w:t xml:space="preserve"> thus addressing the shortcomings of each in energy and climate policy analysis (see Arndt et al., 2016). The two models are run synchronously, passing information in both directions within the annual time step of the CGE model</w:t>
      </w:r>
      <w:r w:rsidR="00B60FA2">
        <w:t>,</w:t>
      </w:r>
      <w:r>
        <w:t xml:space="preserve"> until convergence on energy demand and supply</w:t>
      </w:r>
      <w:r w:rsidR="00FB4879">
        <w:t>,</w:t>
      </w:r>
      <w:r>
        <w:t xml:space="preserve"> and </w:t>
      </w:r>
      <w:r w:rsidR="00FB4879">
        <w:t xml:space="preserve">on </w:t>
      </w:r>
      <w:r>
        <w:t xml:space="preserve">economic growth is achieved. </w:t>
      </w:r>
      <w:r w:rsidR="00FB4879">
        <w:t>All these</w:t>
      </w:r>
      <w:r>
        <w:t xml:space="preserve"> model</w:t>
      </w:r>
      <w:r w:rsidR="00FB4879">
        <w:t>s</w:t>
      </w:r>
      <w:r>
        <w:t xml:space="preserve"> </w:t>
      </w:r>
      <w:r w:rsidR="00FB4879">
        <w:t xml:space="preserve">are </w:t>
      </w:r>
      <w:r>
        <w:t>well</w:t>
      </w:r>
      <w:r w:rsidR="00FB4879">
        <w:t>-</w:t>
      </w:r>
      <w:r>
        <w:t>understood and widely accepted member</w:t>
      </w:r>
      <w:r w:rsidR="00FB4879">
        <w:t>s</w:t>
      </w:r>
      <w:r>
        <w:t xml:space="preserve"> of a class of simulation model in their respective disciplines.</w:t>
      </w:r>
      <w:r w:rsidR="00B60FA2">
        <w:t xml:space="preserve"> </w:t>
      </w:r>
      <w:r>
        <w:t>The next sections outline how transport is modelled in the SATIM and eSAGE model and how these interact in the SATIMGE model. This is followed by a description of the changes made to each</w:t>
      </w:r>
      <w:r w:rsidR="00B60FA2">
        <w:t xml:space="preserve"> for this paper</w:t>
      </w:r>
      <w:r>
        <w:t>.</w:t>
      </w:r>
    </w:p>
    <w:p w14:paraId="4C3FD7D5" w14:textId="0FFEAA19" w:rsidR="00D47E80" w:rsidRDefault="00E34E13" w:rsidP="000E01D8">
      <w:pPr>
        <w:pStyle w:val="Heading2"/>
        <w:numPr>
          <w:ilvl w:val="1"/>
          <w:numId w:val="2"/>
        </w:numPr>
        <w:spacing w:after="120"/>
      </w:pPr>
      <w:r>
        <w:t xml:space="preserve">Private </w:t>
      </w:r>
      <w:r w:rsidR="00FB4879">
        <w:t xml:space="preserve">transport </w:t>
      </w:r>
      <w:r w:rsidR="00676556">
        <w:t>in SATIM</w:t>
      </w:r>
    </w:p>
    <w:p w14:paraId="67FA3DBC" w14:textId="7C34C079" w:rsidR="00C30713" w:rsidRDefault="00676556" w:rsidP="00676556">
      <w:r>
        <w:t>Vehicle-km projections for road vehicles (freight and passenger) are exogenously imposed in SATIM</w:t>
      </w:r>
      <w:r w:rsidR="00E34E13">
        <w:t>.</w:t>
      </w:r>
      <w:r>
        <w:t xml:space="preserve"> </w:t>
      </w:r>
      <w:r w:rsidR="00E34E13">
        <w:t>The</w:t>
      </w:r>
      <w:r>
        <w:t xml:space="preserve"> least-cost technology and fuel mix</w:t>
      </w:r>
      <w:r w:rsidR="00E34E13">
        <w:t>, across the full energy supply chain,</w:t>
      </w:r>
      <w:r>
        <w:t xml:space="preserve"> to meet the projected vehicle-km demands while also meeting other goals such as national emissions constraints</w:t>
      </w:r>
      <w:r w:rsidR="00E56BD1">
        <w:t>,</w:t>
      </w:r>
      <w:r w:rsidR="00E34E13">
        <w:t xml:space="preserve"> is then found using linear programming optimization techniques. Figure</w:t>
      </w:r>
      <w:r>
        <w:t xml:space="preserve"> </w:t>
      </w:r>
      <w:r w:rsidR="00580066">
        <w:t>3</w:t>
      </w:r>
      <w:r w:rsidR="00E34E13">
        <w:t xml:space="preserve"> illustrates some of the main components of the supply chain and how it is represented in </w:t>
      </w:r>
      <w:r w:rsidR="00F10C2A">
        <w:t>SATIM.</w:t>
      </w:r>
    </w:p>
    <w:p w14:paraId="694155AA" w14:textId="3929A5E0" w:rsidR="00DF61F5" w:rsidRDefault="00E34E13" w:rsidP="00DF61F5">
      <w:pPr>
        <w:keepNext/>
        <w:jc w:val="center"/>
      </w:pPr>
      <w:r w:rsidRPr="00E34E13">
        <w:rPr>
          <w:noProof/>
          <w:lang w:val="en-GB" w:eastAsia="en-GB"/>
        </w:rPr>
        <w:drawing>
          <wp:inline distT="0" distB="0" distL="0" distR="0" wp14:anchorId="1772CD22" wp14:editId="25BF1E41">
            <wp:extent cx="5759450" cy="3327400"/>
            <wp:effectExtent l="0" t="0" r="0" b="63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59450" cy="3327400"/>
                    </a:xfrm>
                    <a:prstGeom prst="rect">
                      <a:avLst/>
                    </a:prstGeom>
                    <a:noFill/>
                    <a:ln>
                      <a:noFill/>
                    </a:ln>
                  </pic:spPr>
                </pic:pic>
              </a:graphicData>
            </a:graphic>
          </wp:inline>
        </w:drawing>
      </w:r>
    </w:p>
    <w:p w14:paraId="3212BBE4" w14:textId="0EC8ED67" w:rsidR="00676556" w:rsidRDefault="00DF61F5" w:rsidP="001F1601">
      <w:pPr>
        <w:pStyle w:val="Caption"/>
        <w:spacing w:before="0" w:after="0"/>
      </w:pPr>
      <w:r>
        <w:t xml:space="preserve">Figure </w:t>
      </w:r>
      <w:r w:rsidR="001C1DBB">
        <w:rPr>
          <w:noProof/>
        </w:rPr>
        <w:t>3</w:t>
      </w:r>
      <w:r w:rsidR="00E56BD1">
        <w:rPr>
          <w:noProof/>
        </w:rPr>
        <w:t>:</w:t>
      </w:r>
      <w:r>
        <w:t xml:space="preserve"> Illustrative diagram of </w:t>
      </w:r>
      <w:r w:rsidR="00E34E13">
        <w:t xml:space="preserve">private </w:t>
      </w:r>
      <w:r>
        <w:t xml:space="preserve">transport </w:t>
      </w:r>
      <w:r w:rsidR="00E34E13">
        <w:t>in</w:t>
      </w:r>
      <w:r>
        <w:t xml:space="preserve"> SATIM</w:t>
      </w:r>
    </w:p>
    <w:p w14:paraId="6AD1EEE1" w14:textId="2D4F6665" w:rsidR="001F1601" w:rsidRPr="0035219A" w:rsidRDefault="001F1601" w:rsidP="001F1601">
      <w:pPr>
        <w:pStyle w:val="Caption"/>
        <w:spacing w:before="0" w:after="0"/>
        <w:rPr>
          <w:b w:val="0"/>
          <w:bCs/>
          <w:szCs w:val="16"/>
        </w:rPr>
      </w:pPr>
      <w:r w:rsidRPr="0035219A">
        <w:rPr>
          <w:b w:val="0"/>
          <w:bCs/>
          <w:szCs w:val="16"/>
        </w:rPr>
        <w:t>Source: Author’s illustration</w:t>
      </w:r>
    </w:p>
    <w:p w14:paraId="2CAD804E" w14:textId="5C380F6B" w:rsidR="007D043C" w:rsidRDefault="00DF61F5" w:rsidP="00DF61F5">
      <w:pPr>
        <w:pStyle w:val="Heading2"/>
        <w:numPr>
          <w:ilvl w:val="1"/>
          <w:numId w:val="2"/>
        </w:numPr>
        <w:spacing w:after="120"/>
      </w:pPr>
      <w:r>
        <w:t>Transport in eSAGE</w:t>
      </w:r>
    </w:p>
    <w:p w14:paraId="423DA1EB" w14:textId="787DF18B" w:rsidR="00DF61F5" w:rsidRDefault="00DF61F5" w:rsidP="00DF61F5">
      <w:r>
        <w:t>The eSAGE model uses the 2012 energy</w:t>
      </w:r>
      <w:r w:rsidR="00F41919">
        <w:t>-</w:t>
      </w:r>
      <w:r>
        <w:t>hybridi</w:t>
      </w:r>
      <w:r w:rsidR="00F41919">
        <w:t>z</w:t>
      </w:r>
      <w:r>
        <w:t>ed</w:t>
      </w:r>
      <w:r w:rsidR="00F41919">
        <w:t xml:space="preserve"> social accounting matri</w:t>
      </w:r>
      <w:r>
        <w:t>x (SAM) as the starting point for projections. The SAM is based on that produced by van Seventer et al. (2016) and the 2012 energy balance.</w:t>
      </w:r>
      <w:r>
        <w:rPr>
          <w:rStyle w:val="FootnoteReference"/>
        </w:rPr>
        <w:footnoteReference w:id="2"/>
      </w:r>
      <w:r>
        <w:t xml:space="preserve"> One of the key differences of the energy</w:t>
      </w:r>
      <w:r w:rsidR="00F41919">
        <w:t>-</w:t>
      </w:r>
      <w:r>
        <w:t>hybridi</w:t>
      </w:r>
      <w:r w:rsidR="00F41919">
        <w:t>z</w:t>
      </w:r>
      <w:r>
        <w:t xml:space="preserve">ed SAM is that it includes three liquid fuel </w:t>
      </w:r>
      <w:r w:rsidR="00F41919">
        <w:t xml:space="preserve">product </w:t>
      </w:r>
      <w:commentRangeStart w:id="8"/>
      <w:r w:rsidR="00F41919">
        <w:t>categories</w:t>
      </w:r>
      <w:commentRangeEnd w:id="8"/>
      <w:r w:rsidR="00F41919">
        <w:rPr>
          <w:rStyle w:val="CommentReference"/>
        </w:rPr>
        <w:commentReference w:id="8"/>
      </w:r>
      <w:r>
        <w:t>, namely petrol, diesel</w:t>
      </w:r>
      <w:r w:rsidR="00F41919">
        <w:t>,</w:t>
      </w:r>
      <w:r>
        <w:t xml:space="preserve"> and other liquid fuels (primarily paraffin in the case of households). Merven et al. (2019) describes this in further detail.</w:t>
      </w:r>
    </w:p>
    <w:p w14:paraId="6DB45076" w14:textId="6034A7B9" w:rsidR="00DF61F5" w:rsidRDefault="00DF61F5" w:rsidP="00DF61F5">
      <w:r>
        <w:t>Private passenger transport in the SAM and eSAGE model is captured by household’s expenditure on transport fuels, motor vehicles and vehicle</w:t>
      </w:r>
      <w:r w:rsidR="00F41919">
        <w:t>-</w:t>
      </w:r>
      <w:r>
        <w:t xml:space="preserve">related expenditures such as the purchase of tyres. Private vehicles in South Africa predominantly use </w:t>
      </w:r>
      <w:r w:rsidR="00F41919">
        <w:t>ICE</w:t>
      </w:r>
      <w:r>
        <w:t xml:space="preserve"> technologies</w:t>
      </w:r>
      <w:r w:rsidR="00F41919">
        <w:t>,</w:t>
      </w:r>
      <w:r>
        <w:t xml:space="preserve"> demanding petrol and diesel inputs. As a </w:t>
      </w:r>
      <w:r w:rsidR="003C5007">
        <w:t>result,</w:t>
      </w:r>
      <w:r>
        <w:t xml:space="preserve"> these fuels comprise a significant share of household budgets, accounting for nearly 5% of total household consumption. Public passenger transport is captured separately through the consumption of passenger transport services.</w:t>
      </w:r>
    </w:p>
    <w:p w14:paraId="5DE83CF1" w14:textId="77777777" w:rsidR="00036161" w:rsidRDefault="00DF61F5" w:rsidP="00036161">
      <w:pPr>
        <w:keepNext/>
      </w:pPr>
      <w:r w:rsidRPr="00DF61F5">
        <w:rPr>
          <w:noProof/>
          <w:lang w:val="en-GB" w:eastAsia="en-GB"/>
        </w:rPr>
        <w:drawing>
          <wp:inline distT="0" distB="0" distL="0" distR="0" wp14:anchorId="6DDF9612" wp14:editId="1169FDAE">
            <wp:extent cx="2879090" cy="2261662"/>
            <wp:effectExtent l="0" t="0" r="0" b="571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86495" cy="2267479"/>
                    </a:xfrm>
                    <a:prstGeom prst="rect">
                      <a:avLst/>
                    </a:prstGeom>
                    <a:noFill/>
                    <a:ln>
                      <a:noFill/>
                    </a:ln>
                  </pic:spPr>
                </pic:pic>
              </a:graphicData>
            </a:graphic>
          </wp:inline>
        </w:drawing>
      </w:r>
      <w:r w:rsidRPr="00DF61F5">
        <w:rPr>
          <w:noProof/>
          <w:lang w:val="en-GB" w:eastAsia="en-GB"/>
        </w:rPr>
        <w:drawing>
          <wp:inline distT="0" distB="0" distL="0" distR="0" wp14:anchorId="74DEFDF3" wp14:editId="5C47E14E">
            <wp:extent cx="2879567" cy="2266315"/>
            <wp:effectExtent l="0" t="0" r="0" b="63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87643" cy="2272671"/>
                    </a:xfrm>
                    <a:prstGeom prst="rect">
                      <a:avLst/>
                    </a:prstGeom>
                    <a:noFill/>
                    <a:ln>
                      <a:noFill/>
                    </a:ln>
                  </pic:spPr>
                </pic:pic>
              </a:graphicData>
            </a:graphic>
          </wp:inline>
        </w:drawing>
      </w:r>
    </w:p>
    <w:p w14:paraId="00962C3D" w14:textId="6AF943EF" w:rsidR="00DF61F5" w:rsidRDefault="00036161" w:rsidP="00036161">
      <w:pPr>
        <w:pStyle w:val="Caption"/>
        <w:spacing w:before="0" w:after="0"/>
      </w:pPr>
      <w:r>
        <w:t xml:space="preserve">Figure </w:t>
      </w:r>
      <w:r w:rsidR="001C1DBB">
        <w:rPr>
          <w:noProof/>
        </w:rPr>
        <w:t>4</w:t>
      </w:r>
      <w:r>
        <w:t xml:space="preserve"> (a) </w:t>
      </w:r>
      <w:r w:rsidRPr="00036161">
        <w:t>Household expenditure by commodity; (b) Household energy consumption</w:t>
      </w:r>
    </w:p>
    <w:p w14:paraId="58AB3E6E" w14:textId="26B46D6D" w:rsidR="00036161" w:rsidRPr="0035219A" w:rsidRDefault="00036161" w:rsidP="00036161">
      <w:pPr>
        <w:pStyle w:val="Caption"/>
        <w:spacing w:before="0" w:after="0"/>
        <w:rPr>
          <w:b w:val="0"/>
          <w:bCs/>
          <w:szCs w:val="16"/>
        </w:rPr>
      </w:pPr>
      <w:r w:rsidRPr="0035219A">
        <w:rPr>
          <w:b w:val="0"/>
          <w:bCs/>
          <w:szCs w:val="16"/>
        </w:rPr>
        <w:t>Source:  2012 SAM; 2012 Energy Balance</w:t>
      </w:r>
    </w:p>
    <w:p w14:paraId="72D6B494" w14:textId="77777777" w:rsidR="00036161" w:rsidRPr="00036161" w:rsidRDefault="00036161" w:rsidP="00036161"/>
    <w:p w14:paraId="151707DD" w14:textId="4560B410" w:rsidR="008A4EC8" w:rsidRPr="00F10C2A" w:rsidRDefault="00036161" w:rsidP="00F10C2A">
      <w:pPr>
        <w:rPr>
          <w:rFonts w:eastAsia="Times New Roman" w:cs="Times New Roman"/>
          <w:b/>
          <w:bCs/>
          <w:iCs/>
          <w:color w:val="538135" w:themeColor="accent6" w:themeShade="BF"/>
          <w:sz w:val="24"/>
          <w:szCs w:val="24"/>
        </w:rPr>
      </w:pPr>
      <w:r w:rsidRPr="00036161">
        <w:t xml:space="preserve">Household consumption in the CGE model covers all marketed commodities, purchased at market prices that include commodity taxes and transaction costs. Household consumption by </w:t>
      </w:r>
      <w:r w:rsidR="003107A8">
        <w:t xml:space="preserve">income </w:t>
      </w:r>
      <w:r w:rsidRPr="00036161">
        <w:t>decile is modelled using a Cobb Douglas functional form. Fixed consumption shares in the Cobb Douglas are</w:t>
      </w:r>
      <w:r w:rsidR="00F41919">
        <w:t>,</w:t>
      </w:r>
      <w:r w:rsidRPr="00036161">
        <w:t xml:space="preserve"> however</w:t>
      </w:r>
      <w:r w:rsidR="00F41919">
        <w:t>,</w:t>
      </w:r>
      <w:r w:rsidRPr="00036161">
        <w:t xml:space="preserve"> changed over time to reflect changes in real income and hence associated changes in living standards </w:t>
      </w:r>
      <w:r w:rsidR="003C5007">
        <w:t>associated with changes in income</w:t>
      </w:r>
      <w:r w:rsidR="00F41919">
        <w:t>. For this see</w:t>
      </w:r>
      <w:r w:rsidRPr="00036161">
        <w:t xml:space="preserve"> Merven et al., </w:t>
      </w:r>
      <w:r w:rsidR="00F41919">
        <w:t>(</w:t>
      </w:r>
      <w:r w:rsidRPr="00036161">
        <w:t>2020)</w:t>
      </w:r>
      <w:r w:rsidR="00F41919">
        <w:t>, who</w:t>
      </w:r>
      <w:r w:rsidRPr="00036161">
        <w:t xml:space="preserve"> show that</w:t>
      </w:r>
      <w:r w:rsidR="00F41919">
        <w:t>,</w:t>
      </w:r>
      <w:r w:rsidRPr="00036161">
        <w:t xml:space="preserve"> under this specification</w:t>
      </w:r>
      <w:r w:rsidR="00F41919">
        <w:t>,</w:t>
      </w:r>
      <w:r w:rsidRPr="00036161">
        <w:t xml:space="preserve"> demand for petrol and diesel increases as </w:t>
      </w:r>
      <w:r w:rsidR="003C5007" w:rsidRPr="00036161">
        <w:t>household’s</w:t>
      </w:r>
      <w:r w:rsidRPr="00036161">
        <w:t xml:space="preserve"> income</w:t>
      </w:r>
      <w:r w:rsidR="003C5007">
        <w:t>s</w:t>
      </w:r>
      <w:r w:rsidRPr="00036161">
        <w:t xml:space="preserve"> rise and they demand more private as opposed to public sector transport.</w:t>
      </w:r>
    </w:p>
    <w:p w14:paraId="5E738687" w14:textId="53B7DDC3" w:rsidR="009D4D79" w:rsidRDefault="009D4D79" w:rsidP="009D4D79">
      <w:pPr>
        <w:pStyle w:val="Heading2"/>
        <w:numPr>
          <w:ilvl w:val="1"/>
          <w:numId w:val="2"/>
        </w:numPr>
        <w:spacing w:after="120"/>
      </w:pPr>
      <w:r>
        <w:t>Model changes</w:t>
      </w:r>
    </w:p>
    <w:p w14:paraId="3E371BB5" w14:textId="68D241EB" w:rsidR="009D4D79" w:rsidRPr="009D4D79" w:rsidRDefault="009D4D79" w:rsidP="009D4D79">
      <w:pPr>
        <w:pStyle w:val="Heading2"/>
        <w:numPr>
          <w:ilvl w:val="2"/>
          <w:numId w:val="2"/>
        </w:numPr>
        <w:spacing w:after="120"/>
      </w:pPr>
      <w:r>
        <w:t>SAM and eSAGE model changes</w:t>
      </w:r>
    </w:p>
    <w:p w14:paraId="40AAC12B" w14:textId="7F719216" w:rsidR="00F10C2A" w:rsidRDefault="009D4D79" w:rsidP="00F10C2A">
      <w:r>
        <w:t>To incorporate an energy end</w:t>
      </w:r>
      <w:r w:rsidR="00F41919">
        <w:t>-</w:t>
      </w:r>
      <w:r>
        <w:t xml:space="preserve">use demand structure for private transport into the </w:t>
      </w:r>
      <w:r w:rsidR="001C1DBB">
        <w:t xml:space="preserve">original </w:t>
      </w:r>
      <w:r>
        <w:t xml:space="preserve">SAM </w:t>
      </w:r>
      <w:r w:rsidR="001C1DBB">
        <w:t xml:space="preserve">(partially shown in Figure </w:t>
      </w:r>
      <w:r w:rsidR="001C1DBB">
        <w:rPr>
          <w:noProof/>
        </w:rPr>
        <w:t>5</w:t>
      </w:r>
      <w:r w:rsidR="001C1DBB">
        <w:t xml:space="preserve">) </w:t>
      </w:r>
      <w:r>
        <w:t>and eSAGE model</w:t>
      </w:r>
      <w:r w:rsidR="00F41919">
        <w:t>s</w:t>
      </w:r>
      <w:r>
        <w:t xml:space="preserve">, household energy use related to transport is shifted out of the household consumption vector and replaced with a consumption on private transport fuel </w:t>
      </w:r>
      <w:r w:rsidR="00F41919">
        <w:t>that</w:t>
      </w:r>
      <w:r>
        <w:t xml:space="preserve"> is equivalent to the sum of energy use for transport. A new sector is created in the SAM called private transport</w:t>
      </w:r>
      <w:r w:rsidR="001C1DBB">
        <w:t xml:space="preserve">, as shown in </w:t>
      </w:r>
      <w:r w:rsidR="00F41919">
        <w:t xml:space="preserve">Figure </w:t>
      </w:r>
      <w:r w:rsidR="008E72CF">
        <w:t>6</w:t>
      </w:r>
      <w:r>
        <w:t>. This sector consumes the individual sources of fuels needed for transport and produces the private transport commodity consumed by households. The private transport sector consumes no other goods or services tha</w:t>
      </w:r>
      <w:r w:rsidR="00554653">
        <w:t>n</w:t>
      </w:r>
      <w:r>
        <w:t xml:space="preserve"> the fuels available for private transport needs. The sector does also not consume production factors nor does it pay taxes or receive subsidies. Through incorporati</w:t>
      </w:r>
      <w:r w:rsidR="00F41919">
        <w:t>ng</w:t>
      </w:r>
      <w:r>
        <w:t xml:space="preserve"> the private transport sector and commodity, the private transport end</w:t>
      </w:r>
      <w:r w:rsidR="00F41919">
        <w:t>-</w:t>
      </w:r>
      <w:r>
        <w:t xml:space="preserve">use </w:t>
      </w:r>
      <w:r w:rsidR="00F41919">
        <w:t xml:space="preserve">is included </w:t>
      </w:r>
      <w:r>
        <w:t>in the model</w:t>
      </w:r>
      <w:r w:rsidR="00F41919">
        <w:t>,</w:t>
      </w:r>
      <w:r>
        <w:t xml:space="preserve"> and the use of energy for this end</w:t>
      </w:r>
      <w:r w:rsidR="00F41919">
        <w:t>-</w:t>
      </w:r>
      <w:r>
        <w:t>use</w:t>
      </w:r>
      <w:r w:rsidR="00F41919">
        <w:t xml:space="preserve"> is separated out</w:t>
      </w:r>
      <w:r>
        <w:t>.</w:t>
      </w:r>
    </w:p>
    <w:p w14:paraId="41054D39" w14:textId="10D08FF7" w:rsidR="001C1DBB" w:rsidRDefault="00C2168E" w:rsidP="00F10C2A">
      <w:r w:rsidRPr="00C2168E">
        <w:rPr>
          <w:noProof/>
          <w:lang w:val="en-GB" w:eastAsia="en-GB"/>
        </w:rPr>
        <w:drawing>
          <wp:inline distT="0" distB="0" distL="0" distR="0" wp14:anchorId="57B79037" wp14:editId="04A3600C">
            <wp:extent cx="5759450" cy="2493645"/>
            <wp:effectExtent l="0" t="0" r="0" b="190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759450" cy="2493645"/>
                    </a:xfrm>
                    <a:prstGeom prst="rect">
                      <a:avLst/>
                    </a:prstGeom>
                    <a:noFill/>
                    <a:ln>
                      <a:noFill/>
                    </a:ln>
                  </pic:spPr>
                </pic:pic>
              </a:graphicData>
            </a:graphic>
          </wp:inline>
        </w:drawing>
      </w:r>
    </w:p>
    <w:p w14:paraId="14C2B15B" w14:textId="7443AD51" w:rsidR="00C2168E" w:rsidRDefault="001C1DBB" w:rsidP="001F1601">
      <w:pPr>
        <w:pStyle w:val="Caption"/>
        <w:spacing w:before="0" w:after="0"/>
        <w:jc w:val="both"/>
      </w:pPr>
      <w:bookmarkStart w:id="9" w:name="_Ref36443498"/>
      <w:r>
        <w:t xml:space="preserve">Figure </w:t>
      </w:r>
      <w:r>
        <w:rPr>
          <w:noProof/>
        </w:rPr>
        <w:t>5</w:t>
      </w:r>
      <w:bookmarkEnd w:id="9"/>
      <w:r w:rsidR="00F41919">
        <w:rPr>
          <w:noProof/>
        </w:rPr>
        <w:t>:</w:t>
      </w:r>
      <w:r>
        <w:t xml:space="preserve"> Household consumption in original SAM</w:t>
      </w:r>
    </w:p>
    <w:p w14:paraId="78DCA0DD" w14:textId="77777777" w:rsidR="001F1601" w:rsidRPr="0035219A" w:rsidRDefault="001F1601" w:rsidP="001F1601">
      <w:pPr>
        <w:pStyle w:val="Caption"/>
        <w:spacing w:before="0" w:after="0"/>
        <w:rPr>
          <w:b w:val="0"/>
          <w:bCs/>
          <w:szCs w:val="16"/>
        </w:rPr>
      </w:pPr>
      <w:r w:rsidRPr="0035219A">
        <w:rPr>
          <w:b w:val="0"/>
          <w:bCs/>
          <w:szCs w:val="16"/>
        </w:rPr>
        <w:t>Source: Author’s illustration</w:t>
      </w:r>
    </w:p>
    <w:p w14:paraId="20C67754" w14:textId="77777777" w:rsidR="001F1601" w:rsidRPr="001F1601" w:rsidRDefault="001F1601" w:rsidP="001F1601"/>
    <w:p w14:paraId="5EF38ACD" w14:textId="77777777" w:rsidR="001C1DBB" w:rsidRDefault="001C1DBB" w:rsidP="001C1DBB">
      <w:pPr>
        <w:keepNext/>
      </w:pPr>
      <w:r w:rsidRPr="001C1DBB">
        <w:rPr>
          <w:noProof/>
          <w:lang w:val="en-GB" w:eastAsia="en-GB"/>
        </w:rPr>
        <w:drawing>
          <wp:inline distT="0" distB="0" distL="0" distR="0" wp14:anchorId="120C786B" wp14:editId="330C8549">
            <wp:extent cx="5759450" cy="3561715"/>
            <wp:effectExtent l="0" t="0" r="0" b="63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759450" cy="3561715"/>
                    </a:xfrm>
                    <a:prstGeom prst="rect">
                      <a:avLst/>
                    </a:prstGeom>
                    <a:noFill/>
                    <a:ln>
                      <a:noFill/>
                    </a:ln>
                  </pic:spPr>
                </pic:pic>
              </a:graphicData>
            </a:graphic>
          </wp:inline>
        </w:drawing>
      </w:r>
    </w:p>
    <w:p w14:paraId="47B23946" w14:textId="635D00F9" w:rsidR="001C1DBB" w:rsidRDefault="001C1DBB" w:rsidP="001F1601">
      <w:pPr>
        <w:pStyle w:val="Caption"/>
        <w:spacing w:before="0" w:after="0"/>
        <w:jc w:val="both"/>
      </w:pPr>
      <w:bookmarkStart w:id="10" w:name="_Ref36443383"/>
      <w:r>
        <w:t xml:space="preserve">Figure </w:t>
      </w:r>
      <w:r>
        <w:rPr>
          <w:noProof/>
        </w:rPr>
        <w:t>6</w:t>
      </w:r>
      <w:bookmarkEnd w:id="10"/>
      <w:r w:rsidR="00F41919">
        <w:rPr>
          <w:noProof/>
        </w:rPr>
        <w:t>:</w:t>
      </w:r>
      <w:r>
        <w:t xml:space="preserve"> Household consumption with modified SAM</w:t>
      </w:r>
    </w:p>
    <w:p w14:paraId="1A1FA8C6" w14:textId="77777777" w:rsidR="001F1601" w:rsidRPr="0035219A" w:rsidRDefault="001F1601" w:rsidP="001F1601">
      <w:pPr>
        <w:pStyle w:val="Caption"/>
        <w:spacing w:before="0" w:after="0"/>
        <w:rPr>
          <w:b w:val="0"/>
          <w:bCs/>
          <w:szCs w:val="16"/>
        </w:rPr>
      </w:pPr>
      <w:r w:rsidRPr="0035219A">
        <w:rPr>
          <w:b w:val="0"/>
          <w:bCs/>
          <w:szCs w:val="16"/>
        </w:rPr>
        <w:t>Source: Author’s illustration</w:t>
      </w:r>
    </w:p>
    <w:p w14:paraId="42887798" w14:textId="2CDDE42D" w:rsidR="00554653" w:rsidRPr="009D4D79" w:rsidRDefault="00554653" w:rsidP="00554653">
      <w:pPr>
        <w:pStyle w:val="Heading2"/>
        <w:numPr>
          <w:ilvl w:val="2"/>
          <w:numId w:val="2"/>
        </w:numPr>
        <w:spacing w:after="120"/>
      </w:pPr>
      <w:r>
        <w:t>Changes to SATIMGE links</w:t>
      </w:r>
    </w:p>
    <w:p w14:paraId="6983D1E0" w14:textId="1D6FA1D1" w:rsidR="009A2483" w:rsidRDefault="009A2483" w:rsidP="00FA0917">
      <w:pPr>
        <w:pStyle w:val="Heading3"/>
        <w:spacing w:before="120" w:after="120"/>
      </w:pPr>
      <w:r>
        <w:t>Informing</w:t>
      </w:r>
      <w:r w:rsidR="00F41919">
        <w:t xml:space="preserve"> technical cha</w:t>
      </w:r>
      <w:r>
        <w:t>nge in eSAGE from SATIM results</w:t>
      </w:r>
    </w:p>
    <w:p w14:paraId="2BFF3B08" w14:textId="13E1D7A8" w:rsidR="009A2483" w:rsidRPr="00FA0917" w:rsidRDefault="009A2483" w:rsidP="00FA0917">
      <w:pPr>
        <w:rPr>
          <w:rFonts w:eastAsia="Calibri" w:cstheme="minorHAnsi"/>
        </w:rPr>
      </w:pPr>
      <w:r w:rsidRPr="00FA0917">
        <w:rPr>
          <w:rFonts w:cstheme="minorHAnsi"/>
        </w:rPr>
        <w:t xml:space="preserve">With the new private transport sector activity in place in the SAM, the approach used in Merven et al </w:t>
      </w:r>
      <w:r w:rsidR="00F41919">
        <w:rPr>
          <w:rFonts w:cstheme="minorHAnsi"/>
        </w:rPr>
        <w:t>(</w:t>
      </w:r>
      <w:r w:rsidRPr="00FA0917">
        <w:rPr>
          <w:rFonts w:cstheme="minorHAnsi"/>
        </w:rPr>
        <w:t>2019</w:t>
      </w:r>
      <w:r w:rsidR="00F41919">
        <w:rPr>
          <w:rFonts w:cstheme="minorHAnsi"/>
        </w:rPr>
        <w:t>) can be used</w:t>
      </w:r>
      <w:r w:rsidRPr="00FA0917">
        <w:rPr>
          <w:rFonts w:cstheme="minorHAnsi"/>
        </w:rPr>
        <w:t xml:space="preserve"> to transfer the technical change observed in SATIM across to eSAGE. </w:t>
      </w:r>
      <w:r w:rsidR="00F41919">
        <w:rPr>
          <w:rFonts w:cstheme="minorHAnsi"/>
        </w:rPr>
        <w:t xml:space="preserve"> </w:t>
      </w:r>
      <w:r w:rsidRPr="00FA0917">
        <w:rPr>
          <w:rFonts w:cstheme="minorHAnsi"/>
        </w:rPr>
        <w:t xml:space="preserve">In eSAGE the composition of </w:t>
      </w:r>
      <w:r w:rsidRPr="00FA0917">
        <w:rPr>
          <w:rFonts w:eastAsia="Calibri" w:cstheme="minorHAnsi"/>
        </w:rPr>
        <w:t xml:space="preserve">intermediate inputs is done using a Leontief representation with the quantity of intermediate input </w:t>
      </w:r>
      <w:r w:rsidR="008E72CF">
        <w:rPr>
          <w:rFonts w:eastAsia="Calibri" w:cstheme="minorHAnsi"/>
          <w:i/>
        </w:rPr>
        <w:t>c</w:t>
      </w:r>
      <w:r w:rsidR="008E72CF" w:rsidRPr="00FA0917">
        <w:rPr>
          <w:rFonts w:eastAsia="Calibri" w:cstheme="minorHAnsi"/>
        </w:rPr>
        <w:t xml:space="preserve"> </w:t>
      </w:r>
      <w:r w:rsidRPr="00FA0917">
        <w:rPr>
          <w:rFonts w:eastAsia="Calibri" w:cstheme="minorHAnsi"/>
        </w:rPr>
        <w:t xml:space="preserve">required by activity </w:t>
      </w:r>
      <w:r w:rsidRPr="00FA0917">
        <w:rPr>
          <w:rFonts w:eastAsia="Calibri" w:cstheme="minorHAnsi"/>
          <w:i/>
        </w:rPr>
        <w:t>a</w:t>
      </w:r>
      <w:r w:rsidRPr="00FA0917">
        <w:rPr>
          <w:rFonts w:eastAsia="Calibri" w:cstheme="minorHAnsi"/>
        </w:rPr>
        <w:t xml:space="preserve"> in year </w:t>
      </w:r>
      <w:r w:rsidRPr="00FA0917">
        <w:rPr>
          <w:rFonts w:eastAsia="Calibri" w:cstheme="minorHAnsi"/>
          <w:i/>
        </w:rPr>
        <w:t>t,</w:t>
      </w:r>
      <w:r w:rsidRPr="00FA0917">
        <w:rPr>
          <w:rFonts w:eastAsia="Calibri" w:cstheme="minorHAnsi"/>
        </w:rPr>
        <w:t xml:space="preserve"> </w:t>
      </w:r>
      <w:r w:rsidRPr="00FA0917">
        <w:rPr>
          <w:rFonts w:eastAsia="Calibri" w:cstheme="minorHAnsi"/>
          <w:i/>
        </w:rPr>
        <w:t>qint(a,</w:t>
      </w:r>
      <w:r w:rsidR="0084738A" w:rsidRPr="00FA0917">
        <w:rPr>
          <w:rFonts w:eastAsia="Calibri" w:cstheme="minorHAnsi"/>
          <w:i/>
        </w:rPr>
        <w:t>c</w:t>
      </w:r>
      <w:r w:rsidRPr="00FA0917">
        <w:rPr>
          <w:rFonts w:eastAsia="Calibri" w:cstheme="minorHAnsi"/>
          <w:i/>
        </w:rPr>
        <w:t>,t),</w:t>
      </w:r>
      <w:r w:rsidRPr="00FA0917">
        <w:rPr>
          <w:rFonts w:eastAsia="Calibri" w:cstheme="minorHAnsi"/>
        </w:rPr>
        <w:t xml:space="preserve"> calculated as Eq</w:t>
      </w:r>
      <w:r w:rsidR="00F41919">
        <w:rPr>
          <w:rFonts w:eastAsia="Calibri" w:cstheme="minorHAnsi"/>
        </w:rPr>
        <w:t xml:space="preserve">uation </w:t>
      </w:r>
      <w:r w:rsidRPr="00FA0917">
        <w:rPr>
          <w:rFonts w:eastAsia="Calibri" w:cstheme="minorHAnsi"/>
        </w:rPr>
        <w:t>1:</w:t>
      </w:r>
    </w:p>
    <w:p w14:paraId="79885D65" w14:textId="071AD817" w:rsidR="009A2483" w:rsidRPr="00FA0917" w:rsidRDefault="009A2483" w:rsidP="00FA0917">
      <w:pPr>
        <w:jc w:val="center"/>
        <w:rPr>
          <w:rFonts w:eastAsia="Calibri" w:cstheme="minorHAnsi"/>
          <w:i/>
        </w:rPr>
      </w:pPr>
      <m:oMath>
        <m:r>
          <w:rPr>
            <w:rFonts w:ascii="Cambria Math" w:eastAsia="Calibri" w:hAnsi="Cambria Math" w:cstheme="minorHAnsi"/>
          </w:rPr>
          <m:t>qint</m:t>
        </m:r>
        <m:d>
          <m:dPr>
            <m:ctrlPr>
              <w:rPr>
                <w:rFonts w:ascii="Cambria Math" w:eastAsia="Calibri" w:hAnsi="Cambria Math" w:cstheme="minorHAnsi"/>
                <w:i/>
              </w:rPr>
            </m:ctrlPr>
          </m:dPr>
          <m:e>
            <m:r>
              <w:rPr>
                <w:rFonts w:ascii="Cambria Math" w:eastAsia="Calibri" w:hAnsi="Cambria Math" w:cstheme="minorHAnsi"/>
              </w:rPr>
              <m:t>a,c,t</m:t>
            </m:r>
          </m:e>
        </m:d>
        <m:r>
          <w:rPr>
            <w:rFonts w:ascii="Cambria Math" w:eastAsia="Calibri" w:hAnsi="Cambria Math" w:cstheme="minorHAnsi"/>
          </w:rPr>
          <m:t>=output(a,t)×ica(a,c,t)</m:t>
        </m:r>
      </m:oMath>
      <w:r w:rsidRPr="00FA0917">
        <w:rPr>
          <w:rFonts w:eastAsia="Calibri" w:cstheme="minorHAnsi"/>
          <w:i/>
        </w:rPr>
        <w:tab/>
      </w:r>
      <w:r w:rsidRPr="00FA0917">
        <w:rPr>
          <w:rFonts w:eastAsia="Calibri" w:cstheme="minorHAnsi"/>
          <w:iCs/>
        </w:rPr>
        <w:t>[1]</w:t>
      </w:r>
    </w:p>
    <w:p w14:paraId="2F92E093" w14:textId="65614DD8" w:rsidR="009A2483" w:rsidRPr="00FA0917" w:rsidRDefault="009A2483" w:rsidP="00FA0917">
      <w:pPr>
        <w:rPr>
          <w:rFonts w:eastAsia="Calibri" w:cstheme="minorHAnsi"/>
        </w:rPr>
      </w:pPr>
      <w:r w:rsidRPr="00FA0917">
        <w:rPr>
          <w:rFonts w:eastAsia="Calibri" w:cstheme="minorHAnsi"/>
        </w:rPr>
        <w:t xml:space="preserve">where </w:t>
      </w:r>
      <w:r w:rsidRPr="00FA0917">
        <w:rPr>
          <w:rFonts w:eastAsia="Calibri" w:cstheme="minorHAnsi"/>
          <w:i/>
        </w:rPr>
        <w:t xml:space="preserve">ica(a, </w:t>
      </w:r>
      <w:r w:rsidR="0084738A" w:rsidRPr="00FA0917">
        <w:rPr>
          <w:rFonts w:eastAsia="Calibri" w:cstheme="minorHAnsi"/>
          <w:i/>
        </w:rPr>
        <w:t>c</w:t>
      </w:r>
      <w:r w:rsidRPr="00FA0917">
        <w:rPr>
          <w:rFonts w:eastAsia="Calibri" w:cstheme="minorHAnsi"/>
          <w:i/>
        </w:rPr>
        <w:t>, t)</w:t>
      </w:r>
      <w:r w:rsidRPr="00FA0917">
        <w:rPr>
          <w:rFonts w:eastAsia="Calibri" w:cstheme="minorHAnsi"/>
        </w:rPr>
        <w:t xml:space="preserve"> is a coefficient (which can be time</w:t>
      </w:r>
      <w:r w:rsidR="00F41919">
        <w:rPr>
          <w:rFonts w:eastAsia="Calibri" w:cstheme="minorHAnsi"/>
        </w:rPr>
        <w:t>-</w:t>
      </w:r>
      <w:r w:rsidRPr="00FA0917">
        <w:rPr>
          <w:rFonts w:eastAsia="Calibri" w:cstheme="minorHAnsi"/>
        </w:rPr>
        <w:t>varying) for each intermediate input</w:t>
      </w:r>
      <w:r w:rsidR="0084738A" w:rsidRPr="00FA0917">
        <w:rPr>
          <w:rFonts w:eastAsia="Calibri" w:cstheme="minorHAnsi"/>
        </w:rPr>
        <w:t xml:space="preserve"> commodity</w:t>
      </w:r>
      <w:r w:rsidRPr="00FA0917">
        <w:rPr>
          <w:rFonts w:eastAsia="Calibri" w:cstheme="minorHAnsi"/>
        </w:rPr>
        <w:t xml:space="preserve">, </w:t>
      </w:r>
      <w:r w:rsidR="0084738A" w:rsidRPr="00FA0917">
        <w:rPr>
          <w:rFonts w:eastAsia="Calibri" w:cstheme="minorHAnsi"/>
          <w:i/>
        </w:rPr>
        <w:t>c</w:t>
      </w:r>
      <w:r w:rsidRPr="00FA0917">
        <w:rPr>
          <w:rFonts w:eastAsia="Calibri" w:cstheme="minorHAnsi"/>
          <w:i/>
        </w:rPr>
        <w:t xml:space="preserve">. </w:t>
      </w:r>
      <w:r w:rsidRPr="00FA0917">
        <w:rPr>
          <w:rFonts w:eastAsia="Calibri" w:cstheme="minorHAnsi"/>
        </w:rPr>
        <w:t>The base year (</w:t>
      </w:r>
      <w:r w:rsidRPr="00FA0917">
        <w:rPr>
          <w:rFonts w:eastAsia="Calibri" w:cstheme="minorHAnsi"/>
          <w:i/>
        </w:rPr>
        <w:t>t</w:t>
      </w:r>
      <w:r w:rsidRPr="00FA0917">
        <w:rPr>
          <w:rFonts w:eastAsia="Calibri" w:cstheme="minorHAnsi"/>
          <w:i/>
          <w:vertAlign w:val="subscript"/>
        </w:rPr>
        <w:t>0</w:t>
      </w:r>
      <w:r w:rsidRPr="00FA0917">
        <w:rPr>
          <w:rFonts w:eastAsia="Calibri" w:cstheme="minorHAnsi"/>
        </w:rPr>
        <w:t xml:space="preserve">) </w:t>
      </w:r>
      <w:r w:rsidRPr="00FA0917">
        <w:rPr>
          <w:rFonts w:eastAsia="Calibri" w:cstheme="minorHAnsi"/>
          <w:i/>
        </w:rPr>
        <w:t>ica</w:t>
      </w:r>
      <w:r w:rsidRPr="00FA0917">
        <w:rPr>
          <w:rFonts w:eastAsia="Calibri" w:cstheme="minorHAnsi"/>
        </w:rPr>
        <w:t xml:space="preserve"> values are derived from the calibrated SAM. The </w:t>
      </w:r>
      <w:r w:rsidRPr="00FA0917">
        <w:rPr>
          <w:rFonts w:cstheme="minorHAnsi"/>
          <w:i/>
        </w:rPr>
        <w:t>ica</w:t>
      </w:r>
      <w:r w:rsidRPr="00FA0917">
        <w:rPr>
          <w:rFonts w:eastAsia="Calibri" w:cstheme="minorHAnsi"/>
        </w:rPr>
        <w:t xml:space="preserve"> coefficients for each energy intermediate input </w:t>
      </w:r>
      <w:r w:rsidR="00F41919">
        <w:rPr>
          <w:rFonts w:eastAsia="Calibri" w:cstheme="minorHAnsi"/>
        </w:rPr>
        <w:t>are</w:t>
      </w:r>
      <w:r w:rsidR="00F41919" w:rsidRPr="00FA0917">
        <w:rPr>
          <w:rFonts w:eastAsia="Calibri" w:cstheme="minorHAnsi"/>
        </w:rPr>
        <w:t xml:space="preserve"> </w:t>
      </w:r>
      <w:r w:rsidRPr="00FA0917">
        <w:rPr>
          <w:rFonts w:eastAsia="Calibri" w:cstheme="minorHAnsi"/>
        </w:rPr>
        <w:t>calculated from the SATIM results, starting by calculating energy intensity of production in SATIM (Eq</w:t>
      </w:r>
      <w:r w:rsidR="00F41919">
        <w:rPr>
          <w:rFonts w:eastAsia="Calibri" w:cstheme="minorHAnsi"/>
        </w:rPr>
        <w:t>uation</w:t>
      </w:r>
      <w:r w:rsidRPr="00FA0917">
        <w:rPr>
          <w:rFonts w:eastAsia="Calibri" w:cstheme="minorHAnsi"/>
        </w:rPr>
        <w:t xml:space="preserve"> 2):</w:t>
      </w:r>
    </w:p>
    <w:p w14:paraId="6BF1D233" w14:textId="2B71BA79" w:rsidR="0084738A" w:rsidRPr="00FA0917" w:rsidRDefault="0084738A" w:rsidP="00FA0917">
      <w:pPr>
        <w:jc w:val="center"/>
        <w:rPr>
          <w:rFonts w:cstheme="minorHAnsi"/>
        </w:rPr>
      </w:pPr>
      <m:oMath>
        <m:r>
          <w:rPr>
            <w:rFonts w:ascii="Cambria Math" w:hAnsi="Cambria Math" w:cstheme="minorHAnsi"/>
          </w:rPr>
          <m:t xml:space="preserve">Energy Intensity (C,t)= </m:t>
        </m:r>
        <m:f>
          <m:fPr>
            <m:ctrlPr>
              <w:rPr>
                <w:rFonts w:ascii="Cambria Math" w:hAnsi="Cambria Math" w:cstheme="minorHAnsi"/>
              </w:rPr>
            </m:ctrlPr>
          </m:fPr>
          <m:num>
            <m:r>
              <w:rPr>
                <w:rFonts w:ascii="Cambria Math" w:hAnsi="Cambria Math" w:cstheme="minorHAnsi"/>
              </w:rPr>
              <m:t>Energy Input (C,t)</m:t>
            </m:r>
          </m:num>
          <m:den>
            <m:r>
              <m:rPr>
                <m:sty m:val="p"/>
              </m:rPr>
              <w:rPr>
                <w:rFonts w:ascii="Cambria Math" w:hAnsi="Cambria Math" w:cstheme="minorHAnsi"/>
              </w:rPr>
              <m:t xml:space="preserve"> Vehicle-km(t)</m:t>
            </m:r>
          </m:den>
        </m:f>
      </m:oMath>
      <w:r w:rsidRPr="00FA0917">
        <w:rPr>
          <w:rFonts w:cstheme="minorHAnsi"/>
        </w:rPr>
        <w:tab/>
        <w:t>,</w:t>
      </w:r>
      <w:r w:rsidRPr="00FA0917">
        <w:rPr>
          <w:rFonts w:cstheme="minorHAnsi"/>
        </w:rPr>
        <w:tab/>
        <w:t>[2]</w:t>
      </w:r>
    </w:p>
    <w:p w14:paraId="3719DEB2" w14:textId="0D1A09EC" w:rsidR="0084738A" w:rsidRPr="00FA0917" w:rsidRDefault="0084738A" w:rsidP="00FA0917">
      <w:pPr>
        <w:rPr>
          <w:rFonts w:eastAsia="Calibri" w:cstheme="minorHAnsi"/>
        </w:rPr>
      </w:pPr>
      <w:r w:rsidRPr="00FA0917">
        <w:rPr>
          <w:rFonts w:eastAsia="Calibri" w:cstheme="minorHAnsi"/>
        </w:rPr>
        <w:t xml:space="preserve">where </w:t>
      </w:r>
      <w:r w:rsidR="00A35FA1" w:rsidRPr="00FA0917">
        <w:rPr>
          <w:rFonts w:eastAsia="Calibri" w:cstheme="minorHAnsi"/>
        </w:rPr>
        <w:t>Energy Input(</w:t>
      </w:r>
      <w:r w:rsidRPr="00FA0917">
        <w:rPr>
          <w:rFonts w:eastAsia="Calibri" w:cstheme="minorHAnsi"/>
          <w:i/>
        </w:rPr>
        <w:t>C</w:t>
      </w:r>
      <w:r w:rsidR="00A35FA1" w:rsidRPr="00FA0917">
        <w:rPr>
          <w:rFonts w:eastAsia="Calibri" w:cstheme="minorHAnsi"/>
          <w:i/>
        </w:rPr>
        <w:t xml:space="preserve">,t) </w:t>
      </w:r>
      <w:r w:rsidRPr="00FA0917">
        <w:rPr>
          <w:rFonts w:eastAsia="Calibri" w:cstheme="minorHAnsi"/>
        </w:rPr>
        <w:t xml:space="preserve">is </w:t>
      </w:r>
      <w:r w:rsidR="00A35FA1" w:rsidRPr="00FA0917">
        <w:rPr>
          <w:rFonts w:eastAsia="Calibri" w:cstheme="minorHAnsi"/>
        </w:rPr>
        <w:t>the consumption of each commodity C</w:t>
      </w:r>
      <w:r w:rsidRPr="00FA0917">
        <w:rPr>
          <w:rFonts w:eastAsia="Calibri" w:cstheme="minorHAnsi"/>
        </w:rPr>
        <w:t xml:space="preserve"> (gasoline, diesel, electricity)</w:t>
      </w:r>
      <w:r w:rsidR="00A35FA1" w:rsidRPr="00FA0917">
        <w:rPr>
          <w:rFonts w:eastAsia="Calibri" w:cstheme="minorHAnsi"/>
        </w:rPr>
        <w:t xml:space="preserve"> by private sector vehicles as observed in SATIM</w:t>
      </w:r>
      <w:r w:rsidRPr="00FA0917">
        <w:rPr>
          <w:rFonts w:eastAsia="Calibri" w:cstheme="minorHAnsi"/>
        </w:rPr>
        <w:t>.</w:t>
      </w:r>
    </w:p>
    <w:p w14:paraId="60CD5BC0" w14:textId="0973A268" w:rsidR="0084738A" w:rsidRPr="00FA0917" w:rsidRDefault="0084738A" w:rsidP="00FA0917">
      <w:pPr>
        <w:rPr>
          <w:rFonts w:eastAsia="Calibri" w:cstheme="minorHAnsi"/>
        </w:rPr>
      </w:pPr>
      <w:r w:rsidRPr="00FA0917">
        <w:rPr>
          <w:rFonts w:eastAsia="Calibri" w:cstheme="minorHAnsi"/>
          <w:i/>
        </w:rPr>
        <w:t>Ica</w:t>
      </w:r>
      <w:r w:rsidR="00330692" w:rsidRPr="00FA0917">
        <w:rPr>
          <w:rFonts w:eastAsia="Calibri" w:cstheme="minorHAnsi"/>
          <w:iCs/>
        </w:rPr>
        <w:t xml:space="preserve"> for </w:t>
      </w:r>
      <w:r w:rsidR="00A44D5B" w:rsidRPr="00FA0917">
        <w:rPr>
          <w:rFonts w:eastAsia="Calibri" w:cstheme="minorHAnsi"/>
          <w:iCs/>
        </w:rPr>
        <w:t>private transp</w:t>
      </w:r>
      <w:r w:rsidR="00330692" w:rsidRPr="00FA0917">
        <w:rPr>
          <w:rFonts w:eastAsia="Calibri" w:cstheme="minorHAnsi"/>
          <w:iCs/>
        </w:rPr>
        <w:t xml:space="preserve">ort activity, </w:t>
      </w:r>
      <w:r w:rsidR="00330692" w:rsidRPr="00FA0917">
        <w:rPr>
          <w:rFonts w:eastAsia="Calibri" w:cstheme="minorHAnsi"/>
          <w:i/>
        </w:rPr>
        <w:t>ica(PrivTra)</w:t>
      </w:r>
      <w:r w:rsidR="00330692" w:rsidRPr="00FA0917">
        <w:rPr>
          <w:rFonts w:eastAsia="Calibri" w:cstheme="minorHAnsi"/>
          <w:iCs/>
        </w:rPr>
        <w:t>,</w:t>
      </w:r>
      <w:r w:rsidRPr="00FA0917">
        <w:rPr>
          <w:rFonts w:eastAsia="Calibri" w:cstheme="minorHAnsi"/>
        </w:rPr>
        <w:t xml:space="preserve"> is then simply specified to be equal to the energy intensity by fuel observed in SATIM in each time period </w:t>
      </w:r>
      <w:r w:rsidRPr="00FA0917">
        <w:rPr>
          <w:rFonts w:eastAsia="Calibri" w:cstheme="minorHAnsi"/>
          <w:i/>
          <w:iCs/>
        </w:rPr>
        <w:t>t</w:t>
      </w:r>
      <w:r w:rsidRPr="00FA0917">
        <w:rPr>
          <w:rFonts w:eastAsia="Calibri" w:cstheme="minorHAnsi"/>
          <w:iCs/>
        </w:rPr>
        <w:t>:</w:t>
      </w:r>
    </w:p>
    <w:p w14:paraId="4145B99B" w14:textId="4B349854" w:rsidR="0084738A" w:rsidRPr="00FA0917" w:rsidRDefault="0084738A" w:rsidP="00FA0917">
      <w:pPr>
        <w:jc w:val="center"/>
        <w:rPr>
          <w:rFonts w:cstheme="minorHAnsi"/>
        </w:rPr>
      </w:pPr>
      <m:oMath>
        <m:r>
          <w:rPr>
            <w:rFonts w:ascii="Cambria Math" w:hAnsi="Cambria Math" w:cstheme="minorHAnsi"/>
            <w:lang w:val="pt-PT"/>
          </w:rPr>
          <m:t>ica</m:t>
        </m:r>
        <m:d>
          <m:dPr>
            <m:ctrlPr>
              <w:rPr>
                <w:rFonts w:ascii="Cambria Math" w:hAnsi="Cambria Math" w:cstheme="minorHAnsi"/>
                <w:i/>
                <w:lang w:val="pt-PT"/>
              </w:rPr>
            </m:ctrlPr>
          </m:dPr>
          <m:e>
            <m:r>
              <w:rPr>
                <w:rFonts w:ascii="Cambria Math" w:hAnsi="Cambria Math" w:cstheme="minorHAnsi"/>
                <w:lang w:val="pt-PT"/>
              </w:rPr>
              <m:t>PrivTra,c,t</m:t>
            </m:r>
          </m:e>
        </m:d>
        <m:r>
          <w:rPr>
            <w:rFonts w:ascii="Cambria Math" w:hAnsi="Cambria Math" w:cstheme="minorHAnsi"/>
            <w:lang w:val="pt-PT"/>
          </w:rPr>
          <m:t>=</m:t>
        </m:r>
        <m:r>
          <w:rPr>
            <w:rFonts w:ascii="Cambria Math" w:hAnsi="Cambria Math" w:cstheme="minorHAnsi"/>
          </w:rPr>
          <m:t>Energy</m:t>
        </m:r>
        <m:r>
          <w:rPr>
            <w:rFonts w:ascii="Cambria Math" w:hAnsi="Cambria Math" w:cstheme="minorHAnsi"/>
            <w:lang w:val="pt-PT"/>
          </w:rPr>
          <m:t xml:space="preserve"> </m:t>
        </m:r>
        <m:r>
          <w:rPr>
            <w:rFonts w:ascii="Cambria Math" w:hAnsi="Cambria Math" w:cstheme="minorHAnsi"/>
          </w:rPr>
          <m:t>Intensity</m:t>
        </m:r>
        <m:r>
          <w:rPr>
            <w:rFonts w:ascii="Cambria Math" w:hAnsi="Cambria Math" w:cstheme="minorHAnsi"/>
            <w:lang w:val="pt-PT"/>
          </w:rPr>
          <m:t xml:space="preserve"> </m:t>
        </m:r>
        <m:d>
          <m:dPr>
            <m:ctrlPr>
              <w:rPr>
                <w:rFonts w:ascii="Cambria Math" w:hAnsi="Cambria Math" w:cstheme="minorHAnsi"/>
                <w:i/>
              </w:rPr>
            </m:ctrlPr>
          </m:dPr>
          <m:e>
            <m:r>
              <w:rPr>
                <w:rFonts w:ascii="Cambria Math" w:hAnsi="Cambria Math" w:cstheme="minorHAnsi"/>
              </w:rPr>
              <m:t>C</m:t>
            </m:r>
            <m:r>
              <w:rPr>
                <w:rFonts w:ascii="Cambria Math" w:hAnsi="Cambria Math" w:cstheme="minorHAnsi"/>
                <w:lang w:val="pt-PT"/>
              </w:rPr>
              <m:t>,</m:t>
            </m:r>
            <m:r>
              <w:rPr>
                <w:rFonts w:ascii="Cambria Math" w:hAnsi="Cambria Math" w:cstheme="minorHAnsi"/>
              </w:rPr>
              <m:t>t</m:t>
            </m:r>
          </m:e>
        </m:d>
      </m:oMath>
      <w:r w:rsidR="008E72CF">
        <w:rPr>
          <w:rFonts w:eastAsiaTheme="minorEastAsia" w:cstheme="minorHAnsi"/>
        </w:rPr>
        <w:t>.</w:t>
      </w:r>
      <w:r w:rsidRPr="00FA0917">
        <w:rPr>
          <w:rFonts w:cstheme="minorHAnsi"/>
        </w:rPr>
        <w:tab/>
      </w:r>
      <w:r w:rsidRPr="00FA0917">
        <w:rPr>
          <w:rFonts w:cstheme="minorHAnsi"/>
        </w:rPr>
        <w:tab/>
        <w:t>[3]</w:t>
      </w:r>
    </w:p>
    <w:p w14:paraId="1FE44E04" w14:textId="2C2FAD48" w:rsidR="00F10C2A" w:rsidRDefault="00F10C2A" w:rsidP="00FA0917">
      <w:pPr>
        <w:jc w:val="left"/>
        <w:rPr>
          <w:rFonts w:eastAsia="Times New Roman" w:cstheme="majorBidi"/>
          <w:b/>
          <w:i/>
        </w:rPr>
      </w:pPr>
    </w:p>
    <w:p w14:paraId="17872984" w14:textId="144527AA" w:rsidR="00414463" w:rsidRDefault="00414463" w:rsidP="00FA0917">
      <w:pPr>
        <w:pStyle w:val="Heading3"/>
        <w:spacing w:before="120" w:after="120"/>
      </w:pPr>
      <w:r>
        <w:t xml:space="preserve">Driving the Vehicle-km </w:t>
      </w:r>
      <w:r w:rsidR="00A44D5B">
        <w:t xml:space="preserve">demand </w:t>
      </w:r>
      <w:r>
        <w:t>in SATIM from eSAGE</w:t>
      </w:r>
      <w:r w:rsidR="00A343A8">
        <w:t xml:space="preserve"> and the</w:t>
      </w:r>
      <w:r w:rsidR="00A44D5B">
        <w:t xml:space="preserve"> rebound effe</w:t>
      </w:r>
      <w:r w:rsidR="00A343A8">
        <w:t>ct</w:t>
      </w:r>
    </w:p>
    <w:p w14:paraId="4E860CF6" w14:textId="145E9956" w:rsidR="0084738A" w:rsidRPr="00FA0917" w:rsidRDefault="003107A8" w:rsidP="00FA0917">
      <w:pPr>
        <w:rPr>
          <w:rFonts w:cstheme="minorHAnsi"/>
        </w:rPr>
      </w:pPr>
      <w:r w:rsidRPr="00FA0917">
        <w:rPr>
          <w:rFonts w:cstheme="minorHAnsi"/>
        </w:rPr>
        <w:t>As mentioned above, household consumption by income decile is modelled using a Cobb Douglas functional form. This assumes</w:t>
      </w:r>
      <w:r w:rsidR="00026D85">
        <w:rPr>
          <w:rFonts w:cstheme="minorHAnsi"/>
        </w:rPr>
        <w:t xml:space="preserve"> that</w:t>
      </w:r>
      <w:r w:rsidRPr="00FA0917">
        <w:rPr>
          <w:rFonts w:cstheme="minorHAnsi"/>
        </w:rPr>
        <w:t xml:space="preserve"> a fixed share of the household budget is allocated to each commodity. In the case of a switch to more efficient hybrid vehicles or electric vehicles, lowering the cost of private transportation, this would result in an increase in the consumption of private transportation, the phenomen</w:t>
      </w:r>
      <w:r w:rsidR="00026D85">
        <w:rPr>
          <w:rFonts w:cstheme="minorHAnsi"/>
        </w:rPr>
        <w:t>on</w:t>
      </w:r>
      <w:r w:rsidRPr="00FA0917">
        <w:rPr>
          <w:rFonts w:cstheme="minorHAnsi"/>
        </w:rPr>
        <w:t xml:space="preserve"> described above in the literature section as </w:t>
      </w:r>
      <w:r w:rsidR="00026D85">
        <w:rPr>
          <w:rFonts w:cstheme="minorHAnsi"/>
          <w:i/>
          <w:iCs/>
        </w:rPr>
        <w:t>R</w:t>
      </w:r>
      <w:r w:rsidRPr="00FA0917">
        <w:rPr>
          <w:rFonts w:cstheme="minorHAnsi"/>
          <w:i/>
          <w:iCs/>
        </w:rPr>
        <w:t>ebound</w:t>
      </w:r>
      <w:r w:rsidRPr="00FA0917">
        <w:rPr>
          <w:rFonts w:cstheme="minorHAnsi"/>
        </w:rPr>
        <w:t xml:space="preserve">. As noted above it is not </w:t>
      </w:r>
      <w:r w:rsidR="00026D85">
        <w:rPr>
          <w:rFonts w:cstheme="minorHAnsi"/>
        </w:rPr>
        <w:t>certain</w:t>
      </w:r>
      <w:r w:rsidRPr="00FA0917">
        <w:rPr>
          <w:rFonts w:cstheme="minorHAnsi"/>
        </w:rPr>
        <w:t xml:space="preserve"> that houses will indeed behave in that way. A new parameter is thus introduced: </w:t>
      </w:r>
      <w:r w:rsidR="00026D85">
        <w:rPr>
          <w:rFonts w:cstheme="minorHAnsi"/>
          <w:i/>
          <w:iCs/>
        </w:rPr>
        <w:t>R</w:t>
      </w:r>
      <w:r w:rsidRPr="00FA0917">
        <w:rPr>
          <w:rFonts w:cstheme="minorHAnsi"/>
          <w:i/>
          <w:iCs/>
        </w:rPr>
        <w:t>ebound</w:t>
      </w:r>
      <w:r w:rsidRPr="00FA0917">
        <w:rPr>
          <w:rFonts w:cstheme="minorHAnsi"/>
        </w:rPr>
        <w:t>, set between zero and 1, where a value of 1 would imply a full rebound, with no change in budget share allocation</w:t>
      </w:r>
      <w:r w:rsidR="00A343A8" w:rsidRPr="00FA0917">
        <w:rPr>
          <w:rFonts w:cstheme="minorHAnsi"/>
        </w:rPr>
        <w:t>s</w:t>
      </w:r>
      <w:r w:rsidRPr="00FA0917">
        <w:rPr>
          <w:rFonts w:cstheme="minorHAnsi"/>
        </w:rPr>
        <w:t xml:space="preserve">, and a rebound of zero would imply that consumption would stay constant and </w:t>
      </w:r>
      <w:r w:rsidR="008E72CF">
        <w:rPr>
          <w:rFonts w:cstheme="minorHAnsi"/>
        </w:rPr>
        <w:t xml:space="preserve">extra </w:t>
      </w:r>
      <w:r w:rsidRPr="00FA0917">
        <w:rPr>
          <w:rFonts w:cstheme="minorHAnsi"/>
        </w:rPr>
        <w:t xml:space="preserve">budget </w:t>
      </w:r>
      <w:r w:rsidR="008E72CF">
        <w:rPr>
          <w:rFonts w:cstheme="minorHAnsi"/>
        </w:rPr>
        <w:t xml:space="preserve">made available from the improvement in efficiency </w:t>
      </w:r>
      <w:r w:rsidRPr="00FA0917">
        <w:rPr>
          <w:rFonts w:cstheme="minorHAnsi"/>
        </w:rPr>
        <w:t xml:space="preserve">would be reallocated to other goods. </w:t>
      </w:r>
    </w:p>
    <w:p w14:paraId="6B742C76" w14:textId="3D26A12E" w:rsidR="00330692" w:rsidRPr="00FA0917" w:rsidRDefault="00330692" w:rsidP="00FA0917">
      <w:pPr>
        <w:rPr>
          <w:rFonts w:cstheme="minorHAnsi"/>
        </w:rPr>
      </w:pPr>
      <w:r w:rsidRPr="00FA0917">
        <w:rPr>
          <w:rFonts w:cstheme="minorHAnsi"/>
        </w:rPr>
        <w:t xml:space="preserve">In order to calculate the </w:t>
      </w:r>
      <w:r w:rsidR="00026D85">
        <w:rPr>
          <w:rFonts w:cstheme="minorHAnsi"/>
        </w:rPr>
        <w:t>n</w:t>
      </w:r>
      <w:r w:rsidR="00A343A8" w:rsidRPr="00FA0917">
        <w:rPr>
          <w:rFonts w:cstheme="minorHAnsi"/>
        </w:rPr>
        <w:t>o-</w:t>
      </w:r>
      <w:r w:rsidRPr="00FA0917">
        <w:rPr>
          <w:rFonts w:cstheme="minorHAnsi"/>
        </w:rPr>
        <w:t>rebound budget share,</w:t>
      </w:r>
      <w:commentRangeStart w:id="11"/>
      <w:r w:rsidRPr="00FA0917">
        <w:rPr>
          <w:rFonts w:cstheme="minorHAnsi"/>
        </w:rPr>
        <w:t xml:space="preserve"> an </w:t>
      </w:r>
      <w:commentRangeEnd w:id="11"/>
      <w:r w:rsidR="00026D85">
        <w:rPr>
          <w:rStyle w:val="CommentReference"/>
        </w:rPr>
        <w:commentReference w:id="11"/>
      </w:r>
      <w:r w:rsidRPr="00FA0917">
        <w:rPr>
          <w:rFonts w:cstheme="minorHAnsi"/>
        </w:rPr>
        <w:t xml:space="preserve">estimated price change from the technical change that </w:t>
      </w:r>
      <w:r w:rsidR="00A343A8" w:rsidRPr="00FA0917">
        <w:rPr>
          <w:rFonts w:cstheme="minorHAnsi"/>
        </w:rPr>
        <w:t>occurs (as observed in SATIM)</w:t>
      </w:r>
      <w:r w:rsidRPr="00FA0917">
        <w:rPr>
          <w:rFonts w:cstheme="minorHAnsi"/>
        </w:rPr>
        <w:t xml:space="preserve"> is first </w:t>
      </w:r>
      <w:r w:rsidR="008E72CF">
        <w:rPr>
          <w:rFonts w:cstheme="minorHAnsi"/>
        </w:rPr>
        <w:t>calculated</w:t>
      </w:r>
      <w:commentRangeStart w:id="12"/>
      <w:r w:rsidR="008E72CF" w:rsidRPr="00FA0917">
        <w:rPr>
          <w:rFonts w:cstheme="minorHAnsi"/>
        </w:rPr>
        <w:t xml:space="preserve"> </w:t>
      </w:r>
      <w:r w:rsidRPr="00FA0917">
        <w:rPr>
          <w:rFonts w:cstheme="minorHAnsi"/>
        </w:rPr>
        <w:t>as follows:</w:t>
      </w:r>
      <w:commentRangeEnd w:id="12"/>
      <w:r w:rsidR="00026D85">
        <w:rPr>
          <w:rStyle w:val="CommentReference"/>
        </w:rPr>
        <w:commentReference w:id="12"/>
      </w:r>
    </w:p>
    <w:p w14:paraId="360DAAA8" w14:textId="072DFAFB" w:rsidR="00330692" w:rsidRPr="00FA0917" w:rsidRDefault="00330692" w:rsidP="00FA0917">
      <w:pPr>
        <w:rPr>
          <w:rFonts w:eastAsiaTheme="minorEastAsia" w:cstheme="minorHAnsi"/>
        </w:rPr>
      </w:pPr>
      <m:oMathPara>
        <m:oMath>
          <m:r>
            <w:rPr>
              <w:rFonts w:ascii="Cambria Math" w:eastAsiaTheme="minorEastAsia" w:hAnsi="Cambria Math" w:cstheme="minorHAnsi"/>
              <w:lang w:val="pt-PT"/>
            </w:rPr>
            <m:t>PQest(PrivTra,t)</m:t>
          </m:r>
          <m:r>
            <w:rPr>
              <w:rFonts w:ascii="Cambria Math" w:hAnsi="Cambria Math" w:cstheme="minorHAnsi"/>
              <w:lang w:val="pt-PT"/>
            </w:rPr>
            <m:t>=</m:t>
          </m:r>
          <m:nary>
            <m:naryPr>
              <m:chr m:val="∑"/>
              <m:limLoc m:val="undOvr"/>
              <m:supHide m:val="1"/>
              <m:ctrlPr>
                <w:rPr>
                  <w:rFonts w:ascii="Cambria Math" w:hAnsi="Cambria Math" w:cstheme="minorHAnsi"/>
                  <w:i/>
                </w:rPr>
              </m:ctrlPr>
            </m:naryPr>
            <m:sub>
              <m:r>
                <w:rPr>
                  <w:rFonts w:ascii="Cambria Math" w:hAnsi="Cambria Math" w:cstheme="minorHAnsi"/>
                </w:rPr>
                <m:t>c</m:t>
              </m:r>
            </m:sub>
            <m:sup/>
            <m:e>
              <m:r>
                <w:rPr>
                  <w:rFonts w:ascii="Cambria Math" w:hAnsi="Cambria Math" w:cstheme="minorHAnsi"/>
                </w:rPr>
                <m:t>ica</m:t>
              </m:r>
              <m:d>
                <m:dPr>
                  <m:ctrlPr>
                    <w:rPr>
                      <w:rFonts w:ascii="Cambria Math" w:hAnsi="Cambria Math" w:cstheme="minorHAnsi"/>
                      <w:i/>
                    </w:rPr>
                  </m:ctrlPr>
                </m:dPr>
                <m:e>
                  <m:r>
                    <w:rPr>
                      <w:rFonts w:ascii="Cambria Math" w:hAnsi="Cambria Math" w:cstheme="minorHAnsi"/>
                    </w:rPr>
                    <m:t>PrivTra,c,t</m:t>
                  </m:r>
                </m:e>
              </m:d>
              <m:r>
                <w:rPr>
                  <w:rFonts w:ascii="Cambria Math" w:eastAsia="Calibri" w:hAnsi="Cambria Math" w:cstheme="minorHAnsi"/>
                </w:rPr>
                <m:t>×</m:t>
              </m:r>
              <m:r>
                <w:rPr>
                  <w:rFonts w:ascii="Cambria Math" w:hAnsi="Cambria Math" w:cstheme="minorHAnsi"/>
                </w:rPr>
                <m:t>PQ</m:t>
              </m:r>
              <m:d>
                <m:dPr>
                  <m:ctrlPr>
                    <w:rPr>
                      <w:rFonts w:ascii="Cambria Math" w:hAnsi="Cambria Math" w:cstheme="minorHAnsi"/>
                      <w:i/>
                    </w:rPr>
                  </m:ctrlPr>
                </m:dPr>
                <m:e>
                  <m:r>
                    <w:rPr>
                      <w:rFonts w:ascii="Cambria Math" w:hAnsi="Cambria Math" w:cstheme="minorHAnsi"/>
                    </w:rPr>
                    <m:t>c,t-1</m:t>
                  </m:r>
                </m:e>
              </m:d>
              <m:r>
                <w:rPr>
                  <w:rFonts w:ascii="Cambria Math" w:hAnsi="Cambria Math" w:cstheme="minorHAnsi"/>
                </w:rPr>
                <m:t>,</m:t>
              </m:r>
            </m:e>
          </m:nary>
        </m:oMath>
      </m:oMathPara>
    </w:p>
    <w:p w14:paraId="6C345480" w14:textId="0E0236CC" w:rsidR="00330692" w:rsidRPr="00FA0917" w:rsidRDefault="00330692" w:rsidP="00FA0917">
      <w:pPr>
        <w:rPr>
          <w:rFonts w:eastAsiaTheme="minorEastAsia" w:cstheme="minorHAnsi"/>
        </w:rPr>
      </w:pPr>
      <w:r w:rsidRPr="00FA0917">
        <w:rPr>
          <w:rFonts w:eastAsiaTheme="minorEastAsia" w:cstheme="minorHAnsi"/>
        </w:rPr>
        <w:t xml:space="preserve">where </w:t>
      </w:r>
      <w:r w:rsidRPr="00FA0917">
        <w:rPr>
          <w:rFonts w:eastAsiaTheme="minorEastAsia" w:cstheme="minorHAnsi"/>
          <w:i/>
          <w:iCs/>
        </w:rPr>
        <w:t>PQ(c,t-1)</w:t>
      </w:r>
      <w:r w:rsidRPr="00FA0917">
        <w:rPr>
          <w:rFonts w:eastAsiaTheme="minorEastAsia" w:cstheme="minorHAnsi"/>
        </w:rPr>
        <w:t xml:space="preserve"> is the observed price for commodity </w:t>
      </w:r>
      <w:r w:rsidRPr="00FA0917">
        <w:rPr>
          <w:rFonts w:eastAsiaTheme="minorEastAsia" w:cstheme="minorHAnsi"/>
          <w:i/>
          <w:iCs/>
        </w:rPr>
        <w:t>c</w:t>
      </w:r>
      <w:r w:rsidRPr="00FA0917">
        <w:rPr>
          <w:rFonts w:eastAsiaTheme="minorEastAsia" w:cstheme="minorHAnsi"/>
        </w:rPr>
        <w:t xml:space="preserve"> in eSAGE in the previous time period.</w:t>
      </w:r>
    </w:p>
    <w:p w14:paraId="546706AB" w14:textId="1E4C51F4" w:rsidR="00A343A8" w:rsidRPr="00FA0917" w:rsidRDefault="00A343A8" w:rsidP="00FA0917">
      <w:pPr>
        <w:rPr>
          <w:rFonts w:eastAsiaTheme="minorEastAsia" w:cstheme="minorHAnsi"/>
        </w:rPr>
      </w:pPr>
      <w:r w:rsidRPr="00FA0917">
        <w:rPr>
          <w:rFonts w:eastAsiaTheme="minorEastAsia" w:cstheme="minorHAnsi"/>
        </w:rPr>
        <w:t>The b</w:t>
      </w:r>
      <w:r w:rsidR="00330692" w:rsidRPr="00FA0917">
        <w:rPr>
          <w:rFonts w:eastAsiaTheme="minorEastAsia" w:cstheme="minorHAnsi"/>
        </w:rPr>
        <w:t xml:space="preserve">udget </w:t>
      </w:r>
      <w:r w:rsidRPr="00FA0917">
        <w:rPr>
          <w:rFonts w:eastAsiaTheme="minorEastAsia" w:cstheme="minorHAnsi"/>
        </w:rPr>
        <w:t>share with no rebound is the calculated as follows:</w:t>
      </w:r>
    </w:p>
    <w:p w14:paraId="5264C9B1" w14:textId="19768711" w:rsidR="00A343A8" w:rsidRPr="00FA0917" w:rsidRDefault="00330692" w:rsidP="00FA0917">
      <w:pPr>
        <w:rPr>
          <w:rFonts w:eastAsiaTheme="minorEastAsia" w:cstheme="minorHAnsi"/>
        </w:rPr>
      </w:pPr>
      <w:r w:rsidRPr="00FA0917">
        <w:rPr>
          <w:rFonts w:eastAsiaTheme="minorEastAsia" w:cstheme="minorHAnsi"/>
        </w:rPr>
        <w:t xml:space="preserve">  </w:t>
      </w:r>
      <m:oMath>
        <m:r>
          <m:rPr>
            <m:sty m:val="p"/>
          </m:rPr>
          <w:rPr>
            <w:rFonts w:ascii="Cambria Math" w:eastAsiaTheme="minorEastAsia" w:hAnsi="Cambria Math" w:cstheme="minorHAnsi"/>
            <w:lang w:val="pt-PT"/>
          </w:rPr>
          <w:br/>
        </m:r>
      </m:oMath>
      <m:oMathPara>
        <m:oMath>
          <m:r>
            <w:rPr>
              <w:rFonts w:ascii="Cambria Math" w:eastAsiaTheme="minorEastAsia" w:hAnsi="Cambria Math" w:cstheme="minorHAnsi"/>
              <w:lang w:val="pt-PT"/>
            </w:rPr>
            <m:t>BudShareNoRebound</m:t>
          </m:r>
          <m:d>
            <m:dPr>
              <m:ctrlPr>
                <w:rPr>
                  <w:rFonts w:ascii="Cambria Math" w:eastAsiaTheme="minorEastAsia" w:hAnsi="Cambria Math" w:cstheme="minorHAnsi"/>
                  <w:i/>
                  <w:lang w:val="pt-PT"/>
                </w:rPr>
              </m:ctrlPr>
            </m:dPr>
            <m:e>
              <m:r>
                <w:rPr>
                  <w:rFonts w:ascii="Cambria Math" w:eastAsiaTheme="minorEastAsia" w:hAnsi="Cambria Math" w:cstheme="minorHAnsi"/>
                  <w:lang w:val="pt-PT"/>
                </w:rPr>
                <m:t>PrivTra,t</m:t>
              </m:r>
            </m:e>
          </m:d>
          <m:r>
            <w:rPr>
              <w:rFonts w:ascii="Cambria Math" w:hAnsi="Cambria Math" w:cstheme="minorHAnsi"/>
              <w:lang w:val="pt-PT"/>
            </w:rPr>
            <m:t>=</m:t>
          </m:r>
          <m:f>
            <m:fPr>
              <m:ctrlPr>
                <w:rPr>
                  <w:rFonts w:ascii="Cambria Math" w:hAnsi="Cambria Math" w:cstheme="minorHAnsi"/>
                  <w:i/>
                  <w:lang w:val="pt-PT"/>
                </w:rPr>
              </m:ctrlPr>
            </m:fPr>
            <m:num>
              <m:r>
                <w:rPr>
                  <w:rFonts w:ascii="Cambria Math" w:hAnsi="Cambria Math" w:cstheme="minorHAnsi"/>
                </w:rPr>
                <m:t>BudShareOrginal</m:t>
              </m:r>
              <m:d>
                <m:dPr>
                  <m:ctrlPr>
                    <w:rPr>
                      <w:rFonts w:ascii="Cambria Math" w:hAnsi="Cambria Math" w:cstheme="minorHAnsi"/>
                      <w:i/>
                    </w:rPr>
                  </m:ctrlPr>
                </m:dPr>
                <m:e>
                  <m:r>
                    <w:rPr>
                      <w:rFonts w:ascii="Cambria Math" w:hAnsi="Cambria Math" w:cstheme="minorHAnsi"/>
                    </w:rPr>
                    <m:t>PrivTra,t-1</m:t>
                  </m:r>
                </m:e>
              </m:d>
              <m:r>
                <w:rPr>
                  <w:rFonts w:ascii="Cambria Math" w:eastAsia="Calibri" w:hAnsi="Cambria Math" w:cstheme="minorHAnsi"/>
                </w:rPr>
                <m:t>×</m:t>
              </m:r>
              <m:r>
                <w:rPr>
                  <w:rFonts w:ascii="Cambria Math" w:eastAsiaTheme="minorEastAsia" w:hAnsi="Cambria Math" w:cstheme="minorHAnsi"/>
                  <w:lang w:val="pt-PT"/>
                </w:rPr>
                <m:t>PQest</m:t>
              </m:r>
              <m:d>
                <m:dPr>
                  <m:ctrlPr>
                    <w:rPr>
                      <w:rFonts w:ascii="Cambria Math" w:eastAsiaTheme="minorEastAsia" w:hAnsi="Cambria Math" w:cstheme="minorHAnsi"/>
                      <w:i/>
                      <w:lang w:val="pt-PT"/>
                    </w:rPr>
                  </m:ctrlPr>
                </m:dPr>
                <m:e>
                  <m:r>
                    <w:rPr>
                      <w:rFonts w:ascii="Cambria Math" w:eastAsiaTheme="minorEastAsia" w:hAnsi="Cambria Math" w:cstheme="minorHAnsi"/>
                      <w:lang w:val="pt-PT"/>
                    </w:rPr>
                    <m:t>PrivTra,t</m:t>
                  </m:r>
                </m:e>
              </m:d>
              <m:r>
                <w:rPr>
                  <w:rFonts w:ascii="Cambria Math" w:eastAsiaTheme="minorEastAsia" w:hAnsi="Cambria Math" w:cstheme="minorHAnsi"/>
                  <w:lang w:val="pt-PT"/>
                </w:rPr>
                <m:t>.</m:t>
              </m:r>
            </m:num>
            <m:den>
              <m:r>
                <w:rPr>
                  <w:rFonts w:ascii="Cambria Math" w:hAnsi="Cambria Math" w:cstheme="minorHAnsi"/>
                </w:rPr>
                <m:t>PQ</m:t>
              </m:r>
              <m:d>
                <m:dPr>
                  <m:ctrlPr>
                    <w:rPr>
                      <w:rFonts w:ascii="Cambria Math" w:hAnsi="Cambria Math" w:cstheme="minorHAnsi"/>
                      <w:i/>
                    </w:rPr>
                  </m:ctrlPr>
                </m:dPr>
                <m:e>
                  <m:r>
                    <w:rPr>
                      <w:rFonts w:ascii="Cambria Math" w:hAnsi="Cambria Math" w:cstheme="minorHAnsi"/>
                    </w:rPr>
                    <m:t>PrivTra,t-1</m:t>
                  </m:r>
                </m:e>
              </m:d>
            </m:den>
          </m:f>
        </m:oMath>
      </m:oMathPara>
    </w:p>
    <w:p w14:paraId="74FBA369" w14:textId="49AF690C" w:rsidR="00A343A8" w:rsidRPr="00FA0917" w:rsidRDefault="00A343A8" w:rsidP="00FA0917">
      <w:pPr>
        <w:rPr>
          <w:rFonts w:cstheme="minorHAnsi"/>
        </w:rPr>
      </w:pPr>
      <w:r w:rsidRPr="00FA0917">
        <w:rPr>
          <w:rFonts w:cstheme="minorHAnsi"/>
        </w:rPr>
        <w:t xml:space="preserve">The actual budget share allocated to private transport is then calculated as a function of the </w:t>
      </w:r>
      <w:r w:rsidRPr="00FA0917">
        <w:rPr>
          <w:rFonts w:cstheme="minorHAnsi"/>
          <w:i/>
          <w:iCs/>
        </w:rPr>
        <w:t>Rebound</w:t>
      </w:r>
      <w:r w:rsidRPr="00FA0917">
        <w:rPr>
          <w:rFonts w:cstheme="minorHAnsi"/>
        </w:rPr>
        <w:t xml:space="preserve"> parameter as follows:</w:t>
      </w:r>
    </w:p>
    <w:p w14:paraId="76EBC628" w14:textId="365283E8" w:rsidR="00AC519B" w:rsidRPr="00FA0917" w:rsidRDefault="00A343A8" w:rsidP="00FA0917">
      <w:pPr>
        <w:rPr>
          <w:rFonts w:eastAsiaTheme="minorEastAsia" w:cstheme="minorHAnsi"/>
        </w:rPr>
      </w:pPr>
      <m:oMathPara>
        <m:oMath>
          <m:r>
            <w:rPr>
              <w:rFonts w:ascii="Cambria Math" w:eastAsiaTheme="minorEastAsia" w:hAnsi="Cambria Math" w:cstheme="minorHAnsi"/>
              <w:lang w:val="pt-PT"/>
            </w:rPr>
            <m:t>BudShareActual</m:t>
          </m:r>
          <m:d>
            <m:dPr>
              <m:ctrlPr>
                <w:rPr>
                  <w:rFonts w:ascii="Cambria Math" w:eastAsiaTheme="minorEastAsia" w:hAnsi="Cambria Math" w:cstheme="minorHAnsi"/>
                  <w:i/>
                  <w:lang w:val="pt-PT"/>
                </w:rPr>
              </m:ctrlPr>
            </m:dPr>
            <m:e>
              <m:r>
                <w:rPr>
                  <w:rFonts w:ascii="Cambria Math" w:eastAsiaTheme="minorEastAsia" w:hAnsi="Cambria Math" w:cstheme="minorHAnsi"/>
                  <w:lang w:val="pt-PT"/>
                </w:rPr>
                <m:t>PrivTra,t</m:t>
              </m:r>
            </m:e>
          </m:d>
          <m:r>
            <w:rPr>
              <w:rFonts w:ascii="Cambria Math" w:hAnsi="Cambria Math" w:cstheme="minorHAnsi"/>
              <w:lang w:val="pt-PT"/>
            </w:rPr>
            <m:t>=</m:t>
          </m:r>
          <m:r>
            <w:rPr>
              <w:rFonts w:ascii="Cambria Math" w:hAnsi="Cambria Math" w:cstheme="minorHAnsi"/>
            </w:rPr>
            <m:t>BudShareOrginal</m:t>
          </m:r>
          <m:d>
            <m:dPr>
              <m:ctrlPr>
                <w:rPr>
                  <w:rFonts w:ascii="Cambria Math" w:hAnsi="Cambria Math" w:cstheme="minorHAnsi"/>
                  <w:i/>
                </w:rPr>
              </m:ctrlPr>
            </m:dPr>
            <m:e>
              <m:r>
                <w:rPr>
                  <w:rFonts w:ascii="Cambria Math" w:hAnsi="Cambria Math" w:cstheme="minorHAnsi"/>
                </w:rPr>
                <m:t>PrivTra,t-1</m:t>
              </m:r>
            </m:e>
          </m:d>
          <m:r>
            <w:rPr>
              <w:rFonts w:ascii="Cambria Math" w:eastAsia="Calibri" w:hAnsi="Cambria Math" w:cstheme="minorHAnsi"/>
            </w:rPr>
            <m:t>×Rebound</m:t>
          </m:r>
          <m:d>
            <m:dPr>
              <m:ctrlPr>
                <w:rPr>
                  <w:rFonts w:ascii="Cambria Math" w:eastAsia="Calibri" w:hAnsi="Cambria Math" w:cstheme="minorHAnsi"/>
                  <w:i/>
                </w:rPr>
              </m:ctrlPr>
            </m:dPr>
            <m:e>
              <m:r>
                <w:rPr>
                  <w:rFonts w:ascii="Cambria Math" w:eastAsia="Calibri" w:hAnsi="Cambria Math" w:cstheme="minorHAnsi"/>
                </w:rPr>
                <m:t>t</m:t>
              </m:r>
            </m:e>
          </m:d>
          <m:r>
            <w:rPr>
              <w:rFonts w:ascii="Cambria Math" w:eastAsia="Calibri" w:hAnsi="Cambria Math" w:cstheme="minorHAnsi"/>
            </w:rPr>
            <m:t>+</m:t>
          </m:r>
          <m:r>
            <w:rPr>
              <w:rFonts w:ascii="Cambria Math" w:hAnsi="Cambria Math" w:cstheme="minorHAnsi"/>
            </w:rPr>
            <m:t>BudShareNoRebound</m:t>
          </m:r>
          <m:d>
            <m:dPr>
              <m:ctrlPr>
                <w:rPr>
                  <w:rFonts w:ascii="Cambria Math" w:hAnsi="Cambria Math" w:cstheme="minorHAnsi"/>
                  <w:i/>
                </w:rPr>
              </m:ctrlPr>
            </m:dPr>
            <m:e>
              <m:r>
                <w:rPr>
                  <w:rFonts w:ascii="Cambria Math" w:hAnsi="Cambria Math" w:cstheme="minorHAnsi"/>
                </w:rPr>
                <m:t>PrivTra,t</m:t>
              </m:r>
            </m:e>
          </m:d>
          <m:r>
            <w:rPr>
              <w:rFonts w:ascii="Cambria Math" w:eastAsia="Calibri" w:hAnsi="Cambria Math" w:cstheme="minorHAnsi"/>
            </w:rPr>
            <m:t>×</m:t>
          </m:r>
          <m:d>
            <m:dPr>
              <m:ctrlPr>
                <w:rPr>
                  <w:rFonts w:ascii="Cambria Math" w:eastAsia="Calibri" w:hAnsi="Cambria Math" w:cstheme="minorHAnsi"/>
                  <w:i/>
                </w:rPr>
              </m:ctrlPr>
            </m:dPr>
            <m:e>
              <m:r>
                <w:rPr>
                  <w:rFonts w:ascii="Cambria Math" w:eastAsia="Calibri" w:hAnsi="Cambria Math" w:cstheme="minorHAnsi"/>
                </w:rPr>
                <m:t>1-Rebound</m:t>
              </m:r>
              <m:d>
                <m:dPr>
                  <m:ctrlPr>
                    <w:rPr>
                      <w:rFonts w:ascii="Cambria Math" w:eastAsia="Calibri" w:hAnsi="Cambria Math" w:cstheme="minorHAnsi"/>
                      <w:i/>
                    </w:rPr>
                  </m:ctrlPr>
                </m:dPr>
                <m:e>
                  <m:r>
                    <w:rPr>
                      <w:rFonts w:ascii="Cambria Math" w:eastAsia="Calibri" w:hAnsi="Cambria Math" w:cstheme="minorHAnsi"/>
                    </w:rPr>
                    <m:t>t</m:t>
                  </m:r>
                </m:e>
              </m:d>
            </m:e>
          </m:d>
          <m:r>
            <w:rPr>
              <w:rFonts w:ascii="Cambria Math" w:eastAsia="Calibri" w:hAnsi="Cambria Math" w:cstheme="minorHAnsi"/>
            </w:rPr>
            <m:t>.</m:t>
          </m:r>
        </m:oMath>
      </m:oMathPara>
    </w:p>
    <w:p w14:paraId="4BA5C8E8" w14:textId="5AA81F90" w:rsidR="00A343A8" w:rsidRPr="00FA0917" w:rsidRDefault="00A343A8" w:rsidP="00FA0917">
      <w:pPr>
        <w:rPr>
          <w:rFonts w:cstheme="minorHAnsi"/>
        </w:rPr>
      </w:pPr>
      <w:r w:rsidRPr="00FA0917">
        <w:rPr>
          <w:rFonts w:cstheme="minorHAnsi"/>
        </w:rPr>
        <w:t>The budget share for the other goods are then recalculated as follows:</w:t>
      </w:r>
    </w:p>
    <w:p w14:paraId="3461ED21" w14:textId="28311576" w:rsidR="00A343A8" w:rsidRPr="00FA0917" w:rsidRDefault="00AC519B" w:rsidP="00FA0917">
      <w:pPr>
        <w:rPr>
          <w:rFonts w:cstheme="minorHAnsi"/>
        </w:rPr>
      </w:pPr>
      <m:oMathPara>
        <m:oMath>
          <m:r>
            <w:rPr>
              <w:rFonts w:ascii="Cambria Math" w:eastAsiaTheme="minorEastAsia" w:hAnsi="Cambria Math" w:cstheme="minorHAnsi"/>
              <w:lang w:val="pt-PT"/>
            </w:rPr>
            <m:t>BudShare</m:t>
          </m:r>
          <m:d>
            <m:dPr>
              <m:ctrlPr>
                <w:rPr>
                  <w:rFonts w:ascii="Cambria Math" w:eastAsiaTheme="minorEastAsia" w:hAnsi="Cambria Math" w:cstheme="minorHAnsi"/>
                  <w:i/>
                  <w:lang w:val="pt-PT"/>
                </w:rPr>
              </m:ctrlPr>
            </m:dPr>
            <m:e>
              <m:r>
                <w:rPr>
                  <w:rFonts w:ascii="Cambria Math" w:eastAsiaTheme="minorEastAsia" w:hAnsi="Cambria Math" w:cstheme="minorHAnsi"/>
                  <w:lang w:val="pt-PT"/>
                </w:rPr>
                <m:t>Other,t</m:t>
              </m:r>
            </m:e>
          </m:d>
          <m:r>
            <w:rPr>
              <w:rFonts w:ascii="Cambria Math" w:hAnsi="Cambria Math" w:cstheme="minorHAnsi"/>
              <w:lang w:val="pt-PT"/>
            </w:rPr>
            <m:t>=</m:t>
          </m:r>
          <m:f>
            <m:fPr>
              <m:ctrlPr>
                <w:rPr>
                  <w:rFonts w:ascii="Cambria Math" w:hAnsi="Cambria Math" w:cstheme="minorHAnsi"/>
                  <w:i/>
                  <w:lang w:val="pt-PT"/>
                </w:rPr>
              </m:ctrlPr>
            </m:fPr>
            <m:num>
              <m:r>
                <w:rPr>
                  <w:rFonts w:ascii="Cambria Math" w:hAnsi="Cambria Math" w:cstheme="minorHAnsi"/>
                </w:rPr>
                <m:t>(1-BudShareActual</m:t>
              </m:r>
              <m:d>
                <m:dPr>
                  <m:ctrlPr>
                    <w:rPr>
                      <w:rFonts w:ascii="Cambria Math" w:hAnsi="Cambria Math" w:cstheme="minorHAnsi"/>
                      <w:i/>
                    </w:rPr>
                  </m:ctrlPr>
                </m:dPr>
                <m:e>
                  <m:r>
                    <w:rPr>
                      <w:rFonts w:ascii="Cambria Math" w:hAnsi="Cambria Math" w:cstheme="minorHAnsi"/>
                    </w:rPr>
                    <m:t>PrivTra,t</m:t>
                  </m:r>
                </m:e>
              </m:d>
              <m:r>
                <w:rPr>
                  <w:rFonts w:ascii="Cambria Math" w:eastAsia="Calibri" w:hAnsi="Cambria Math" w:cstheme="minorHAnsi"/>
                </w:rPr>
                <m:t>)×</m:t>
              </m:r>
              <m:r>
                <w:rPr>
                  <w:rFonts w:ascii="Cambria Math" w:eastAsiaTheme="minorEastAsia" w:hAnsi="Cambria Math" w:cstheme="minorHAnsi"/>
                  <w:lang w:val="pt-PT"/>
                </w:rPr>
                <m:t>BudShare</m:t>
              </m:r>
              <m:d>
                <m:dPr>
                  <m:ctrlPr>
                    <w:rPr>
                      <w:rFonts w:ascii="Cambria Math" w:eastAsiaTheme="minorEastAsia" w:hAnsi="Cambria Math" w:cstheme="minorHAnsi"/>
                      <w:i/>
                      <w:lang w:val="pt-PT"/>
                    </w:rPr>
                  </m:ctrlPr>
                </m:dPr>
                <m:e>
                  <m:r>
                    <w:rPr>
                      <w:rFonts w:ascii="Cambria Math" w:eastAsiaTheme="minorEastAsia" w:hAnsi="Cambria Math" w:cstheme="minorHAnsi"/>
                      <w:lang w:val="pt-PT"/>
                    </w:rPr>
                    <m:t>Other,t-1</m:t>
                  </m:r>
                </m:e>
              </m:d>
              <m:r>
                <w:rPr>
                  <w:rFonts w:ascii="Cambria Math" w:eastAsiaTheme="minorEastAsia" w:hAnsi="Cambria Math" w:cstheme="minorHAnsi"/>
                  <w:lang w:val="pt-PT"/>
                </w:rPr>
                <m:t>.</m:t>
              </m:r>
            </m:num>
            <m:den>
              <m:r>
                <w:rPr>
                  <w:rFonts w:ascii="Cambria Math" w:hAnsi="Cambria Math" w:cstheme="minorHAnsi"/>
                </w:rPr>
                <m:t>(1-BudShareActual</m:t>
              </m:r>
              <m:d>
                <m:dPr>
                  <m:ctrlPr>
                    <w:rPr>
                      <w:rFonts w:ascii="Cambria Math" w:hAnsi="Cambria Math" w:cstheme="minorHAnsi"/>
                      <w:i/>
                    </w:rPr>
                  </m:ctrlPr>
                </m:dPr>
                <m:e>
                  <m:r>
                    <w:rPr>
                      <w:rFonts w:ascii="Cambria Math" w:hAnsi="Cambria Math" w:cstheme="minorHAnsi"/>
                    </w:rPr>
                    <m:t>PrivTra,t-1</m:t>
                  </m:r>
                </m:e>
              </m:d>
              <m:r>
                <w:rPr>
                  <w:rFonts w:ascii="Cambria Math" w:eastAsia="Calibri" w:hAnsi="Cambria Math" w:cstheme="minorHAnsi"/>
                </w:rPr>
                <m:t>)</m:t>
              </m:r>
            </m:den>
          </m:f>
        </m:oMath>
      </m:oMathPara>
    </w:p>
    <w:p w14:paraId="789B0A07" w14:textId="5046B396" w:rsidR="00530691" w:rsidRPr="00FA0917" w:rsidRDefault="003D113C" w:rsidP="00FA0917">
      <w:pPr>
        <w:keepNext/>
        <w:rPr>
          <w:rFonts w:cstheme="minorHAnsi"/>
        </w:rPr>
      </w:pPr>
      <w:r w:rsidRPr="00FA0917">
        <w:rPr>
          <w:rFonts w:cstheme="minorHAnsi"/>
        </w:rPr>
        <w:t>Having now control over the amount of rebound that is to be modelled in a particular scenario</w:t>
      </w:r>
      <w:r w:rsidR="00026D85">
        <w:rPr>
          <w:rFonts w:cstheme="minorHAnsi"/>
        </w:rPr>
        <w:t>,</w:t>
      </w:r>
      <w:r w:rsidRPr="00FA0917">
        <w:rPr>
          <w:rFonts w:cstheme="minorHAnsi"/>
        </w:rPr>
        <w:t xml:space="preserve"> the demand for </w:t>
      </w:r>
      <w:r w:rsidR="00026D85">
        <w:rPr>
          <w:rFonts w:cstheme="minorHAnsi"/>
        </w:rPr>
        <w:t>V</w:t>
      </w:r>
      <w:r w:rsidR="00026D85" w:rsidRPr="00FA0917">
        <w:rPr>
          <w:rFonts w:cstheme="minorHAnsi"/>
        </w:rPr>
        <w:t>ehicle</w:t>
      </w:r>
      <w:r w:rsidRPr="00FA0917">
        <w:rPr>
          <w:rFonts w:cstheme="minorHAnsi"/>
        </w:rPr>
        <w:t xml:space="preserve">-km in SATIM </w:t>
      </w:r>
      <w:r w:rsidR="00026D85">
        <w:rPr>
          <w:rFonts w:cstheme="minorHAnsi"/>
        </w:rPr>
        <w:t xml:space="preserve">can be </w:t>
      </w:r>
      <w:commentRangeStart w:id="13"/>
      <w:r w:rsidR="00026D85">
        <w:rPr>
          <w:rFonts w:cstheme="minorHAnsi"/>
        </w:rPr>
        <w:t>derived</w:t>
      </w:r>
      <w:commentRangeEnd w:id="13"/>
      <w:r w:rsidR="00026D85">
        <w:rPr>
          <w:rStyle w:val="CommentReference"/>
        </w:rPr>
        <w:commentReference w:id="13"/>
      </w:r>
      <w:r w:rsidR="00026D85">
        <w:rPr>
          <w:rFonts w:cstheme="minorHAnsi"/>
        </w:rPr>
        <w:t xml:space="preserve"> </w:t>
      </w:r>
      <w:r w:rsidRPr="00FA0917">
        <w:rPr>
          <w:rFonts w:cstheme="minorHAnsi"/>
        </w:rPr>
        <w:t xml:space="preserve">directly from the consumption of the </w:t>
      </w:r>
      <w:r w:rsidRPr="00FA0917">
        <w:rPr>
          <w:rFonts w:cstheme="minorHAnsi"/>
          <w:i/>
          <w:iCs/>
        </w:rPr>
        <w:t>Private Transport</w:t>
      </w:r>
      <w:r w:rsidRPr="00FA0917">
        <w:rPr>
          <w:rFonts w:cstheme="minorHAnsi"/>
        </w:rPr>
        <w:t xml:space="preserve"> commodity observed in eSAGE (</w:t>
      </w:r>
      <w:r w:rsidRPr="00FA0917">
        <w:rPr>
          <w:rFonts w:cstheme="minorHAnsi"/>
          <w:i/>
          <w:iCs/>
        </w:rPr>
        <w:t>QH(PrivTra)</w:t>
      </w:r>
      <w:r w:rsidRPr="00FA0917">
        <w:rPr>
          <w:rFonts w:cstheme="minorHAnsi"/>
        </w:rPr>
        <w:t>):</w:t>
      </w:r>
    </w:p>
    <w:p w14:paraId="2EEDD491" w14:textId="28A9A7C2" w:rsidR="003D113C" w:rsidRPr="00FA0917" w:rsidRDefault="003D113C" w:rsidP="00FA0917">
      <w:pPr>
        <w:keepNext/>
        <w:rPr>
          <w:rFonts w:cstheme="minorHAnsi"/>
        </w:rPr>
      </w:pPr>
      <m:oMathPara>
        <m:oMath>
          <m:r>
            <w:rPr>
              <w:rFonts w:ascii="Cambria Math" w:hAnsi="Cambria Math" w:cstheme="minorHAnsi"/>
              <w:lang w:val="pt-PT"/>
            </w:rPr>
            <m:t>∆Vehicle-km</m:t>
          </m:r>
          <m:d>
            <m:dPr>
              <m:ctrlPr>
                <w:rPr>
                  <w:rFonts w:ascii="Cambria Math" w:hAnsi="Cambria Math" w:cstheme="minorHAnsi"/>
                  <w:i/>
                  <w:lang w:val="pt-PT"/>
                </w:rPr>
              </m:ctrlPr>
            </m:dPr>
            <m:e>
              <m:r>
                <w:rPr>
                  <w:rFonts w:ascii="Cambria Math" w:hAnsi="Cambria Math" w:cstheme="minorHAnsi"/>
                  <w:lang w:val="pt-PT"/>
                </w:rPr>
                <m:t>t</m:t>
              </m:r>
            </m:e>
          </m:d>
          <m:r>
            <w:rPr>
              <w:rFonts w:ascii="Cambria Math" w:hAnsi="Cambria Math" w:cstheme="minorHAnsi"/>
              <w:lang w:val="pt-PT"/>
            </w:rPr>
            <m:t>=∆</m:t>
          </m:r>
          <m:r>
            <w:rPr>
              <w:rFonts w:ascii="Cambria Math" w:hAnsi="Cambria Math" w:cstheme="minorHAnsi"/>
            </w:rPr>
            <m:t>QH</m:t>
          </m:r>
          <m:r>
            <w:rPr>
              <w:rFonts w:ascii="Cambria Math" w:hAnsi="Cambria Math" w:cstheme="minorHAnsi"/>
              <w:lang w:val="pt-PT"/>
            </w:rPr>
            <m:t xml:space="preserve"> </m:t>
          </m:r>
          <m:d>
            <m:dPr>
              <m:ctrlPr>
                <w:rPr>
                  <w:rFonts w:ascii="Cambria Math" w:hAnsi="Cambria Math" w:cstheme="minorHAnsi"/>
                  <w:i/>
                </w:rPr>
              </m:ctrlPr>
            </m:dPr>
            <m:e>
              <m:r>
                <w:rPr>
                  <w:rFonts w:ascii="Cambria Math" w:hAnsi="Cambria Math" w:cstheme="minorHAnsi"/>
                </w:rPr>
                <m:t>PrivTra</m:t>
              </m:r>
              <m:r>
                <w:rPr>
                  <w:rFonts w:ascii="Cambria Math" w:hAnsi="Cambria Math" w:cstheme="minorHAnsi"/>
                  <w:lang w:val="pt-PT"/>
                </w:rPr>
                <m:t>,</m:t>
              </m:r>
              <m:r>
                <w:rPr>
                  <w:rFonts w:ascii="Cambria Math" w:hAnsi="Cambria Math" w:cstheme="minorHAnsi"/>
                </w:rPr>
                <m:t>t</m:t>
              </m:r>
            </m:e>
          </m:d>
          <m:r>
            <w:rPr>
              <w:rFonts w:ascii="Cambria Math" w:hAnsi="Cambria Math" w:cstheme="minorHAnsi"/>
            </w:rPr>
            <m:t>.</m:t>
          </m:r>
        </m:oMath>
      </m:oMathPara>
    </w:p>
    <w:p w14:paraId="2EB64B7E" w14:textId="43647388" w:rsidR="00D71A32" w:rsidRDefault="00026D85" w:rsidP="000E01D8">
      <w:pPr>
        <w:pStyle w:val="Heading1"/>
        <w:numPr>
          <w:ilvl w:val="0"/>
          <w:numId w:val="2"/>
        </w:numPr>
        <w:spacing w:line="276" w:lineRule="auto"/>
      </w:pPr>
      <w:r w:rsidRPr="009D4D79">
        <w:t>cost</w:t>
      </w:r>
      <w:r>
        <w:t>-</w:t>
      </w:r>
      <w:r w:rsidR="009D4D79" w:rsidRPr="009D4D79">
        <w:t xml:space="preserve">competitive clean electricity </w:t>
      </w:r>
      <w:r w:rsidR="009D4D79">
        <w:t>A</w:t>
      </w:r>
      <w:r w:rsidR="009D4D79" w:rsidRPr="009D4D79">
        <w:t>n</w:t>
      </w:r>
      <w:r w:rsidR="009D4D79">
        <w:t>D</w:t>
      </w:r>
      <w:r w:rsidR="009D4D79" w:rsidRPr="009D4D79">
        <w:t xml:space="preserve"> residential transport</w:t>
      </w:r>
    </w:p>
    <w:p w14:paraId="00B423EE" w14:textId="56363DD5" w:rsidR="003E59CE" w:rsidRDefault="009D4D79" w:rsidP="000E01D8">
      <w:pPr>
        <w:pStyle w:val="Heading2"/>
        <w:numPr>
          <w:ilvl w:val="1"/>
          <w:numId w:val="2"/>
        </w:numPr>
        <w:spacing w:after="120"/>
      </w:pPr>
      <w:r>
        <w:t>Scenarios and assumptions</w:t>
      </w:r>
    </w:p>
    <w:p w14:paraId="7E6EFD21" w14:textId="7FB113C6" w:rsidR="00C34780" w:rsidRDefault="00C34780" w:rsidP="00C34780">
      <w:pPr>
        <w:rPr>
          <w:rFonts w:ascii="Times New Roman" w:eastAsia="Times New Roman" w:hAnsi="Times New Roman" w:cs="Times New Roman"/>
          <w:sz w:val="14"/>
          <w:szCs w:val="14"/>
        </w:rPr>
      </w:pPr>
      <w:r>
        <w:t xml:space="preserve">Most of the SATIM assumptions are aligned with </w:t>
      </w:r>
      <w:r w:rsidR="00026D85">
        <w:t xml:space="preserve">those of </w:t>
      </w:r>
      <w:r>
        <w:t xml:space="preserve">McCall et al. </w:t>
      </w:r>
      <w:r w:rsidR="00026D85">
        <w:t>(</w:t>
      </w:r>
      <w:r>
        <w:t>2019). More specifically relevant to this paper are</w:t>
      </w:r>
      <w:r w:rsidR="00026D85">
        <w:t xml:space="preserve"> the following:</w:t>
      </w:r>
    </w:p>
    <w:p w14:paraId="02F1C5EA" w14:textId="687F5839" w:rsidR="00C34780" w:rsidRDefault="00B54A3F" w:rsidP="00E136B9">
      <w:pPr>
        <w:numPr>
          <w:ilvl w:val="0"/>
          <w:numId w:val="40"/>
        </w:numPr>
        <w:spacing w:after="0" w:line="259" w:lineRule="auto"/>
      </w:pPr>
      <w:r>
        <w:t>T</w:t>
      </w:r>
      <w:r w:rsidR="00F10C2A">
        <w:t>he global discount rate</w:t>
      </w:r>
      <w:r w:rsidR="00C34780">
        <w:t xml:space="preserve"> </w:t>
      </w:r>
      <w:r w:rsidR="00026D85">
        <w:t xml:space="preserve">is </w:t>
      </w:r>
      <w:r w:rsidR="00C34780">
        <w:t xml:space="preserve">set to </w:t>
      </w:r>
      <w:r w:rsidR="00F10C2A">
        <w:t>8.2%.</w:t>
      </w:r>
    </w:p>
    <w:p w14:paraId="1E8227D3" w14:textId="47509E4C" w:rsidR="00B54A3F" w:rsidRDefault="00B54A3F" w:rsidP="00E136B9">
      <w:pPr>
        <w:numPr>
          <w:ilvl w:val="0"/>
          <w:numId w:val="40"/>
        </w:numPr>
        <w:spacing w:after="0" w:line="259" w:lineRule="auto"/>
      </w:pPr>
      <w:r w:rsidRPr="00B54A3F">
        <w:t>Two core scenarios are considered in this paper</w:t>
      </w:r>
      <w:r>
        <w:t>,</w:t>
      </w:r>
      <w:r w:rsidRPr="00B54A3F">
        <w:t xml:space="preserve"> EV-IN</w:t>
      </w:r>
      <w:r>
        <w:t xml:space="preserve"> and</w:t>
      </w:r>
      <w:r w:rsidRPr="00B54A3F">
        <w:t xml:space="preserve"> EV-OUT</w:t>
      </w:r>
      <w:r>
        <w:t>,</w:t>
      </w:r>
      <w:r w:rsidRPr="00B54A3F">
        <w:t xml:space="preserve"> which are primarily distinguished by assumptions about the future cost of vehicle technology (Figure 7). In the EV-IN scenario, electric vehicle technology costs become competitive with internal combustion engines by 2030 as projected by the literature (BNEF, 2019; IEA, 2019). </w:t>
      </w:r>
      <w:r w:rsidR="002473BD">
        <w:t>This is the case for both private passenger vehicles and</w:t>
      </w:r>
      <w:r w:rsidR="00026D85">
        <w:t xml:space="preserve"> light commercial vehi</w:t>
      </w:r>
      <w:r w:rsidR="002473BD">
        <w:t xml:space="preserve">cles (LCVs). </w:t>
      </w:r>
      <w:r w:rsidRPr="00B54A3F">
        <w:t>The EV-OUT scenario is distinguished by a higher purchase cost of an EV over the period in comparison to ICE or HYBRID-ICE alternatives. A premium of approximately 25% during the period 2030-2050 is applied to an EV in contrast to the present</w:t>
      </w:r>
      <w:r w:rsidR="00026D85">
        <w:t>-</w:t>
      </w:r>
      <w:r w:rsidRPr="00B54A3F">
        <w:t>day total impost of 42% (Kumalo, 2019).</w:t>
      </w:r>
      <w:r w:rsidR="002B5932">
        <w:t xml:space="preserve"> In both scenarios, a lower limit on the share of conventional ICE is imposed, </w:t>
      </w:r>
      <w:r w:rsidR="00026D85">
        <w:t xml:space="preserve">one </w:t>
      </w:r>
      <w:r w:rsidR="002B5932">
        <w:t xml:space="preserve">that reduces gradually from current levels (100%) down to around 10% by 2050 (for car and SUV markets). </w:t>
      </w:r>
    </w:p>
    <w:p w14:paraId="5E5000D4" w14:textId="77777777" w:rsidR="00B54A3F" w:rsidRDefault="00B54A3F" w:rsidP="00B54A3F">
      <w:pPr>
        <w:spacing w:after="0" w:line="259" w:lineRule="auto"/>
      </w:pPr>
    </w:p>
    <w:p w14:paraId="7536E6C2" w14:textId="285515AE" w:rsidR="00B54A3F" w:rsidRDefault="002700E5" w:rsidP="00B54A3F">
      <w:pPr>
        <w:keepNext/>
        <w:spacing w:after="0" w:line="259" w:lineRule="auto"/>
      </w:pPr>
      <w:r>
        <w:rPr>
          <w:noProof/>
          <w:lang w:val="en-GB" w:eastAsia="en-GB"/>
        </w:rPr>
        <w:drawing>
          <wp:inline distT="0" distB="0" distL="0" distR="0" wp14:anchorId="632D7E2A" wp14:editId="634DF5CF">
            <wp:extent cx="2880000" cy="2145626"/>
            <wp:effectExtent l="0" t="0" r="0" b="762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880000" cy="2145626"/>
                    </a:xfrm>
                    <a:prstGeom prst="rect">
                      <a:avLst/>
                    </a:prstGeom>
                    <a:noFill/>
                  </pic:spPr>
                </pic:pic>
              </a:graphicData>
            </a:graphic>
          </wp:inline>
        </w:drawing>
      </w:r>
      <w:r w:rsidR="00B54A3F">
        <w:rPr>
          <w:noProof/>
          <w:lang w:val="en-GB" w:eastAsia="en-GB"/>
        </w:rPr>
        <w:drawing>
          <wp:inline distT="0" distB="0" distL="0" distR="0" wp14:anchorId="779128BE" wp14:editId="6235DE9B">
            <wp:extent cx="2880000" cy="2145629"/>
            <wp:effectExtent l="0" t="0" r="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880000" cy="2145629"/>
                    </a:xfrm>
                    <a:prstGeom prst="rect">
                      <a:avLst/>
                    </a:prstGeom>
                    <a:noFill/>
                  </pic:spPr>
                </pic:pic>
              </a:graphicData>
            </a:graphic>
          </wp:inline>
        </w:drawing>
      </w:r>
    </w:p>
    <w:p w14:paraId="3861B551" w14:textId="019B56B0" w:rsidR="00B54A3F" w:rsidRDefault="00B54A3F" w:rsidP="00B54A3F">
      <w:pPr>
        <w:pStyle w:val="Caption"/>
        <w:spacing w:before="0" w:after="0"/>
        <w:jc w:val="both"/>
      </w:pPr>
      <w:r>
        <w:t xml:space="preserve">Figure </w:t>
      </w:r>
      <w:r w:rsidR="0006096A">
        <w:t>7</w:t>
      </w:r>
      <w:r w:rsidR="00026D85">
        <w:t>:</w:t>
      </w:r>
      <w:r>
        <w:t xml:space="preserve"> </w:t>
      </w:r>
      <w:r w:rsidRPr="00B54A3F">
        <w:t>A comparison of passenger vehicle cost by technology for the scenarios</w:t>
      </w:r>
    </w:p>
    <w:p w14:paraId="0EAF87E3" w14:textId="3D1055B6" w:rsidR="00B54A3F" w:rsidRPr="0035219A" w:rsidRDefault="00B54A3F" w:rsidP="00C645FB">
      <w:pPr>
        <w:pStyle w:val="Caption"/>
        <w:spacing w:before="0" w:after="0"/>
        <w:jc w:val="both"/>
        <w:rPr>
          <w:b w:val="0"/>
          <w:bCs/>
          <w:szCs w:val="16"/>
        </w:rPr>
      </w:pPr>
      <w:r w:rsidRPr="0035219A">
        <w:rPr>
          <w:b w:val="0"/>
          <w:bCs/>
          <w:szCs w:val="16"/>
        </w:rPr>
        <w:t>Source:</w:t>
      </w:r>
      <w:r w:rsidR="00C645FB" w:rsidRPr="0035219A">
        <w:rPr>
          <w:b w:val="0"/>
          <w:bCs/>
          <w:szCs w:val="16"/>
        </w:rPr>
        <w:t xml:space="preserve"> </w:t>
      </w:r>
      <w:r w:rsidR="00B05314" w:rsidRPr="0035219A">
        <w:rPr>
          <w:b w:val="0"/>
          <w:bCs/>
          <w:szCs w:val="16"/>
        </w:rPr>
        <w:t>EV-</w:t>
      </w:r>
      <w:r w:rsidR="002700E5" w:rsidRPr="0035219A">
        <w:rPr>
          <w:b w:val="0"/>
          <w:bCs/>
          <w:szCs w:val="16"/>
        </w:rPr>
        <w:t>IN</w:t>
      </w:r>
      <w:r w:rsidR="00B05314" w:rsidRPr="0035219A">
        <w:rPr>
          <w:b w:val="0"/>
          <w:bCs/>
          <w:szCs w:val="16"/>
        </w:rPr>
        <w:t xml:space="preserve">: </w:t>
      </w:r>
      <w:r w:rsidR="00FF2EFE" w:rsidRPr="0035219A">
        <w:rPr>
          <w:b w:val="0"/>
          <w:bCs/>
          <w:szCs w:val="16"/>
        </w:rPr>
        <w:t xml:space="preserve">adapted from </w:t>
      </w:r>
      <w:r w:rsidR="00C645FB" w:rsidRPr="0035219A">
        <w:rPr>
          <w:b w:val="0"/>
          <w:bCs/>
          <w:szCs w:val="16"/>
        </w:rPr>
        <w:t>Ricardo-AEA (2012)</w:t>
      </w:r>
      <w:r w:rsidR="00B05314" w:rsidRPr="0035219A">
        <w:rPr>
          <w:b w:val="0"/>
          <w:bCs/>
          <w:szCs w:val="16"/>
        </w:rPr>
        <w:t>; EV-</w:t>
      </w:r>
      <w:r w:rsidR="002700E5" w:rsidRPr="0035219A">
        <w:rPr>
          <w:b w:val="0"/>
          <w:bCs/>
          <w:szCs w:val="16"/>
        </w:rPr>
        <w:t>OUT</w:t>
      </w:r>
      <w:r w:rsidR="00B05314" w:rsidRPr="0035219A">
        <w:rPr>
          <w:b w:val="0"/>
          <w:bCs/>
          <w:szCs w:val="16"/>
        </w:rPr>
        <w:t>:</w:t>
      </w:r>
      <w:r w:rsidR="00C645FB" w:rsidRPr="0035219A">
        <w:rPr>
          <w:b w:val="0"/>
          <w:bCs/>
          <w:szCs w:val="16"/>
        </w:rPr>
        <w:t xml:space="preserve"> SATIM</w:t>
      </w:r>
    </w:p>
    <w:p w14:paraId="632CB1A9" w14:textId="10E724A2" w:rsidR="00B54A3F" w:rsidRDefault="00B54A3F" w:rsidP="00B54A3F">
      <w:pPr>
        <w:spacing w:after="0" w:line="259" w:lineRule="auto"/>
      </w:pPr>
    </w:p>
    <w:p w14:paraId="5D013A45" w14:textId="762359A0" w:rsidR="00C34780" w:rsidRDefault="00B54A3F" w:rsidP="00E136B9">
      <w:pPr>
        <w:numPr>
          <w:ilvl w:val="0"/>
          <w:numId w:val="41"/>
        </w:numPr>
        <w:spacing w:after="0" w:line="259" w:lineRule="auto"/>
      </w:pPr>
      <w:r>
        <w:t>T</w:t>
      </w:r>
      <w:r w:rsidR="00C34780">
        <w:t xml:space="preserve">he imported crude oil price, which is projected to grow from current levels to </w:t>
      </w:r>
      <w:r w:rsidR="00026D85">
        <w:t xml:space="preserve">USD </w:t>
      </w:r>
      <w:r w:rsidR="00C34780">
        <w:t>80/bbl by 2020 and remain at that level onward</w:t>
      </w:r>
      <w:r w:rsidR="00026D85">
        <w:t>.</w:t>
      </w:r>
      <w:r w:rsidR="00C34780">
        <w:t xml:space="preserve"> </w:t>
      </w:r>
    </w:p>
    <w:p w14:paraId="4EAFDD66" w14:textId="45323541" w:rsidR="00B54A3F" w:rsidRDefault="00B54A3F" w:rsidP="00E136B9">
      <w:pPr>
        <w:numPr>
          <w:ilvl w:val="0"/>
          <w:numId w:val="41"/>
        </w:numPr>
        <w:spacing w:after="0" w:line="259" w:lineRule="auto"/>
      </w:pPr>
      <w:r>
        <w:t>T</w:t>
      </w:r>
      <w:r w:rsidR="00C34780">
        <w:t xml:space="preserve">he imported LNG price, which is projected to be constant at </w:t>
      </w:r>
      <w:r w:rsidR="00026D85">
        <w:t xml:space="preserve">USD </w:t>
      </w:r>
      <w:r w:rsidR="00C34780">
        <w:t>13/mmbtu.</w:t>
      </w:r>
    </w:p>
    <w:p w14:paraId="192B9F27" w14:textId="63F4D828" w:rsidR="00C34780" w:rsidRDefault="00B54A3F" w:rsidP="00E136B9">
      <w:pPr>
        <w:numPr>
          <w:ilvl w:val="0"/>
          <w:numId w:val="41"/>
        </w:numPr>
        <w:spacing w:after="0" w:line="259" w:lineRule="auto"/>
      </w:pPr>
      <w:r>
        <w:t>I</w:t>
      </w:r>
      <w:r w:rsidR="00C34780">
        <w:t>t is assumed that no climate change mitigation policy is imposed on the economy.</w:t>
      </w:r>
    </w:p>
    <w:p w14:paraId="431573BD" w14:textId="77777777" w:rsidR="00B54A3F" w:rsidRDefault="00B54A3F" w:rsidP="00B54A3F">
      <w:pPr>
        <w:spacing w:after="0" w:line="259" w:lineRule="auto"/>
        <w:ind w:left="720"/>
      </w:pPr>
    </w:p>
    <w:p w14:paraId="17F39DFC" w14:textId="39E6F9B3" w:rsidR="00580066" w:rsidRDefault="00C34780" w:rsidP="001761AC">
      <w:r>
        <w:t xml:space="preserve">As per Merven et al </w:t>
      </w:r>
      <w:r w:rsidR="00026D85">
        <w:t>(</w:t>
      </w:r>
      <w:r>
        <w:t>2019), existing refineries can either upgrade to new fuel spec</w:t>
      </w:r>
      <w:r w:rsidR="00026D85">
        <w:t>ification</w:t>
      </w:r>
      <w:r>
        <w:t xml:space="preserve">s in 2030 or slowly retire over time. The retirement schedule of the refineries is shown in </w:t>
      </w:r>
      <w:r w:rsidR="00580066">
        <w:t xml:space="preserve">Figure </w:t>
      </w:r>
      <w:r w:rsidR="0006096A">
        <w:t>8</w:t>
      </w:r>
      <w:r>
        <w:t>. The order of retirement is arbitrary. A gradual optional retirement is assumed to allow the model to veer away from ICE-based technologies if it is economic to do so. The CTL plant runs to 2040. Hydrogen production is possible either via methane steam reformation (SMR) or water electrolysis. Techno-economic assumptions regarding hydrogen production and distribution follow</w:t>
      </w:r>
      <w:r w:rsidR="00E602AB">
        <w:t xml:space="preserve"> </w:t>
      </w:r>
      <w:r w:rsidR="00BD7259">
        <w:t>those</w:t>
      </w:r>
      <w:r>
        <w:t xml:space="preserve"> in Stone et al </w:t>
      </w:r>
      <w:r w:rsidR="00026D85">
        <w:t>(</w:t>
      </w:r>
      <w:r>
        <w:t>2013).</w:t>
      </w:r>
    </w:p>
    <w:p w14:paraId="4800C5C0" w14:textId="77777777" w:rsidR="009110E7" w:rsidRDefault="009110E7" w:rsidP="009E2880">
      <w:pPr>
        <w:keepNext/>
        <w:jc w:val="center"/>
      </w:pPr>
      <w:r>
        <w:rPr>
          <w:noProof/>
          <w:lang w:val="en-GB" w:eastAsia="en-GB"/>
        </w:rPr>
        <w:drawing>
          <wp:inline distT="114300" distB="114300" distL="114300" distR="114300" wp14:anchorId="3C8BBB28" wp14:editId="06C47A0E">
            <wp:extent cx="4772025" cy="3095625"/>
            <wp:effectExtent l="0" t="0" r="9525" b="9525"/>
            <wp:docPr id="3"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22"/>
                    <a:srcRect/>
                    <a:stretch>
                      <a:fillRect/>
                    </a:stretch>
                  </pic:blipFill>
                  <pic:spPr>
                    <a:xfrm>
                      <a:off x="0" y="0"/>
                      <a:ext cx="4799717" cy="3113589"/>
                    </a:xfrm>
                    <a:prstGeom prst="rect">
                      <a:avLst/>
                    </a:prstGeom>
                    <a:ln/>
                  </pic:spPr>
                </pic:pic>
              </a:graphicData>
            </a:graphic>
          </wp:inline>
        </w:drawing>
      </w:r>
    </w:p>
    <w:p w14:paraId="60AF34DC" w14:textId="072B8F34" w:rsidR="009110E7" w:rsidRPr="009D4D79" w:rsidRDefault="009110E7" w:rsidP="00FA0917">
      <w:pPr>
        <w:pStyle w:val="Caption"/>
        <w:spacing w:before="0" w:after="0"/>
        <w:jc w:val="both"/>
      </w:pPr>
      <w:bookmarkStart w:id="14" w:name="_Ref36290137"/>
      <w:r>
        <w:t xml:space="preserve">Figure </w:t>
      </w:r>
      <w:bookmarkEnd w:id="14"/>
      <w:r w:rsidR="0006096A">
        <w:rPr>
          <w:noProof/>
        </w:rPr>
        <w:t>8</w:t>
      </w:r>
      <w:r w:rsidR="00026D85">
        <w:rPr>
          <w:noProof/>
        </w:rPr>
        <w:t>:</w:t>
      </w:r>
      <w:r>
        <w:t xml:space="preserve"> Assumed</w:t>
      </w:r>
      <w:r w:rsidR="00BD7259">
        <w:t xml:space="preserve"> crude ref</w:t>
      </w:r>
      <w:r>
        <w:t>inery retirement profile</w:t>
      </w:r>
    </w:p>
    <w:p w14:paraId="70D49372" w14:textId="36B4FA83" w:rsidR="001F1601" w:rsidRPr="0035219A" w:rsidRDefault="001F1601" w:rsidP="001F1601">
      <w:pPr>
        <w:pStyle w:val="Caption"/>
        <w:spacing w:before="0" w:after="0"/>
        <w:rPr>
          <w:b w:val="0"/>
          <w:bCs/>
          <w:szCs w:val="16"/>
        </w:rPr>
      </w:pPr>
      <w:r w:rsidRPr="0035219A">
        <w:rPr>
          <w:b w:val="0"/>
          <w:bCs/>
          <w:szCs w:val="16"/>
        </w:rPr>
        <w:t xml:space="preserve">Source: </w:t>
      </w:r>
      <w:r w:rsidR="008E72CF" w:rsidRPr="0035219A">
        <w:rPr>
          <w:b w:val="0"/>
          <w:bCs/>
          <w:szCs w:val="16"/>
        </w:rPr>
        <w:t>Merven et al, 2019</w:t>
      </w:r>
    </w:p>
    <w:p w14:paraId="12A75C30" w14:textId="2797722F" w:rsidR="00F10C2A" w:rsidRDefault="00F10C2A">
      <w:pPr>
        <w:spacing w:after="0"/>
        <w:jc w:val="left"/>
      </w:pPr>
    </w:p>
    <w:p w14:paraId="72C10DC6" w14:textId="1D514A37" w:rsidR="001761AC" w:rsidRDefault="001761AC" w:rsidP="001761AC">
      <w:r>
        <w:t xml:space="preserve">The model is run from 2012 to 2050 and scenario </w:t>
      </w:r>
      <w:r w:rsidR="00307349">
        <w:t>‘EV-</w:t>
      </w:r>
      <w:r w:rsidR="002030E4">
        <w:t>out</w:t>
      </w:r>
      <w:r>
        <w:t xml:space="preserve">’ is treated as the reference case to which results from the </w:t>
      </w:r>
      <w:r w:rsidR="00307349">
        <w:t>‘EV-</w:t>
      </w:r>
      <w:r w:rsidR="002030E4">
        <w:t>in</w:t>
      </w:r>
      <w:r w:rsidR="00307349">
        <w:t>’</w:t>
      </w:r>
      <w:r>
        <w:t xml:space="preserve"> scenario </w:t>
      </w:r>
      <w:r w:rsidR="00BD7259">
        <w:t xml:space="preserve">are </w:t>
      </w:r>
      <w:r>
        <w:t xml:space="preserve">compared. The growth rate in the Reference scenario is targeted to meet actual growth between 2012 and 2017, whilst growth between 2018 and 2050 </w:t>
      </w:r>
      <w:r w:rsidR="00BD7259">
        <w:t>is</w:t>
      </w:r>
      <w:r>
        <w:t xml:space="preserve"> based on a combination of projections from the 2018</w:t>
      </w:r>
      <w:r w:rsidRPr="00E136B9">
        <w:rPr>
          <w:i/>
        </w:rPr>
        <w:t xml:space="preserve"> Medium-Term Policy Statement </w:t>
      </w:r>
      <w:r>
        <w:t xml:space="preserve">(National Treasury, 2018), October 2018 </w:t>
      </w:r>
      <w:r w:rsidRPr="00E136B9">
        <w:rPr>
          <w:i/>
        </w:rPr>
        <w:t>World Economic Outlook</w:t>
      </w:r>
      <w:r>
        <w:t xml:space="preserve"> (IMF, 2018) and the Department of Energy’s planning average annual growth rate of ~3.0% to 2050.</w:t>
      </w:r>
    </w:p>
    <w:p w14:paraId="733A4E0D" w14:textId="5AA7B846" w:rsidR="001761AC" w:rsidRDefault="001761AC" w:rsidP="001761AC">
      <w:r>
        <w:t xml:space="preserve">Exogenous assumptions are the same in </w:t>
      </w:r>
      <w:r w:rsidR="00307349">
        <w:t>all</w:t>
      </w:r>
      <w:r>
        <w:t xml:space="preserve"> scenarios. The supply of labour is assumed to increase in line with population growth (~0.89%, UNEP 2016), although upward sloping labour supply curves are assumed for all skill categories, given the long-term nature of the analysis, which means that increases in wages resulting from higher labour demand increases the labour force participation rate. Government spending and foreign savings increase by 3% per annum, although the increase in foreign savings decreases over time as debt is repaid. Total factor productivity is adjusted in the Reference scenario to reach the real GDP growth forecasts discussed above.</w:t>
      </w:r>
    </w:p>
    <w:p w14:paraId="4E3E8E49" w14:textId="5298D39B" w:rsidR="001761AC" w:rsidRDefault="001761AC" w:rsidP="001761AC">
      <w:r>
        <w:t>The macroeconomic closures included are aligned to the stylized facts for South Africa: investment is driven by the total level of savings in the economy</w:t>
      </w:r>
      <w:r w:rsidR="00BD7259">
        <w:t>,</w:t>
      </w:r>
      <w:r>
        <w:t xml:space="preserve"> although investment and government expenditure as shares in total absorption are fixed (balanced savings-investment closure); government savings are flexible and no fiscal rule is imposed; the exchange rate is flexible with the level of foreign savings (in foreign currency) rising by an exogenous growth rate which decreases over time as South Africa repays its foreign debt. Existing capital is assumed to be fully employed and activity specific. A least</w:t>
      </w:r>
      <w:r w:rsidR="00BD7259">
        <w:t>-</w:t>
      </w:r>
      <w:r>
        <w:t xml:space="preserve">cost optimal energy pathway from the South African Times model is included. The latter provides information on energy production and </w:t>
      </w:r>
      <w:r w:rsidR="00685ABA">
        <w:t>investment,</w:t>
      </w:r>
      <w:r>
        <w:t xml:space="preserve"> and electricity prices.</w:t>
      </w:r>
    </w:p>
    <w:p w14:paraId="0D7D5B51" w14:textId="2464654B" w:rsidR="00F13F22" w:rsidRDefault="00BD7259" w:rsidP="001761AC">
      <w:r>
        <w:t xml:space="preserve">It is </w:t>
      </w:r>
      <w:r w:rsidR="00F13F22">
        <w:t>assume</w:t>
      </w:r>
      <w:r>
        <w:t>d</w:t>
      </w:r>
      <w:r w:rsidR="00F13F22">
        <w:t xml:space="preserve"> that access to electric vehicles will be the same as ICE and that the domestic and import and export shares of vehicles remain relatively the same as in the base year. </w:t>
      </w:r>
      <w:r>
        <w:t>T</w:t>
      </w:r>
      <w:r w:rsidR="00F13F22">
        <w:t>herefore</w:t>
      </w:r>
      <w:r>
        <w:t>,</w:t>
      </w:r>
      <w:r w:rsidR="00F13F22">
        <w:t xml:space="preserve"> obstacles in shifting the motor vehicle industry from produce ICE to EVs </w:t>
      </w:r>
      <w:r>
        <w:t xml:space="preserve">are not considered, </w:t>
      </w:r>
      <w:r w:rsidR="00F13F22">
        <w:t>nor</w:t>
      </w:r>
      <w:r>
        <w:t xml:space="preserve"> is</w:t>
      </w:r>
      <w:r w:rsidR="00F13F22">
        <w:t xml:space="preserve"> the potential loss in export share from not doing so.</w:t>
      </w:r>
    </w:p>
    <w:p w14:paraId="68B73425" w14:textId="39884633" w:rsidR="004828F1" w:rsidRDefault="009D4D79" w:rsidP="000E01D8">
      <w:pPr>
        <w:pStyle w:val="Heading2"/>
        <w:numPr>
          <w:ilvl w:val="1"/>
          <w:numId w:val="2"/>
        </w:numPr>
        <w:spacing w:after="120"/>
      </w:pPr>
      <w:r>
        <w:t>Results</w:t>
      </w:r>
    </w:p>
    <w:p w14:paraId="0043430E" w14:textId="147C5532" w:rsidR="006B600D" w:rsidRDefault="000B17C1" w:rsidP="000B17C1">
      <w:r>
        <w:t xml:space="preserve">Figure </w:t>
      </w:r>
      <w:r w:rsidR="0006096A">
        <w:t>9</w:t>
      </w:r>
      <w:r>
        <w:t xml:space="preserve"> presents the demand for petrol, diesel and electricity from the SATIMGE model under the scenario of EV adoption. The left panel shows the results when the private transport link is not included in the linked model</w:t>
      </w:r>
      <w:r w:rsidR="00BD7259">
        <w:t>,</w:t>
      </w:r>
      <w:r>
        <w:t xml:space="preserve"> and the right panel shows the result when it is. As illustrated without the link there is a clear divergence between the models in terms of private transport energy demand</w:t>
      </w:r>
      <w:r w:rsidR="00BD7259">
        <w:t>,</w:t>
      </w:r>
      <w:r>
        <w:t xml:space="preserve"> with the CGE model unable to account for the fuel switch taking place in SATIM. </w:t>
      </w:r>
      <w:r w:rsidRPr="00F10C2A">
        <w:t>The private transport link incorporated into this model ensures that this shift is captured</w:t>
      </w:r>
      <w:r w:rsidRPr="003D113C">
        <w:t>.</w:t>
      </w:r>
    </w:p>
    <w:p w14:paraId="3A8454C9" w14:textId="77777777" w:rsidR="000B17C1" w:rsidRDefault="006B600D" w:rsidP="00FF2EFE">
      <w:r>
        <w:rPr>
          <w:noProof/>
          <w:lang w:val="en-GB" w:eastAsia="en-GB"/>
        </w:rPr>
        <w:drawing>
          <wp:inline distT="0" distB="0" distL="0" distR="0" wp14:anchorId="4F57C1F7" wp14:editId="6A101C8A">
            <wp:extent cx="5759450" cy="3724910"/>
            <wp:effectExtent l="0" t="0" r="0" b="889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59450" cy="3724910"/>
                    </a:xfrm>
                    <a:prstGeom prst="rect">
                      <a:avLst/>
                    </a:prstGeom>
                  </pic:spPr>
                </pic:pic>
              </a:graphicData>
            </a:graphic>
          </wp:inline>
        </w:drawing>
      </w:r>
    </w:p>
    <w:p w14:paraId="159F99F3" w14:textId="00DD2A3F" w:rsidR="006B600D" w:rsidRDefault="000B17C1" w:rsidP="00B222A5">
      <w:pPr>
        <w:pStyle w:val="Caption"/>
        <w:spacing w:before="0" w:after="0"/>
      </w:pPr>
      <w:r>
        <w:t xml:space="preserve">Figure </w:t>
      </w:r>
      <w:r w:rsidR="0006096A">
        <w:t>9</w:t>
      </w:r>
      <w:r w:rsidR="00BD7259">
        <w:t>:</w:t>
      </w:r>
      <w:r>
        <w:t xml:space="preserve"> </w:t>
      </w:r>
      <w:r w:rsidR="00B222A5">
        <w:t>P</w:t>
      </w:r>
      <w:r>
        <w:t>rivate transport fuel demand without (NoLink_EV-IN) and with (EV-IN) link</w:t>
      </w:r>
    </w:p>
    <w:p w14:paraId="6618A76B" w14:textId="640CB5A6" w:rsidR="00B222A5" w:rsidRPr="0035219A" w:rsidRDefault="00B222A5" w:rsidP="00B222A5">
      <w:pPr>
        <w:pStyle w:val="Caption"/>
        <w:spacing w:before="0" w:after="0"/>
        <w:rPr>
          <w:b w:val="0"/>
          <w:bCs/>
          <w:szCs w:val="16"/>
        </w:rPr>
      </w:pPr>
      <w:r w:rsidRPr="0035219A">
        <w:rPr>
          <w:b w:val="0"/>
          <w:bCs/>
          <w:szCs w:val="16"/>
        </w:rPr>
        <w:t>Source: SATIMGE</w:t>
      </w:r>
    </w:p>
    <w:p w14:paraId="43E904AC" w14:textId="2AC576C1" w:rsidR="009D4D79" w:rsidRDefault="009D4D79" w:rsidP="009D4D79">
      <w:pPr>
        <w:pStyle w:val="Heading2"/>
        <w:numPr>
          <w:ilvl w:val="2"/>
          <w:numId w:val="2"/>
        </w:numPr>
        <w:spacing w:after="120"/>
      </w:pPr>
      <w:r>
        <w:t xml:space="preserve">Evolution of </w:t>
      </w:r>
      <w:r w:rsidR="002D7548">
        <w:t>private</w:t>
      </w:r>
      <w:r>
        <w:t xml:space="preserve"> transport</w:t>
      </w:r>
      <w:r w:rsidR="002D7548">
        <w:t xml:space="preserve"> with and without EVs</w:t>
      </w:r>
    </w:p>
    <w:p w14:paraId="3A55AF39" w14:textId="3A8EB31B" w:rsidR="009D4D79" w:rsidRDefault="00E96777" w:rsidP="009D4D79">
      <w:r>
        <w:t>By 2050</w:t>
      </w:r>
      <w:r w:rsidR="002B5932">
        <w:t>, the vehicle parc is dominated by EVs for car and motorcycle markets in the EV-IN scenario, and</w:t>
      </w:r>
      <w:r>
        <w:t xml:space="preserve"> hybrid vehicles </w:t>
      </w:r>
      <w:r w:rsidR="002B5932">
        <w:t>in the EV-OUT scenario, except i</w:t>
      </w:r>
      <w:commentRangeStart w:id="15"/>
      <w:r w:rsidR="002B5932">
        <w:t xml:space="preserve">n the case of </w:t>
      </w:r>
      <w:r w:rsidR="00BD7259">
        <w:t xml:space="preserve">the </w:t>
      </w:r>
      <w:r w:rsidR="002B5932">
        <w:t xml:space="preserve">motorcycle </w:t>
      </w:r>
      <w:r w:rsidRPr="00F10C2A">
        <w:t xml:space="preserve">fleet </w:t>
      </w:r>
      <w:commentRangeEnd w:id="15"/>
      <w:r w:rsidR="00BD7259">
        <w:rPr>
          <w:rStyle w:val="CommentReference"/>
        </w:rPr>
        <w:commentReference w:id="15"/>
      </w:r>
      <w:r w:rsidRPr="00F10C2A">
        <w:t xml:space="preserve">(see Figure </w:t>
      </w:r>
      <w:r w:rsidR="0006096A">
        <w:t>10</w:t>
      </w:r>
      <w:r w:rsidRPr="00F10C2A">
        <w:t xml:space="preserve">). </w:t>
      </w:r>
      <w:r w:rsidR="002B5932">
        <w:t>In the EV-IN scenario,</w:t>
      </w:r>
      <w:r w:rsidRPr="00F10C2A">
        <w:t xml:space="preserve"> hybrid vehicles play a more transitionary role.</w:t>
      </w:r>
      <w:r>
        <w:t xml:space="preserve"> </w:t>
      </w:r>
    </w:p>
    <w:p w14:paraId="3F42B377" w14:textId="4DCAD9CF" w:rsidR="002D7548" w:rsidRDefault="002700E5" w:rsidP="005C6FA5">
      <w:pPr>
        <w:keepNext/>
        <w:jc w:val="center"/>
      </w:pPr>
      <w:r>
        <w:rPr>
          <w:noProof/>
        </w:rPr>
        <w:drawing>
          <wp:inline distT="0" distB="0" distL="0" distR="0" wp14:anchorId="7A12C472" wp14:editId="1C81F66B">
            <wp:extent cx="5759450" cy="379984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59450" cy="3799840"/>
                    </a:xfrm>
                    <a:prstGeom prst="rect">
                      <a:avLst/>
                    </a:prstGeom>
                  </pic:spPr>
                </pic:pic>
              </a:graphicData>
            </a:graphic>
          </wp:inline>
        </w:drawing>
      </w:r>
    </w:p>
    <w:p w14:paraId="227C97F2" w14:textId="40D52D55" w:rsidR="002D7548" w:rsidRDefault="002D7548" w:rsidP="00B222A5">
      <w:pPr>
        <w:pStyle w:val="Caption"/>
        <w:spacing w:before="0" w:after="0"/>
        <w:jc w:val="both"/>
      </w:pPr>
      <w:r>
        <w:t xml:space="preserve">Figure </w:t>
      </w:r>
      <w:r w:rsidR="0006096A">
        <w:t>10</w:t>
      </w:r>
      <w:r w:rsidR="00BD7259">
        <w:t>:</w:t>
      </w:r>
      <w:r>
        <w:t xml:space="preserve"> Private transport vehicle fleet evolution with (EV-</w:t>
      </w:r>
      <w:r w:rsidR="00E84E4F">
        <w:t>IN</w:t>
      </w:r>
      <w:r>
        <w:t>) and without (EV-</w:t>
      </w:r>
      <w:r w:rsidR="00E84E4F">
        <w:t>OUT</w:t>
      </w:r>
      <w:r>
        <w:t>) EV adoption</w:t>
      </w:r>
    </w:p>
    <w:p w14:paraId="51ED664C" w14:textId="0CC53C8E" w:rsidR="00B222A5" w:rsidRPr="0035219A" w:rsidRDefault="00B222A5" w:rsidP="00B222A5">
      <w:pPr>
        <w:pStyle w:val="Caption"/>
        <w:spacing w:before="0" w:after="0"/>
        <w:jc w:val="both"/>
        <w:rPr>
          <w:b w:val="0"/>
          <w:bCs/>
          <w:szCs w:val="16"/>
        </w:rPr>
      </w:pPr>
      <w:r w:rsidRPr="0035219A">
        <w:rPr>
          <w:b w:val="0"/>
          <w:bCs/>
          <w:szCs w:val="16"/>
        </w:rPr>
        <w:t>Source: SATIMGE</w:t>
      </w:r>
    </w:p>
    <w:p w14:paraId="05B0D2D4" w14:textId="77777777" w:rsidR="00B222A5" w:rsidRPr="00B222A5" w:rsidRDefault="00B222A5" w:rsidP="00B222A5"/>
    <w:p w14:paraId="4451BB9B" w14:textId="25F45407" w:rsidR="009D4D79" w:rsidRDefault="009D4D79" w:rsidP="009D4D79">
      <w:pPr>
        <w:pStyle w:val="Heading2"/>
        <w:numPr>
          <w:ilvl w:val="2"/>
          <w:numId w:val="2"/>
        </w:numPr>
        <w:spacing w:after="120"/>
      </w:pPr>
      <w:r>
        <w:t>Impact on</w:t>
      </w:r>
      <w:r w:rsidR="004D23DB">
        <w:t xml:space="preserve"> liquid</w:t>
      </w:r>
      <w:r>
        <w:t xml:space="preserve"> </w:t>
      </w:r>
      <w:r w:rsidR="00CD72ED">
        <w:t>fuel supply and demand</w:t>
      </w:r>
    </w:p>
    <w:p w14:paraId="57E2A240" w14:textId="43124725" w:rsidR="004D23DB" w:rsidRDefault="004D23DB" w:rsidP="009D4D79">
      <w:r>
        <w:t>In the EV-</w:t>
      </w:r>
      <w:r w:rsidR="002473BD">
        <w:t xml:space="preserve">OUT </w:t>
      </w:r>
      <w:r>
        <w:t xml:space="preserve">scenario, liquid fuel demand and supply is expected to rise to 2050 as fossil-based vehicles remain a key source of mobility in the country. Between 2018 and 2050, the demand </w:t>
      </w:r>
      <w:r w:rsidR="00BD7259">
        <w:t xml:space="preserve">for </w:t>
      </w:r>
      <w:r>
        <w:t>liquid fuels increases</w:t>
      </w:r>
      <w:r w:rsidR="00BD7259">
        <w:t>, at</w:t>
      </w:r>
      <w:r>
        <w:t xml:space="preserve"> </w:t>
      </w:r>
      <w:r w:rsidR="00B15964">
        <w:t>first more slowly before accelerating in the later years, mainly driven by increasing household income</w:t>
      </w:r>
      <w:r>
        <w:t>. In the short-to</w:t>
      </w:r>
      <w:r w:rsidR="00BD7259">
        <w:t>-</w:t>
      </w:r>
      <w:r>
        <w:t>medium</w:t>
      </w:r>
      <w:r w:rsidR="00BD7259">
        <w:t xml:space="preserve"> </w:t>
      </w:r>
      <w:r>
        <w:t>term, this demand is met primarily by domestic production</w:t>
      </w:r>
      <w:r w:rsidR="00BD7259">
        <w:t>,</w:t>
      </w:r>
      <w:r>
        <w:t xml:space="preserve"> using crude oil refineries. Over the longer</w:t>
      </w:r>
      <w:r w:rsidR="00BD7259">
        <w:t xml:space="preserve"> </w:t>
      </w:r>
      <w:r>
        <w:t>term, however, domestic supply is replaced with imported product</w:t>
      </w:r>
      <w:r w:rsidR="00B15964">
        <w:t>s</w:t>
      </w:r>
      <w:r w:rsidR="00BD7259">
        <w:t>,</w:t>
      </w:r>
      <w:r>
        <w:t xml:space="preserve"> which is more cost</w:t>
      </w:r>
      <w:r w:rsidR="00BD7259">
        <w:t>-</w:t>
      </w:r>
      <w:r>
        <w:t>competitive</w:t>
      </w:r>
      <w:r w:rsidR="00B808C9">
        <w:rPr>
          <w:rStyle w:val="FootnoteReference"/>
        </w:rPr>
        <w:footnoteReference w:id="3"/>
      </w:r>
      <w:r>
        <w:t xml:space="preserve"> (see Figure </w:t>
      </w:r>
      <w:r w:rsidR="001C62E1">
        <w:t>1</w:t>
      </w:r>
      <w:r w:rsidR="0006096A">
        <w:t>1</w:t>
      </w:r>
      <w:r>
        <w:t>).</w:t>
      </w:r>
      <w:r w:rsidR="00605740">
        <w:t xml:space="preserve"> </w:t>
      </w:r>
      <w:r>
        <w:t>The adoption of electric vehicles has an impact</w:t>
      </w:r>
      <w:r w:rsidR="00605740">
        <w:t xml:space="preserve"> on the volume of liquid fuels </w:t>
      </w:r>
      <w:r w:rsidR="00B808C9">
        <w:t>required</w:t>
      </w:r>
      <w:r w:rsidR="00605740">
        <w:t xml:space="preserve">. </w:t>
      </w:r>
      <w:r w:rsidR="00B808C9">
        <w:t>L</w:t>
      </w:r>
      <w:r w:rsidR="00605740">
        <w:t xml:space="preserve">iquid fuels </w:t>
      </w:r>
      <w:r w:rsidR="00B808C9">
        <w:t xml:space="preserve">requirements </w:t>
      </w:r>
      <w:r w:rsidR="00605740">
        <w:t xml:space="preserve">decline from </w:t>
      </w:r>
      <w:r w:rsidR="00B808C9">
        <w:t xml:space="preserve">around 1000 </w:t>
      </w:r>
      <w:r w:rsidR="00482B1C">
        <w:t>PJ</w:t>
      </w:r>
      <w:r w:rsidR="00605740">
        <w:t xml:space="preserve"> </w:t>
      </w:r>
      <w:r w:rsidR="00B808C9">
        <w:t xml:space="preserve">per year </w:t>
      </w:r>
      <w:r w:rsidR="00605740">
        <w:t xml:space="preserve">to </w:t>
      </w:r>
      <w:r w:rsidR="00B808C9">
        <w:t xml:space="preserve">around 660 </w:t>
      </w:r>
      <w:r w:rsidR="00482B1C">
        <w:t>PJ</w:t>
      </w:r>
      <w:r w:rsidR="00605740">
        <w:t xml:space="preserve"> by 2050.</w:t>
      </w:r>
    </w:p>
    <w:p w14:paraId="231BDED7" w14:textId="77777777" w:rsidR="00CD72ED" w:rsidRDefault="00CD72ED" w:rsidP="005C6FA5">
      <w:pPr>
        <w:keepNext/>
        <w:jc w:val="center"/>
      </w:pPr>
      <w:r>
        <w:rPr>
          <w:noProof/>
          <w:lang w:val="en-GB" w:eastAsia="en-GB"/>
        </w:rPr>
        <w:drawing>
          <wp:inline distT="0" distB="0" distL="0" distR="0" wp14:anchorId="3E584ECD" wp14:editId="1808345C">
            <wp:extent cx="4858698" cy="2665588"/>
            <wp:effectExtent l="0" t="0" r="0" b="127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858698" cy="2665588"/>
                    </a:xfrm>
                    <a:prstGeom prst="rect">
                      <a:avLst/>
                    </a:prstGeom>
                  </pic:spPr>
                </pic:pic>
              </a:graphicData>
            </a:graphic>
          </wp:inline>
        </w:drawing>
      </w:r>
    </w:p>
    <w:p w14:paraId="5FB84DB7" w14:textId="4FDA2952" w:rsidR="00CD72ED" w:rsidRDefault="00CD72ED" w:rsidP="00B222A5">
      <w:pPr>
        <w:pStyle w:val="Caption"/>
        <w:spacing w:before="0" w:after="0"/>
        <w:jc w:val="both"/>
        <w:rPr>
          <w:noProof/>
        </w:rPr>
      </w:pPr>
      <w:r>
        <w:t xml:space="preserve">Figure </w:t>
      </w:r>
      <w:r w:rsidR="001C1DBB">
        <w:rPr>
          <w:noProof/>
        </w:rPr>
        <w:t>1</w:t>
      </w:r>
      <w:r w:rsidR="0006096A">
        <w:rPr>
          <w:noProof/>
        </w:rPr>
        <w:t>1</w:t>
      </w:r>
      <w:r w:rsidR="00BD7259">
        <w:rPr>
          <w:noProof/>
        </w:rPr>
        <w:t>:</w:t>
      </w:r>
      <w:r>
        <w:t xml:space="preserve"> Fuel supply</w:t>
      </w:r>
      <w:r>
        <w:rPr>
          <w:noProof/>
        </w:rPr>
        <w:t xml:space="preserve"> with (EV-in) and without (EV-out) EV adoption</w:t>
      </w:r>
    </w:p>
    <w:p w14:paraId="0CBD2D63" w14:textId="77777777" w:rsidR="00B222A5" w:rsidRPr="0035219A" w:rsidRDefault="00B222A5" w:rsidP="00B222A5">
      <w:pPr>
        <w:pStyle w:val="Caption"/>
        <w:spacing w:before="0" w:after="0"/>
        <w:jc w:val="both"/>
        <w:rPr>
          <w:b w:val="0"/>
          <w:bCs/>
          <w:szCs w:val="16"/>
        </w:rPr>
      </w:pPr>
      <w:r w:rsidRPr="0035219A">
        <w:rPr>
          <w:b w:val="0"/>
          <w:bCs/>
          <w:szCs w:val="16"/>
        </w:rPr>
        <w:t>Source: SATIMGE</w:t>
      </w:r>
    </w:p>
    <w:p w14:paraId="0975F178" w14:textId="77777777" w:rsidR="00B222A5" w:rsidRPr="00B222A5" w:rsidRDefault="00B222A5" w:rsidP="00B222A5"/>
    <w:p w14:paraId="2EB15558" w14:textId="1151557A" w:rsidR="00FB2339" w:rsidRDefault="005931A1" w:rsidP="00FB2339">
      <w:r>
        <w:t xml:space="preserve">The decline in total fuel demand stems </w:t>
      </w:r>
      <w:r w:rsidR="00C34780">
        <w:t xml:space="preserve">from the decline in </w:t>
      </w:r>
      <w:r w:rsidR="00B808C9">
        <w:t xml:space="preserve">demand from </w:t>
      </w:r>
      <w:r>
        <w:t>private passenger transport</w:t>
      </w:r>
      <w:r w:rsidR="00C34780">
        <w:t>, and LCVs in the freight sector from the switch to EVs</w:t>
      </w:r>
      <w:r w:rsidR="005A3C85">
        <w:t xml:space="preserve"> (see Figure </w:t>
      </w:r>
      <w:r w:rsidR="001C62E1">
        <w:t>1</w:t>
      </w:r>
      <w:r w:rsidR="0006096A">
        <w:t>2</w:t>
      </w:r>
      <w:r w:rsidR="005A3C85">
        <w:t>)</w:t>
      </w:r>
      <w:r>
        <w:t xml:space="preserve">. </w:t>
      </w:r>
    </w:p>
    <w:p w14:paraId="4192706B" w14:textId="77777777" w:rsidR="00FB2339" w:rsidRDefault="00FB2339" w:rsidP="005C6FA5">
      <w:pPr>
        <w:keepNext/>
        <w:jc w:val="center"/>
      </w:pPr>
      <w:r>
        <w:rPr>
          <w:noProof/>
          <w:lang w:val="en-GB" w:eastAsia="en-GB"/>
        </w:rPr>
        <w:drawing>
          <wp:inline distT="0" distB="0" distL="0" distR="0" wp14:anchorId="3144FC81" wp14:editId="1C719024">
            <wp:extent cx="4749515" cy="3003139"/>
            <wp:effectExtent l="0" t="0" r="0" b="698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753165" cy="3005447"/>
                    </a:xfrm>
                    <a:prstGeom prst="rect">
                      <a:avLst/>
                    </a:prstGeom>
                  </pic:spPr>
                </pic:pic>
              </a:graphicData>
            </a:graphic>
          </wp:inline>
        </w:drawing>
      </w:r>
    </w:p>
    <w:p w14:paraId="634A7148" w14:textId="2F403EBE" w:rsidR="00FB2339" w:rsidRDefault="00FB2339" w:rsidP="00B222A5">
      <w:pPr>
        <w:pStyle w:val="Caption"/>
        <w:spacing w:before="0" w:after="0"/>
        <w:jc w:val="both"/>
        <w:rPr>
          <w:noProof/>
        </w:rPr>
      </w:pPr>
      <w:r>
        <w:t xml:space="preserve">Figure </w:t>
      </w:r>
      <w:r w:rsidR="001C1DBB">
        <w:rPr>
          <w:noProof/>
        </w:rPr>
        <w:t>1</w:t>
      </w:r>
      <w:r w:rsidR="0006096A">
        <w:rPr>
          <w:noProof/>
        </w:rPr>
        <w:t>2</w:t>
      </w:r>
      <w:r w:rsidR="00BD7259">
        <w:rPr>
          <w:noProof/>
        </w:rPr>
        <w:t>:</w:t>
      </w:r>
      <w:r>
        <w:t xml:space="preserve"> </w:t>
      </w:r>
      <w:r w:rsidR="00447311">
        <w:t xml:space="preserve">Liquid </w:t>
      </w:r>
      <w:r w:rsidR="00BD7259">
        <w:t xml:space="preserve">fuel </w:t>
      </w:r>
      <w:r>
        <w:t>demand by sector</w:t>
      </w:r>
      <w:r>
        <w:rPr>
          <w:noProof/>
        </w:rPr>
        <w:t xml:space="preserve"> with (EV-</w:t>
      </w:r>
      <w:r w:rsidR="00E84E4F">
        <w:rPr>
          <w:noProof/>
        </w:rPr>
        <w:t>IN</w:t>
      </w:r>
      <w:r>
        <w:rPr>
          <w:noProof/>
        </w:rPr>
        <w:t>) and without (EV-</w:t>
      </w:r>
      <w:r w:rsidR="00E84E4F">
        <w:rPr>
          <w:noProof/>
        </w:rPr>
        <w:t>OUT</w:t>
      </w:r>
      <w:r>
        <w:rPr>
          <w:noProof/>
        </w:rPr>
        <w:t>) EV adoption</w:t>
      </w:r>
    </w:p>
    <w:p w14:paraId="41361036" w14:textId="77777777" w:rsidR="00B222A5" w:rsidRPr="0035219A" w:rsidRDefault="00B222A5" w:rsidP="00B222A5">
      <w:pPr>
        <w:pStyle w:val="Caption"/>
        <w:spacing w:before="0" w:after="0"/>
        <w:jc w:val="both"/>
        <w:rPr>
          <w:b w:val="0"/>
          <w:bCs/>
          <w:szCs w:val="16"/>
        </w:rPr>
      </w:pPr>
      <w:r w:rsidRPr="0035219A">
        <w:rPr>
          <w:b w:val="0"/>
          <w:bCs/>
          <w:szCs w:val="16"/>
        </w:rPr>
        <w:t>Source: SATIMGE</w:t>
      </w:r>
    </w:p>
    <w:p w14:paraId="4946EE70" w14:textId="77777777" w:rsidR="00B222A5" w:rsidRPr="00B222A5" w:rsidRDefault="00B222A5" w:rsidP="00B222A5"/>
    <w:p w14:paraId="2DD8338D" w14:textId="63AD724D" w:rsidR="002473BD" w:rsidRDefault="005110D2" w:rsidP="002473BD">
      <w:r>
        <w:t xml:space="preserve">The </w:t>
      </w:r>
      <w:r w:rsidR="00742A8E">
        <w:t xml:space="preserve">replacement of liquid fuels with electricity in the EV-in scenario leads to a rise in demand for electricity over the modelled period (see Figure </w:t>
      </w:r>
      <w:r w:rsidR="001C62E1">
        <w:t>1</w:t>
      </w:r>
      <w:r w:rsidR="0006096A">
        <w:t>3</w:t>
      </w:r>
      <w:r w:rsidR="00742A8E">
        <w:t xml:space="preserve">). </w:t>
      </w:r>
      <w:r w:rsidR="002473BD">
        <w:t>This is exacerbated by EVs penetrating the LCV market (not shown here).</w:t>
      </w:r>
    </w:p>
    <w:p w14:paraId="5F97B630" w14:textId="1006E425" w:rsidR="00482B1C" w:rsidRDefault="00B434D7" w:rsidP="00482B1C">
      <w:r>
        <w:t>In the EV-IN scenario, EVs for private transport, and EVs in</w:t>
      </w:r>
      <w:r w:rsidR="00BD7259">
        <w:t xml:space="preserve"> the</w:t>
      </w:r>
      <w:r>
        <w:t xml:space="preserve"> LCV market each add around 30 TWh. This combines to around 11% of the total electricity demand in 2050</w:t>
      </w:r>
      <w:r w:rsidR="00742A8E">
        <w:t>. The additional supply is met by increase solar PV and wind generation</w:t>
      </w:r>
      <w:r w:rsidR="00BD7259">
        <w:t>,</w:t>
      </w:r>
      <w:r w:rsidR="00742A8E">
        <w:t xml:space="preserve"> which produce more than 70% of electricity in South Africa under least</w:t>
      </w:r>
      <w:r w:rsidR="00BD7259">
        <w:t>-</w:t>
      </w:r>
      <w:r w:rsidR="00742A8E" w:rsidRPr="0035219A">
        <w:t>cost conditions</w:t>
      </w:r>
      <w:r w:rsidR="00742A8E">
        <w:t>.</w:t>
      </w:r>
      <w:r w:rsidR="00025A14">
        <w:t xml:space="preserve"> </w:t>
      </w:r>
    </w:p>
    <w:p w14:paraId="49720D6B" w14:textId="2AB82A66" w:rsidR="00324926" w:rsidRDefault="002473BD" w:rsidP="005C6FA5">
      <w:pPr>
        <w:keepNext/>
        <w:jc w:val="center"/>
      </w:pPr>
      <w:r>
        <w:rPr>
          <w:noProof/>
        </w:rPr>
        <w:drawing>
          <wp:inline distT="0" distB="0" distL="0" distR="0" wp14:anchorId="763F4665" wp14:editId="7CE69B50">
            <wp:extent cx="5759450" cy="368554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59450" cy="3685540"/>
                    </a:xfrm>
                    <a:prstGeom prst="rect">
                      <a:avLst/>
                    </a:prstGeom>
                  </pic:spPr>
                </pic:pic>
              </a:graphicData>
            </a:graphic>
          </wp:inline>
        </w:drawing>
      </w:r>
    </w:p>
    <w:p w14:paraId="21CCFB86" w14:textId="736B0FB1" w:rsidR="00324926" w:rsidRDefault="00324926" w:rsidP="00B222A5">
      <w:pPr>
        <w:pStyle w:val="Caption"/>
        <w:spacing w:before="0" w:after="0"/>
        <w:jc w:val="both"/>
        <w:rPr>
          <w:noProof/>
        </w:rPr>
      </w:pPr>
      <w:r>
        <w:t xml:space="preserve">Figure </w:t>
      </w:r>
      <w:r w:rsidR="001C1DBB">
        <w:rPr>
          <w:noProof/>
        </w:rPr>
        <w:t>1</w:t>
      </w:r>
      <w:r w:rsidR="0006096A">
        <w:rPr>
          <w:noProof/>
        </w:rPr>
        <w:t>3</w:t>
      </w:r>
      <w:r w:rsidR="00BD7259">
        <w:rPr>
          <w:noProof/>
        </w:rPr>
        <w:t>:</w:t>
      </w:r>
      <w:r>
        <w:t xml:space="preserve"> Electricity </w:t>
      </w:r>
      <w:r w:rsidR="002473BD">
        <w:t xml:space="preserve">demand and </w:t>
      </w:r>
      <w:r>
        <w:t>supply by technology</w:t>
      </w:r>
      <w:r>
        <w:rPr>
          <w:noProof/>
        </w:rPr>
        <w:t xml:space="preserve"> </w:t>
      </w:r>
      <w:r w:rsidR="00B434D7">
        <w:rPr>
          <w:noProof/>
        </w:rPr>
        <w:t>in</w:t>
      </w:r>
      <w:r>
        <w:rPr>
          <w:noProof/>
        </w:rPr>
        <w:t xml:space="preserve"> EV-</w:t>
      </w:r>
      <w:r w:rsidR="00B434D7">
        <w:rPr>
          <w:noProof/>
        </w:rPr>
        <w:t xml:space="preserve">IN </w:t>
      </w:r>
      <w:r w:rsidR="00BD7259">
        <w:rPr>
          <w:noProof/>
        </w:rPr>
        <w:t>s</w:t>
      </w:r>
      <w:r w:rsidR="00B434D7">
        <w:rPr>
          <w:noProof/>
        </w:rPr>
        <w:t>cenario</w:t>
      </w:r>
      <w:r>
        <w:rPr>
          <w:noProof/>
        </w:rPr>
        <w:t xml:space="preserve"> </w:t>
      </w:r>
    </w:p>
    <w:p w14:paraId="25AE41DA" w14:textId="77777777" w:rsidR="00B222A5" w:rsidRPr="0035219A" w:rsidRDefault="00B222A5" w:rsidP="00B222A5">
      <w:pPr>
        <w:pStyle w:val="Caption"/>
        <w:spacing w:before="0" w:after="0"/>
        <w:jc w:val="both"/>
        <w:rPr>
          <w:b w:val="0"/>
          <w:bCs/>
          <w:szCs w:val="16"/>
        </w:rPr>
      </w:pPr>
      <w:r w:rsidRPr="0035219A">
        <w:rPr>
          <w:b w:val="0"/>
          <w:bCs/>
          <w:szCs w:val="16"/>
        </w:rPr>
        <w:t>Source: SATIMGE</w:t>
      </w:r>
    </w:p>
    <w:p w14:paraId="6FEBA2FD" w14:textId="116901C6" w:rsidR="009D4D79" w:rsidRDefault="009D4D79" w:rsidP="009D4D79">
      <w:pPr>
        <w:pStyle w:val="Heading2"/>
        <w:numPr>
          <w:ilvl w:val="2"/>
          <w:numId w:val="2"/>
        </w:numPr>
        <w:spacing w:after="120"/>
      </w:pPr>
      <w:r>
        <w:t>Transport sector emissions</w:t>
      </w:r>
    </w:p>
    <w:p w14:paraId="067A4169" w14:textId="288089AE" w:rsidR="005008C5" w:rsidRDefault="00ED25CC" w:rsidP="009D4D79">
      <w:r>
        <w:t xml:space="preserve">Figure </w:t>
      </w:r>
      <w:r w:rsidR="001C62E1">
        <w:t>1</w:t>
      </w:r>
      <w:r w:rsidR="0006096A">
        <w:t>4</w:t>
      </w:r>
      <w:r>
        <w:t xml:space="preserve"> presents </w:t>
      </w:r>
      <w:r w:rsidR="00B434D7">
        <w:t xml:space="preserve">total annual </w:t>
      </w:r>
      <w:r>
        <w:t>CO</w:t>
      </w:r>
      <w:r w:rsidRPr="00ED25CC">
        <w:rPr>
          <w:vertAlign w:val="subscript"/>
        </w:rPr>
        <w:t>2</w:t>
      </w:r>
      <w:r w:rsidR="00904948">
        <w:t>-e</w:t>
      </w:r>
      <w:r>
        <w:t xml:space="preserve">q </w:t>
      </w:r>
      <w:r w:rsidRPr="00904948">
        <w:t>energy</w:t>
      </w:r>
      <w:r w:rsidR="00904948">
        <w:t>-related</w:t>
      </w:r>
      <w:r w:rsidRPr="00904948">
        <w:t xml:space="preserve"> emissions</w:t>
      </w:r>
      <w:r>
        <w:t xml:space="preserve"> by sector for the two scenarios. </w:t>
      </w:r>
      <w:r w:rsidR="00DE5A0F">
        <w:t xml:space="preserve">The transport sector </w:t>
      </w:r>
      <w:r w:rsidR="00B434D7">
        <w:t xml:space="preserve">emissions </w:t>
      </w:r>
      <w:r w:rsidR="00DE5A0F">
        <w:t xml:space="preserve">are </w:t>
      </w:r>
      <w:r w:rsidR="00B434D7">
        <w:t>47</w:t>
      </w:r>
      <w:r w:rsidR="00DE5A0F">
        <w:t>% lower in the EV-</w:t>
      </w:r>
      <w:r w:rsidR="00B434D7">
        <w:t xml:space="preserve">IN </w:t>
      </w:r>
      <w:r w:rsidR="00DE5A0F">
        <w:t>scenario relative to the EV-OUT scenario</w:t>
      </w:r>
      <w:r w:rsidR="00B434D7">
        <w:t>. With the assumption of the retirement of Secunda in both scenarios, refinery sector emissions are not very different</w:t>
      </w:r>
      <w:r w:rsidR="00DE5A0F">
        <w:t xml:space="preserve">. </w:t>
      </w:r>
      <w:r w:rsidR="00B434D7">
        <w:t xml:space="preserve">The power sector emissions in the EV-IN scenario </w:t>
      </w:r>
      <w:r w:rsidR="00BD7259">
        <w:t>are</w:t>
      </w:r>
      <w:r w:rsidR="00B434D7">
        <w:t xml:space="preserve"> </w:t>
      </w:r>
      <w:r w:rsidR="00E84E4F">
        <w:t>2% higher. Overall, emissions are 12% lower in the EV-IN scenario.</w:t>
      </w:r>
      <w:r w:rsidR="00B434D7">
        <w:t xml:space="preserve"> </w:t>
      </w:r>
    </w:p>
    <w:p w14:paraId="001684EF" w14:textId="77777777" w:rsidR="00D23CC7" w:rsidRDefault="00D23CC7" w:rsidP="005C6FA5">
      <w:pPr>
        <w:keepNext/>
        <w:jc w:val="center"/>
      </w:pPr>
      <w:r>
        <w:rPr>
          <w:noProof/>
          <w:lang w:val="en-GB" w:eastAsia="en-GB"/>
        </w:rPr>
        <w:drawing>
          <wp:inline distT="0" distB="0" distL="0" distR="0" wp14:anchorId="29068F73" wp14:editId="43296918">
            <wp:extent cx="5063414" cy="2971616"/>
            <wp:effectExtent l="0" t="0" r="4445" b="63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073641" cy="2977618"/>
                    </a:xfrm>
                    <a:prstGeom prst="rect">
                      <a:avLst/>
                    </a:prstGeom>
                  </pic:spPr>
                </pic:pic>
              </a:graphicData>
            </a:graphic>
          </wp:inline>
        </w:drawing>
      </w:r>
    </w:p>
    <w:p w14:paraId="3762BC61" w14:textId="0EA2F7B8" w:rsidR="00D23CC7" w:rsidRDefault="00D23CC7" w:rsidP="00B222A5">
      <w:pPr>
        <w:pStyle w:val="Caption"/>
        <w:spacing w:before="0" w:after="0"/>
        <w:jc w:val="both"/>
        <w:rPr>
          <w:noProof/>
        </w:rPr>
      </w:pPr>
      <w:r>
        <w:t xml:space="preserve">Figure </w:t>
      </w:r>
      <w:r w:rsidR="001C1DBB">
        <w:rPr>
          <w:noProof/>
        </w:rPr>
        <w:t>1</w:t>
      </w:r>
      <w:r w:rsidR="0006096A">
        <w:rPr>
          <w:noProof/>
        </w:rPr>
        <w:t>4</w:t>
      </w:r>
      <w:r w:rsidR="00BD7259">
        <w:rPr>
          <w:noProof/>
        </w:rPr>
        <w:t>:</w:t>
      </w:r>
      <w:r>
        <w:t xml:space="preserve"> </w:t>
      </w:r>
      <w:r w:rsidR="00F83087" w:rsidRPr="00904948">
        <w:t>Energy</w:t>
      </w:r>
      <w:r w:rsidR="00904948">
        <w:t>-related</w:t>
      </w:r>
      <w:r w:rsidR="00F83087" w:rsidRPr="00904948">
        <w:t xml:space="preserve"> em</w:t>
      </w:r>
      <w:r w:rsidR="00F83087">
        <w:t>issions by sector</w:t>
      </w:r>
      <w:r w:rsidR="00F83087">
        <w:rPr>
          <w:noProof/>
        </w:rPr>
        <w:t xml:space="preserve"> with (EV-</w:t>
      </w:r>
      <w:r w:rsidR="00E84E4F">
        <w:rPr>
          <w:noProof/>
        </w:rPr>
        <w:t>IN</w:t>
      </w:r>
      <w:r w:rsidR="00F83087">
        <w:rPr>
          <w:noProof/>
        </w:rPr>
        <w:t>) and without (EV-</w:t>
      </w:r>
      <w:r w:rsidR="00E84E4F">
        <w:rPr>
          <w:noProof/>
        </w:rPr>
        <w:t>OUT</w:t>
      </w:r>
      <w:r w:rsidR="00F83087">
        <w:rPr>
          <w:noProof/>
        </w:rPr>
        <w:t>) EV adoption</w:t>
      </w:r>
    </w:p>
    <w:p w14:paraId="663E24F6" w14:textId="77777777" w:rsidR="00B222A5" w:rsidRPr="0035219A" w:rsidRDefault="00B222A5" w:rsidP="00B222A5">
      <w:pPr>
        <w:pStyle w:val="Caption"/>
        <w:spacing w:before="0" w:after="0"/>
        <w:jc w:val="both"/>
        <w:rPr>
          <w:b w:val="0"/>
          <w:bCs/>
          <w:szCs w:val="16"/>
        </w:rPr>
      </w:pPr>
      <w:r w:rsidRPr="0035219A">
        <w:rPr>
          <w:b w:val="0"/>
          <w:bCs/>
          <w:szCs w:val="16"/>
        </w:rPr>
        <w:t>Source: SATIMGE</w:t>
      </w:r>
    </w:p>
    <w:p w14:paraId="3A0C2338" w14:textId="78259FBC" w:rsidR="009D4D79" w:rsidRDefault="008B3DF3" w:rsidP="009D4D79">
      <w:pPr>
        <w:pStyle w:val="Heading2"/>
        <w:numPr>
          <w:ilvl w:val="2"/>
          <w:numId w:val="2"/>
        </w:numPr>
        <w:spacing w:after="120"/>
      </w:pPr>
      <w:r>
        <w:t>Economic impact</w:t>
      </w:r>
    </w:p>
    <w:p w14:paraId="0C3C8E10" w14:textId="10EB5BFA" w:rsidR="0020095B" w:rsidRDefault="004E57DE" w:rsidP="009D4D79">
      <w:r>
        <w:t xml:space="preserve">Table </w:t>
      </w:r>
      <w:r w:rsidR="001C62E1">
        <w:t>1</w:t>
      </w:r>
      <w:r>
        <w:t xml:space="preserve"> presents the economic impact of EV adoption by 2030 and 2050. The results show that</w:t>
      </w:r>
      <w:r w:rsidR="009E291B">
        <w:t>,</w:t>
      </w:r>
      <w:r>
        <w:t xml:space="preserve"> </w:t>
      </w:r>
      <w:r w:rsidR="008B43D4">
        <w:t>in the medium term</w:t>
      </w:r>
      <w:r w:rsidR="009E291B">
        <w:t>,</w:t>
      </w:r>
      <w:r w:rsidR="008B43D4">
        <w:t xml:space="preserve"> the switch from ICE to EVs has a small negative impact on GDP and employment. The level of real GDP by 2030 is 0.09% lower</w:t>
      </w:r>
      <w:r w:rsidR="009E291B">
        <w:t>,</w:t>
      </w:r>
      <w:r w:rsidR="008B43D4">
        <w:t xml:space="preserve"> whilst 21</w:t>
      </w:r>
      <w:r w:rsidR="005361AC">
        <w:t xml:space="preserve"> 000</w:t>
      </w:r>
      <w:r w:rsidR="008B43D4">
        <w:t xml:space="preserve"> fewer people are employed. The short-term negative impact is driven by a crowding</w:t>
      </w:r>
      <w:r w:rsidR="009E291B">
        <w:t>-</w:t>
      </w:r>
      <w:r w:rsidR="008B43D4">
        <w:t>out of investment by the electricity sector</w:t>
      </w:r>
      <w:r w:rsidR="00887666">
        <w:t xml:space="preserve"> explaining the decline in GVA across all sectors. </w:t>
      </w:r>
      <w:r w:rsidR="006D3432">
        <w:t>EV adoption increases the demand for electricity resulting in</w:t>
      </w:r>
      <w:r w:rsidR="006D3432" w:rsidRPr="00E136B9">
        <w:rPr>
          <w:sz w:val="22"/>
          <w:szCs w:val="22"/>
        </w:rPr>
        <w:t xml:space="preserve"> increased </w:t>
      </w:r>
      <w:r w:rsidR="006D3432">
        <w:t>capacity to support supply. Electricity investment increases by 7.0% per annum between 2018 and 2030 in the EV-in scenario</w:t>
      </w:r>
      <w:r w:rsidR="00EA7711">
        <w:t>,</w:t>
      </w:r>
      <w:r w:rsidR="006D3432">
        <w:t xml:space="preserve"> </w:t>
      </w:r>
      <w:r w:rsidR="00EA7711">
        <w:t>compared</w:t>
      </w:r>
      <w:r w:rsidR="006D3432">
        <w:t xml:space="preserve"> to 6.9% in the EV-out scenario. Cumulative investment is R20.6 billion higher in the EV-in scenario by 2030.</w:t>
      </w:r>
    </w:p>
    <w:p w14:paraId="06EB91A4" w14:textId="0B467866" w:rsidR="006D3432" w:rsidRDefault="006D3432" w:rsidP="009D4D79">
      <w:r>
        <w:t>Over the longer</w:t>
      </w:r>
      <w:r w:rsidR="00EA7711">
        <w:t xml:space="preserve"> </w:t>
      </w:r>
      <w:r>
        <w:t>term, however, the adoption of EVs leads to higher real GDP (~0.4%)</w:t>
      </w:r>
      <w:r w:rsidR="00EA7711">
        <w:t>,</w:t>
      </w:r>
      <w:r>
        <w:t xml:space="preserve"> with 410 000 additional jobs being created relative to a scenario of no EV adoption. </w:t>
      </w:r>
      <w:r w:rsidR="00A36AC9">
        <w:t>The decline in demand for petrol results in a decrease in imports relative to the EV-out scenario. This results in a stronger exchange rate</w:t>
      </w:r>
      <w:r w:rsidR="00EA7711">
        <w:t>,</w:t>
      </w:r>
      <w:r w:rsidR="00A36AC9">
        <w:t xml:space="preserve"> which negatively affects tradeable sectors</w:t>
      </w:r>
      <w:r w:rsidR="00EA7711">
        <w:t>,</w:t>
      </w:r>
      <w:r w:rsidR="00A36AC9">
        <w:t xml:space="preserve"> as can be seen by the GVA decline in mining, chemicals and other manufacturing.</w:t>
      </w:r>
      <w:r w:rsidR="00C85451">
        <w:t xml:space="preserve"> </w:t>
      </w:r>
      <w:r w:rsidR="00DE4B5F">
        <w:t>The switch to EVs reduces household expenditure on fuel</w:t>
      </w:r>
      <w:r w:rsidR="004648C0">
        <w:t xml:space="preserve"> (see Figure </w:t>
      </w:r>
      <w:r w:rsidR="001C62E1">
        <w:t>1</w:t>
      </w:r>
      <w:r w:rsidR="0006096A">
        <w:t>5</w:t>
      </w:r>
      <w:r w:rsidR="004648C0">
        <w:t>)</w:t>
      </w:r>
      <w:r w:rsidR="00EA7711">
        <w:t>.</w:t>
      </w:r>
      <w:r w:rsidR="0061395B">
        <w:rPr>
          <w:rStyle w:val="FootnoteReference"/>
        </w:rPr>
        <w:footnoteReference w:id="4"/>
      </w:r>
      <w:r w:rsidR="00DE4B5F">
        <w:t xml:space="preserve"> The decline in fuel consumption</w:t>
      </w:r>
      <w:r w:rsidR="00447311">
        <w:t>, with no rebound,</w:t>
      </w:r>
      <w:r w:rsidR="00DE4B5F">
        <w:t xml:space="preserve"> enables increased consumption </w:t>
      </w:r>
      <w:r w:rsidR="00EA7711">
        <w:t xml:space="preserve">of </w:t>
      </w:r>
      <w:r w:rsidR="00DE4B5F">
        <w:t>other goods and services.</w:t>
      </w:r>
      <w:r w:rsidR="00C85451">
        <w:t xml:space="preserve"> Sectors providing these goods and services, and </w:t>
      </w:r>
      <w:r w:rsidR="00EA7711">
        <w:t xml:space="preserve">those </w:t>
      </w:r>
      <w:r w:rsidR="00C85451">
        <w:t>closely related</w:t>
      </w:r>
      <w:r w:rsidR="00EA7711">
        <w:t xml:space="preserve"> to them</w:t>
      </w:r>
      <w:r w:rsidR="00C85451">
        <w:t>, experience an increase in GVA.</w:t>
      </w:r>
    </w:p>
    <w:p w14:paraId="6FCCB8F4" w14:textId="29859C79" w:rsidR="00F10C2A" w:rsidRDefault="00F10C2A" w:rsidP="009D4D79">
      <w:r>
        <w:t xml:space="preserve">While not presented here, government indirect revenues increase in the EV-in scenario relative to the EV-out scenario despite lower fuel sales. The rise in revenues </w:t>
      </w:r>
      <w:r w:rsidR="00EA7711">
        <w:t>is</w:t>
      </w:r>
      <w:r>
        <w:t xml:space="preserve"> the result of increased household spending which increases revenues from sales taxes such as VAT.</w:t>
      </w:r>
    </w:p>
    <w:p w14:paraId="6C0E92B7" w14:textId="43CC99E6" w:rsidR="0020095B" w:rsidRDefault="0020095B" w:rsidP="00E136B9">
      <w:pPr>
        <w:pStyle w:val="Caption-figure"/>
        <w:spacing w:before="240" w:after="120"/>
      </w:pPr>
      <w:r>
        <w:t xml:space="preserve">Table </w:t>
      </w:r>
      <w:r w:rsidR="00580066">
        <w:rPr>
          <w:noProof/>
        </w:rPr>
        <w:t>1</w:t>
      </w:r>
      <w:r w:rsidR="00663098">
        <w:rPr>
          <w:noProof/>
        </w:rPr>
        <w:t>:</w:t>
      </w:r>
      <w:r>
        <w:t xml:space="preserve"> GDP and employment impact – EV-in relative to EV-out</w:t>
      </w:r>
      <w:r w:rsidR="00DF6CB0">
        <w:t xml:space="preserve"> </w:t>
      </w:r>
    </w:p>
    <w:tbl>
      <w:tblPr>
        <w:tblStyle w:val="GridTable4-Accent61"/>
        <w:tblW w:w="9310" w:type="dxa"/>
        <w:tblLook w:val="04A0" w:firstRow="1" w:lastRow="0" w:firstColumn="1" w:lastColumn="0" w:noHBand="0" w:noVBand="1"/>
      </w:tblPr>
      <w:tblGrid>
        <w:gridCol w:w="3134"/>
        <w:gridCol w:w="1544"/>
        <w:gridCol w:w="1559"/>
        <w:gridCol w:w="1418"/>
        <w:gridCol w:w="1655"/>
      </w:tblGrid>
      <w:tr w:rsidR="008B3DF3" w:rsidRPr="001028DC" w14:paraId="3D35711C" w14:textId="77777777" w:rsidTr="00E136B9">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3134" w:type="dxa"/>
            <w:shd w:val="clear" w:color="auto" w:fill="44546A" w:themeFill="text2"/>
            <w:noWrap/>
            <w:hideMark/>
          </w:tcPr>
          <w:p w14:paraId="70969F99" w14:textId="77777777" w:rsidR="008B3DF3" w:rsidRPr="00E136B9" w:rsidRDefault="008B3DF3" w:rsidP="00E136B9">
            <w:pPr>
              <w:pStyle w:val="tableheading"/>
              <w:spacing w:before="96" w:after="96"/>
              <w:rPr>
                <w:i/>
                <w:lang w:eastAsia="en-ZA"/>
              </w:rPr>
            </w:pPr>
            <w:r w:rsidRPr="00E136B9">
              <w:rPr>
                <w:b/>
                <w:i/>
                <w:lang w:eastAsia="en-ZA"/>
              </w:rPr>
              <w:t> </w:t>
            </w:r>
          </w:p>
        </w:tc>
        <w:tc>
          <w:tcPr>
            <w:tcW w:w="3103" w:type="dxa"/>
            <w:gridSpan w:val="2"/>
            <w:shd w:val="clear" w:color="auto" w:fill="44546A" w:themeFill="text2"/>
            <w:noWrap/>
            <w:hideMark/>
          </w:tcPr>
          <w:p w14:paraId="5D75944F" w14:textId="1853C872" w:rsidR="008B3DF3" w:rsidRPr="00E136B9" w:rsidRDefault="00D80D8A" w:rsidP="00E136B9">
            <w:pPr>
              <w:pStyle w:val="tableheading"/>
              <w:cnfStyle w:val="100000000000" w:firstRow="1" w:lastRow="0" w:firstColumn="0" w:lastColumn="0" w:oddVBand="0" w:evenVBand="0" w:oddHBand="0" w:evenHBand="0" w:firstRowFirstColumn="0" w:firstRowLastColumn="0" w:lastRowFirstColumn="0" w:lastRowLastColumn="0"/>
              <w:rPr>
                <w:i/>
                <w:lang w:eastAsia="en-ZA"/>
              </w:rPr>
            </w:pPr>
            <w:r w:rsidRPr="0095440C">
              <w:rPr>
                <w:b/>
                <w:i/>
                <w:lang w:eastAsia="en-ZA"/>
              </w:rPr>
              <w:t>Change in</w:t>
            </w:r>
            <w:r w:rsidRPr="00E136B9">
              <w:rPr>
                <w:b/>
                <w:i/>
                <w:lang w:eastAsia="en-ZA"/>
              </w:rPr>
              <w:t xml:space="preserve"> </w:t>
            </w:r>
            <w:r>
              <w:rPr>
                <w:i/>
                <w:lang w:eastAsia="en-ZA"/>
              </w:rPr>
              <w:t xml:space="preserve"> </w:t>
            </w:r>
            <w:r w:rsidR="008B3DF3" w:rsidRPr="00E136B9">
              <w:rPr>
                <w:b/>
                <w:i/>
                <w:lang w:eastAsia="en-ZA"/>
              </w:rPr>
              <w:t>GDP level (%)</w:t>
            </w:r>
          </w:p>
        </w:tc>
        <w:tc>
          <w:tcPr>
            <w:tcW w:w="3073" w:type="dxa"/>
            <w:gridSpan w:val="2"/>
            <w:shd w:val="clear" w:color="auto" w:fill="44546A" w:themeFill="text2"/>
            <w:noWrap/>
            <w:hideMark/>
          </w:tcPr>
          <w:p w14:paraId="02C791EA" w14:textId="1B38EE6A" w:rsidR="008B3DF3" w:rsidRPr="00E136B9" w:rsidRDefault="00D80D8A" w:rsidP="00E136B9">
            <w:pPr>
              <w:pStyle w:val="tableheading"/>
              <w:cnfStyle w:val="100000000000" w:firstRow="1" w:lastRow="0" w:firstColumn="0" w:lastColumn="0" w:oddVBand="0" w:evenVBand="0" w:oddHBand="0" w:evenHBand="0" w:firstRowFirstColumn="0" w:firstRowLastColumn="0" w:lastRowFirstColumn="0" w:lastRowLastColumn="0"/>
              <w:rPr>
                <w:i/>
                <w:lang w:eastAsia="en-ZA"/>
              </w:rPr>
            </w:pPr>
            <w:r w:rsidRPr="0095440C">
              <w:rPr>
                <w:b/>
                <w:i/>
                <w:lang w:eastAsia="en-ZA"/>
              </w:rPr>
              <w:t>Change in</w:t>
            </w:r>
            <w:r w:rsidRPr="00E136B9">
              <w:rPr>
                <w:b/>
                <w:i/>
                <w:lang w:eastAsia="en-ZA"/>
              </w:rPr>
              <w:t xml:space="preserve"> </w:t>
            </w:r>
            <w:r>
              <w:rPr>
                <w:i/>
                <w:lang w:eastAsia="en-ZA"/>
              </w:rPr>
              <w:t>e</w:t>
            </w:r>
            <w:r w:rsidR="008B3DF3" w:rsidRPr="00E136B9">
              <w:rPr>
                <w:b/>
                <w:i/>
                <w:lang w:eastAsia="en-ZA"/>
              </w:rPr>
              <w:t>mployment</w:t>
            </w:r>
          </w:p>
        </w:tc>
      </w:tr>
      <w:tr w:rsidR="002951DB" w:rsidRPr="001028DC" w14:paraId="632662DD" w14:textId="77777777" w:rsidTr="00E136B9">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3134" w:type="dxa"/>
            <w:shd w:val="clear" w:color="auto" w:fill="44546A" w:themeFill="text2"/>
            <w:noWrap/>
            <w:hideMark/>
          </w:tcPr>
          <w:p w14:paraId="4641145E" w14:textId="77777777" w:rsidR="008B3DF3" w:rsidRPr="00E136B9" w:rsidRDefault="008B3DF3" w:rsidP="00E136B9">
            <w:pPr>
              <w:pStyle w:val="tableheading"/>
              <w:spacing w:before="96" w:after="96"/>
              <w:rPr>
                <w:i/>
                <w:lang w:eastAsia="en-ZA"/>
              </w:rPr>
            </w:pPr>
            <w:r w:rsidRPr="00E136B9">
              <w:rPr>
                <w:b/>
                <w:i/>
                <w:lang w:eastAsia="en-ZA"/>
              </w:rPr>
              <w:t> </w:t>
            </w:r>
          </w:p>
        </w:tc>
        <w:tc>
          <w:tcPr>
            <w:tcW w:w="1544" w:type="dxa"/>
            <w:shd w:val="clear" w:color="auto" w:fill="44546A" w:themeFill="text2"/>
            <w:noWrap/>
            <w:hideMark/>
          </w:tcPr>
          <w:p w14:paraId="49B738C8" w14:textId="77777777" w:rsidR="008B3DF3" w:rsidRPr="00E136B9" w:rsidRDefault="008B3DF3" w:rsidP="00E136B9">
            <w:pPr>
              <w:pStyle w:val="tableheading"/>
              <w:cnfStyle w:val="100000000000" w:firstRow="1" w:lastRow="0" w:firstColumn="0" w:lastColumn="0" w:oddVBand="0" w:evenVBand="0" w:oddHBand="0" w:evenHBand="0" w:firstRowFirstColumn="0" w:firstRowLastColumn="0" w:lastRowFirstColumn="0" w:lastRowLastColumn="0"/>
              <w:rPr>
                <w:i/>
                <w:lang w:eastAsia="en-ZA"/>
              </w:rPr>
            </w:pPr>
            <w:r w:rsidRPr="00E136B9">
              <w:rPr>
                <w:b/>
                <w:i/>
                <w:lang w:eastAsia="en-ZA"/>
              </w:rPr>
              <w:t>2030</w:t>
            </w:r>
          </w:p>
        </w:tc>
        <w:tc>
          <w:tcPr>
            <w:tcW w:w="1559" w:type="dxa"/>
            <w:shd w:val="clear" w:color="auto" w:fill="44546A" w:themeFill="text2"/>
            <w:noWrap/>
            <w:hideMark/>
          </w:tcPr>
          <w:p w14:paraId="150A3A4F" w14:textId="77777777" w:rsidR="008B3DF3" w:rsidRPr="00E136B9" w:rsidRDefault="008B3DF3" w:rsidP="00E136B9">
            <w:pPr>
              <w:pStyle w:val="tableheading"/>
              <w:cnfStyle w:val="100000000000" w:firstRow="1" w:lastRow="0" w:firstColumn="0" w:lastColumn="0" w:oddVBand="0" w:evenVBand="0" w:oddHBand="0" w:evenHBand="0" w:firstRowFirstColumn="0" w:firstRowLastColumn="0" w:lastRowFirstColumn="0" w:lastRowLastColumn="0"/>
              <w:rPr>
                <w:i/>
                <w:lang w:eastAsia="en-ZA"/>
              </w:rPr>
            </w:pPr>
            <w:r w:rsidRPr="00E136B9">
              <w:rPr>
                <w:b/>
                <w:i/>
                <w:lang w:eastAsia="en-ZA"/>
              </w:rPr>
              <w:t>2050</w:t>
            </w:r>
          </w:p>
        </w:tc>
        <w:tc>
          <w:tcPr>
            <w:tcW w:w="1418" w:type="dxa"/>
            <w:shd w:val="clear" w:color="auto" w:fill="44546A" w:themeFill="text2"/>
            <w:noWrap/>
            <w:hideMark/>
          </w:tcPr>
          <w:p w14:paraId="446BA085" w14:textId="77777777" w:rsidR="008B3DF3" w:rsidRPr="00E136B9" w:rsidRDefault="008B3DF3" w:rsidP="00E136B9">
            <w:pPr>
              <w:pStyle w:val="tableheading"/>
              <w:cnfStyle w:val="100000000000" w:firstRow="1" w:lastRow="0" w:firstColumn="0" w:lastColumn="0" w:oddVBand="0" w:evenVBand="0" w:oddHBand="0" w:evenHBand="0" w:firstRowFirstColumn="0" w:firstRowLastColumn="0" w:lastRowFirstColumn="0" w:lastRowLastColumn="0"/>
              <w:rPr>
                <w:i/>
                <w:lang w:eastAsia="en-ZA"/>
              </w:rPr>
            </w:pPr>
            <w:r w:rsidRPr="00E136B9">
              <w:rPr>
                <w:b/>
                <w:i/>
                <w:lang w:eastAsia="en-ZA"/>
              </w:rPr>
              <w:t>2030</w:t>
            </w:r>
          </w:p>
        </w:tc>
        <w:tc>
          <w:tcPr>
            <w:tcW w:w="1655" w:type="dxa"/>
            <w:shd w:val="clear" w:color="auto" w:fill="44546A" w:themeFill="text2"/>
            <w:noWrap/>
            <w:hideMark/>
          </w:tcPr>
          <w:p w14:paraId="6FF9F484" w14:textId="77777777" w:rsidR="008B3DF3" w:rsidRPr="00E136B9" w:rsidRDefault="008B3DF3" w:rsidP="00E136B9">
            <w:pPr>
              <w:pStyle w:val="tableheading"/>
              <w:cnfStyle w:val="100000000000" w:firstRow="1" w:lastRow="0" w:firstColumn="0" w:lastColumn="0" w:oddVBand="0" w:evenVBand="0" w:oddHBand="0" w:evenHBand="0" w:firstRowFirstColumn="0" w:firstRowLastColumn="0" w:lastRowFirstColumn="0" w:lastRowLastColumn="0"/>
              <w:rPr>
                <w:i/>
                <w:lang w:eastAsia="en-ZA"/>
              </w:rPr>
            </w:pPr>
            <w:r w:rsidRPr="00E136B9">
              <w:rPr>
                <w:b/>
                <w:i/>
                <w:lang w:eastAsia="en-ZA"/>
              </w:rPr>
              <w:t>2050</w:t>
            </w:r>
          </w:p>
        </w:tc>
      </w:tr>
      <w:tr w:rsidR="00310A2E" w:rsidRPr="001028DC" w14:paraId="4D9547E8" w14:textId="77777777" w:rsidTr="00E136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34" w:type="dxa"/>
            <w:noWrap/>
            <w:hideMark/>
          </w:tcPr>
          <w:p w14:paraId="52AB9C50" w14:textId="77777777" w:rsidR="00310A2E" w:rsidRPr="008B3DF3" w:rsidRDefault="00310A2E" w:rsidP="00E136B9">
            <w:pPr>
              <w:spacing w:beforeLines="20" w:before="48" w:afterLines="20" w:after="48"/>
              <w:jc w:val="left"/>
              <w:rPr>
                <w:rFonts w:eastAsia="Times New Roman" w:cstheme="minorHAnsi"/>
                <w:color w:val="000000"/>
                <w:lang w:eastAsia="en-ZA"/>
              </w:rPr>
            </w:pPr>
            <w:r w:rsidRPr="008B3DF3">
              <w:rPr>
                <w:rFonts w:eastAsia="Times New Roman" w:cstheme="minorHAnsi"/>
                <w:color w:val="000000"/>
                <w:lang w:eastAsia="en-ZA"/>
              </w:rPr>
              <w:t>GDP</w:t>
            </w:r>
          </w:p>
        </w:tc>
        <w:tc>
          <w:tcPr>
            <w:tcW w:w="1544" w:type="dxa"/>
            <w:noWrap/>
            <w:hideMark/>
          </w:tcPr>
          <w:p w14:paraId="1C9895B6" w14:textId="77777777" w:rsidR="00310A2E" w:rsidRPr="008B3DF3" w:rsidRDefault="00310A2E" w:rsidP="00E136B9">
            <w:pPr>
              <w:spacing w:beforeLines="20" w:before="48" w:afterLines="20" w:after="48"/>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lang w:eastAsia="en-ZA"/>
              </w:rPr>
            </w:pPr>
            <w:r w:rsidRPr="008B3DF3">
              <w:rPr>
                <w:rFonts w:eastAsia="Times New Roman" w:cstheme="minorHAnsi"/>
                <w:color w:val="000000"/>
                <w:lang w:eastAsia="en-ZA"/>
              </w:rPr>
              <w:t>-0.09</w:t>
            </w:r>
          </w:p>
        </w:tc>
        <w:tc>
          <w:tcPr>
            <w:tcW w:w="1559" w:type="dxa"/>
            <w:noWrap/>
            <w:hideMark/>
          </w:tcPr>
          <w:p w14:paraId="24B42922" w14:textId="77777777" w:rsidR="00310A2E" w:rsidRPr="008B3DF3" w:rsidRDefault="00310A2E" w:rsidP="00E136B9">
            <w:pPr>
              <w:spacing w:beforeLines="20" w:before="48" w:afterLines="20" w:after="48"/>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lang w:eastAsia="en-ZA"/>
              </w:rPr>
            </w:pPr>
            <w:r w:rsidRPr="008B3DF3">
              <w:rPr>
                <w:rFonts w:eastAsia="Times New Roman" w:cstheme="minorHAnsi"/>
                <w:color w:val="000000"/>
                <w:lang w:eastAsia="en-ZA"/>
              </w:rPr>
              <w:t>0.37</w:t>
            </w:r>
          </w:p>
        </w:tc>
        <w:tc>
          <w:tcPr>
            <w:tcW w:w="1418" w:type="dxa"/>
            <w:noWrap/>
            <w:hideMark/>
          </w:tcPr>
          <w:p w14:paraId="2E9AB1CE" w14:textId="3625C62F" w:rsidR="00310A2E" w:rsidRPr="008B3DF3" w:rsidRDefault="00310A2E" w:rsidP="00E136B9">
            <w:pPr>
              <w:spacing w:beforeLines="20" w:before="48" w:afterLines="20" w:after="48"/>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lang w:eastAsia="en-ZA"/>
              </w:rPr>
            </w:pPr>
            <w:r w:rsidRPr="0009552F">
              <w:t>-20 761</w:t>
            </w:r>
          </w:p>
        </w:tc>
        <w:tc>
          <w:tcPr>
            <w:tcW w:w="1655" w:type="dxa"/>
            <w:noWrap/>
            <w:hideMark/>
          </w:tcPr>
          <w:p w14:paraId="7FA3E501" w14:textId="06D30447" w:rsidR="00310A2E" w:rsidRPr="008B3DF3" w:rsidRDefault="00310A2E" w:rsidP="00E136B9">
            <w:pPr>
              <w:spacing w:beforeLines="20" w:before="48" w:afterLines="20" w:after="48"/>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lang w:eastAsia="en-ZA"/>
              </w:rPr>
            </w:pPr>
            <w:r w:rsidRPr="0009552F">
              <w:t>410 210</w:t>
            </w:r>
          </w:p>
        </w:tc>
      </w:tr>
      <w:tr w:rsidR="00310A2E" w:rsidRPr="001028DC" w14:paraId="3C57AB6B" w14:textId="77777777" w:rsidTr="00E136B9">
        <w:tc>
          <w:tcPr>
            <w:cnfStyle w:val="001000000000" w:firstRow="0" w:lastRow="0" w:firstColumn="1" w:lastColumn="0" w:oddVBand="0" w:evenVBand="0" w:oddHBand="0" w:evenHBand="0" w:firstRowFirstColumn="0" w:firstRowLastColumn="0" w:lastRowFirstColumn="0" w:lastRowLastColumn="0"/>
            <w:tcW w:w="3134" w:type="dxa"/>
            <w:noWrap/>
            <w:hideMark/>
          </w:tcPr>
          <w:p w14:paraId="72F46286" w14:textId="77777777" w:rsidR="00310A2E" w:rsidRPr="008B3DF3" w:rsidRDefault="00310A2E" w:rsidP="00E136B9">
            <w:pPr>
              <w:spacing w:beforeLines="20" w:before="48" w:afterLines="20" w:after="48"/>
              <w:ind w:firstLineChars="100" w:firstLine="200"/>
              <w:jc w:val="left"/>
              <w:rPr>
                <w:rFonts w:eastAsia="Times New Roman" w:cstheme="minorHAnsi"/>
                <w:color w:val="000000"/>
                <w:lang w:eastAsia="en-ZA"/>
              </w:rPr>
            </w:pPr>
            <w:r w:rsidRPr="008B3DF3">
              <w:rPr>
                <w:rFonts w:eastAsia="Times New Roman" w:cstheme="minorHAnsi"/>
                <w:color w:val="000000"/>
                <w:lang w:eastAsia="en-ZA"/>
              </w:rPr>
              <w:t>Agriculture</w:t>
            </w:r>
          </w:p>
        </w:tc>
        <w:tc>
          <w:tcPr>
            <w:tcW w:w="1544" w:type="dxa"/>
            <w:noWrap/>
            <w:hideMark/>
          </w:tcPr>
          <w:p w14:paraId="2474A751" w14:textId="77777777" w:rsidR="00310A2E" w:rsidRPr="008B3DF3" w:rsidRDefault="00310A2E" w:rsidP="00E136B9">
            <w:pPr>
              <w:spacing w:beforeLines="20" w:before="48" w:afterLines="20" w:after="48"/>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lang w:eastAsia="en-ZA"/>
              </w:rPr>
            </w:pPr>
            <w:r w:rsidRPr="008B3DF3">
              <w:rPr>
                <w:rFonts w:eastAsia="Times New Roman" w:cstheme="minorHAnsi"/>
                <w:color w:val="000000"/>
                <w:lang w:eastAsia="en-ZA"/>
              </w:rPr>
              <w:t>-0.45</w:t>
            </w:r>
          </w:p>
        </w:tc>
        <w:tc>
          <w:tcPr>
            <w:tcW w:w="1559" w:type="dxa"/>
            <w:noWrap/>
            <w:hideMark/>
          </w:tcPr>
          <w:p w14:paraId="2A4392FD" w14:textId="77777777" w:rsidR="00310A2E" w:rsidRPr="008B3DF3" w:rsidRDefault="00310A2E" w:rsidP="00E136B9">
            <w:pPr>
              <w:spacing w:beforeLines="20" w:before="48" w:afterLines="20" w:after="48"/>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lang w:eastAsia="en-ZA"/>
              </w:rPr>
            </w:pPr>
            <w:r w:rsidRPr="008B3DF3">
              <w:rPr>
                <w:rFonts w:eastAsia="Times New Roman" w:cstheme="minorHAnsi"/>
                <w:color w:val="000000"/>
                <w:lang w:eastAsia="en-ZA"/>
              </w:rPr>
              <w:t>-0.06</w:t>
            </w:r>
          </w:p>
        </w:tc>
        <w:tc>
          <w:tcPr>
            <w:tcW w:w="1418" w:type="dxa"/>
            <w:noWrap/>
            <w:hideMark/>
          </w:tcPr>
          <w:p w14:paraId="7D6AAF1A" w14:textId="0B26875B" w:rsidR="00310A2E" w:rsidRPr="008B3DF3" w:rsidRDefault="00310A2E" w:rsidP="00E136B9">
            <w:pPr>
              <w:spacing w:beforeLines="20" w:before="48" w:afterLines="20" w:after="48"/>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lang w:eastAsia="en-ZA"/>
              </w:rPr>
            </w:pPr>
            <w:r w:rsidRPr="0009552F">
              <w:t>-5 876</w:t>
            </w:r>
          </w:p>
        </w:tc>
        <w:tc>
          <w:tcPr>
            <w:tcW w:w="1655" w:type="dxa"/>
            <w:noWrap/>
            <w:hideMark/>
          </w:tcPr>
          <w:p w14:paraId="00CC6552" w14:textId="46760C8E" w:rsidR="00310A2E" w:rsidRPr="008B3DF3" w:rsidRDefault="00310A2E" w:rsidP="00E136B9">
            <w:pPr>
              <w:spacing w:beforeLines="20" w:before="48" w:afterLines="20" w:after="48"/>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lang w:eastAsia="en-ZA"/>
              </w:rPr>
            </w:pPr>
            <w:r w:rsidRPr="0009552F">
              <w:t>11 729</w:t>
            </w:r>
          </w:p>
        </w:tc>
      </w:tr>
      <w:tr w:rsidR="00310A2E" w:rsidRPr="001028DC" w14:paraId="26A0E85E" w14:textId="77777777" w:rsidTr="00E136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34" w:type="dxa"/>
            <w:noWrap/>
            <w:hideMark/>
          </w:tcPr>
          <w:p w14:paraId="0A57FD4B" w14:textId="77777777" w:rsidR="00310A2E" w:rsidRPr="008B3DF3" w:rsidRDefault="00310A2E" w:rsidP="00E136B9">
            <w:pPr>
              <w:spacing w:beforeLines="20" w:before="48" w:afterLines="20" w:after="48"/>
              <w:ind w:firstLineChars="100" w:firstLine="200"/>
              <w:jc w:val="left"/>
              <w:rPr>
                <w:rFonts w:eastAsia="Times New Roman" w:cstheme="minorHAnsi"/>
                <w:color w:val="000000"/>
                <w:lang w:eastAsia="en-ZA"/>
              </w:rPr>
            </w:pPr>
            <w:r w:rsidRPr="008B3DF3">
              <w:rPr>
                <w:rFonts w:eastAsia="Times New Roman" w:cstheme="minorHAnsi"/>
                <w:color w:val="000000"/>
                <w:lang w:eastAsia="en-ZA"/>
              </w:rPr>
              <w:t>Mining</w:t>
            </w:r>
          </w:p>
        </w:tc>
        <w:tc>
          <w:tcPr>
            <w:tcW w:w="1544" w:type="dxa"/>
            <w:noWrap/>
            <w:hideMark/>
          </w:tcPr>
          <w:p w14:paraId="6C9CE7E2" w14:textId="77777777" w:rsidR="00310A2E" w:rsidRPr="008B3DF3" w:rsidRDefault="00310A2E" w:rsidP="00E136B9">
            <w:pPr>
              <w:spacing w:beforeLines="20" w:before="48" w:afterLines="20" w:after="48"/>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lang w:eastAsia="en-ZA"/>
              </w:rPr>
            </w:pPr>
            <w:r w:rsidRPr="008B3DF3">
              <w:rPr>
                <w:rFonts w:eastAsia="Times New Roman" w:cstheme="minorHAnsi"/>
                <w:color w:val="000000"/>
                <w:lang w:eastAsia="en-ZA"/>
              </w:rPr>
              <w:t>-0.47</w:t>
            </w:r>
          </w:p>
        </w:tc>
        <w:tc>
          <w:tcPr>
            <w:tcW w:w="1559" w:type="dxa"/>
            <w:noWrap/>
            <w:hideMark/>
          </w:tcPr>
          <w:p w14:paraId="5A78A76F" w14:textId="77777777" w:rsidR="00310A2E" w:rsidRPr="008B3DF3" w:rsidRDefault="00310A2E" w:rsidP="00E136B9">
            <w:pPr>
              <w:spacing w:beforeLines="20" w:before="48" w:afterLines="20" w:after="48"/>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lang w:eastAsia="en-ZA"/>
              </w:rPr>
            </w:pPr>
            <w:r w:rsidRPr="008B3DF3">
              <w:rPr>
                <w:rFonts w:eastAsia="Times New Roman" w:cstheme="minorHAnsi"/>
                <w:color w:val="000000"/>
                <w:lang w:eastAsia="en-ZA"/>
              </w:rPr>
              <w:t>-4.62</w:t>
            </w:r>
          </w:p>
        </w:tc>
        <w:tc>
          <w:tcPr>
            <w:tcW w:w="1418" w:type="dxa"/>
            <w:noWrap/>
            <w:hideMark/>
          </w:tcPr>
          <w:p w14:paraId="61BC4189" w14:textId="7702989A" w:rsidR="00310A2E" w:rsidRPr="008B3DF3" w:rsidRDefault="00310A2E" w:rsidP="00E136B9">
            <w:pPr>
              <w:spacing w:beforeLines="20" w:before="48" w:afterLines="20" w:after="48"/>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lang w:eastAsia="en-ZA"/>
              </w:rPr>
            </w:pPr>
            <w:r w:rsidRPr="0009552F">
              <w:t>-3 736</w:t>
            </w:r>
          </w:p>
        </w:tc>
        <w:tc>
          <w:tcPr>
            <w:tcW w:w="1655" w:type="dxa"/>
            <w:noWrap/>
            <w:hideMark/>
          </w:tcPr>
          <w:p w14:paraId="0E2B1A69" w14:textId="118D2BD7" w:rsidR="00310A2E" w:rsidRPr="008B3DF3" w:rsidRDefault="00310A2E" w:rsidP="00E136B9">
            <w:pPr>
              <w:spacing w:beforeLines="20" w:before="48" w:afterLines="20" w:after="48"/>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lang w:eastAsia="en-ZA"/>
              </w:rPr>
            </w:pPr>
            <w:r w:rsidRPr="0009552F">
              <w:t>-35 345</w:t>
            </w:r>
          </w:p>
        </w:tc>
      </w:tr>
      <w:tr w:rsidR="00310A2E" w:rsidRPr="001028DC" w14:paraId="59C0CEAC" w14:textId="77777777" w:rsidTr="00E136B9">
        <w:tc>
          <w:tcPr>
            <w:cnfStyle w:val="001000000000" w:firstRow="0" w:lastRow="0" w:firstColumn="1" w:lastColumn="0" w:oddVBand="0" w:evenVBand="0" w:oddHBand="0" w:evenHBand="0" w:firstRowFirstColumn="0" w:firstRowLastColumn="0" w:lastRowFirstColumn="0" w:lastRowLastColumn="0"/>
            <w:tcW w:w="3134" w:type="dxa"/>
            <w:noWrap/>
            <w:hideMark/>
          </w:tcPr>
          <w:p w14:paraId="05FF16CC" w14:textId="77777777" w:rsidR="00310A2E" w:rsidRPr="008B3DF3" w:rsidRDefault="00310A2E" w:rsidP="00E136B9">
            <w:pPr>
              <w:spacing w:beforeLines="20" w:before="48" w:afterLines="20" w:after="48"/>
              <w:ind w:firstLineChars="100" w:firstLine="200"/>
              <w:jc w:val="left"/>
              <w:rPr>
                <w:rFonts w:eastAsia="Times New Roman" w:cstheme="minorHAnsi"/>
                <w:color w:val="000000"/>
                <w:lang w:eastAsia="en-ZA"/>
              </w:rPr>
            </w:pPr>
            <w:r w:rsidRPr="008B3DF3">
              <w:rPr>
                <w:rFonts w:eastAsia="Times New Roman" w:cstheme="minorHAnsi"/>
                <w:color w:val="000000"/>
                <w:lang w:eastAsia="en-ZA"/>
              </w:rPr>
              <w:t>Manufacturing</w:t>
            </w:r>
          </w:p>
        </w:tc>
        <w:tc>
          <w:tcPr>
            <w:tcW w:w="1544" w:type="dxa"/>
            <w:noWrap/>
            <w:hideMark/>
          </w:tcPr>
          <w:p w14:paraId="261A4FE0" w14:textId="77777777" w:rsidR="00310A2E" w:rsidRPr="008B3DF3" w:rsidRDefault="00310A2E" w:rsidP="00E136B9">
            <w:pPr>
              <w:spacing w:beforeLines="20" w:before="48" w:afterLines="20" w:after="48"/>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lang w:eastAsia="en-ZA"/>
              </w:rPr>
            </w:pPr>
            <w:r w:rsidRPr="008B3DF3">
              <w:rPr>
                <w:rFonts w:eastAsia="Times New Roman" w:cstheme="minorHAnsi"/>
                <w:color w:val="000000"/>
                <w:lang w:eastAsia="en-ZA"/>
              </w:rPr>
              <w:t>-0.17</w:t>
            </w:r>
          </w:p>
        </w:tc>
        <w:tc>
          <w:tcPr>
            <w:tcW w:w="1559" w:type="dxa"/>
            <w:noWrap/>
            <w:hideMark/>
          </w:tcPr>
          <w:p w14:paraId="5A770DF4" w14:textId="77777777" w:rsidR="00310A2E" w:rsidRPr="008B3DF3" w:rsidRDefault="00310A2E" w:rsidP="00E136B9">
            <w:pPr>
              <w:spacing w:beforeLines="20" w:before="48" w:afterLines="20" w:after="48"/>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lang w:eastAsia="en-ZA"/>
              </w:rPr>
            </w:pPr>
            <w:r w:rsidRPr="008B3DF3">
              <w:rPr>
                <w:rFonts w:eastAsia="Times New Roman" w:cstheme="minorHAnsi"/>
                <w:color w:val="000000"/>
                <w:lang w:eastAsia="en-ZA"/>
              </w:rPr>
              <w:t>-1.06</w:t>
            </w:r>
          </w:p>
        </w:tc>
        <w:tc>
          <w:tcPr>
            <w:tcW w:w="1418" w:type="dxa"/>
            <w:noWrap/>
            <w:hideMark/>
          </w:tcPr>
          <w:p w14:paraId="245F31B8" w14:textId="39F7F2CB" w:rsidR="00310A2E" w:rsidRPr="008B3DF3" w:rsidRDefault="00310A2E" w:rsidP="00E136B9">
            <w:pPr>
              <w:spacing w:beforeLines="20" w:before="48" w:afterLines="20" w:after="48"/>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lang w:eastAsia="en-ZA"/>
              </w:rPr>
            </w:pPr>
            <w:r w:rsidRPr="0009552F">
              <w:t>-9 447</w:t>
            </w:r>
          </w:p>
        </w:tc>
        <w:tc>
          <w:tcPr>
            <w:tcW w:w="1655" w:type="dxa"/>
            <w:noWrap/>
            <w:hideMark/>
          </w:tcPr>
          <w:p w14:paraId="73031EC8" w14:textId="06229726" w:rsidR="00310A2E" w:rsidRPr="008B3DF3" w:rsidRDefault="00310A2E" w:rsidP="00E136B9">
            <w:pPr>
              <w:spacing w:beforeLines="20" w:before="48" w:afterLines="20" w:after="48"/>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lang w:eastAsia="en-ZA"/>
              </w:rPr>
            </w:pPr>
            <w:r w:rsidRPr="0009552F">
              <w:t>-23 023</w:t>
            </w:r>
          </w:p>
        </w:tc>
      </w:tr>
      <w:tr w:rsidR="00310A2E" w:rsidRPr="001028DC" w14:paraId="2BEBAD46" w14:textId="77777777" w:rsidTr="00E136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34" w:type="dxa"/>
            <w:noWrap/>
            <w:hideMark/>
          </w:tcPr>
          <w:p w14:paraId="54C58B9A" w14:textId="77777777" w:rsidR="00310A2E" w:rsidRPr="008B3DF3" w:rsidRDefault="00310A2E" w:rsidP="00E136B9">
            <w:pPr>
              <w:spacing w:beforeLines="20" w:before="48" w:afterLines="20" w:after="48"/>
              <w:ind w:firstLineChars="200" w:firstLine="400"/>
              <w:jc w:val="left"/>
              <w:rPr>
                <w:rFonts w:eastAsia="Times New Roman" w:cstheme="minorHAnsi"/>
                <w:color w:val="000000"/>
                <w:lang w:eastAsia="en-ZA"/>
              </w:rPr>
            </w:pPr>
            <w:r w:rsidRPr="008B3DF3">
              <w:rPr>
                <w:rFonts w:eastAsia="Times New Roman" w:cstheme="minorHAnsi"/>
                <w:color w:val="000000"/>
                <w:lang w:eastAsia="en-ZA"/>
              </w:rPr>
              <w:t>Food and beverages</w:t>
            </w:r>
          </w:p>
        </w:tc>
        <w:tc>
          <w:tcPr>
            <w:tcW w:w="1544" w:type="dxa"/>
            <w:noWrap/>
            <w:hideMark/>
          </w:tcPr>
          <w:p w14:paraId="39897B19" w14:textId="77777777" w:rsidR="00310A2E" w:rsidRPr="008B3DF3" w:rsidRDefault="00310A2E" w:rsidP="00E136B9">
            <w:pPr>
              <w:spacing w:beforeLines="20" w:before="48" w:afterLines="20" w:after="48"/>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lang w:eastAsia="en-ZA"/>
              </w:rPr>
            </w:pPr>
            <w:r w:rsidRPr="008B3DF3">
              <w:rPr>
                <w:rFonts w:eastAsia="Times New Roman" w:cstheme="minorHAnsi"/>
                <w:color w:val="000000"/>
                <w:lang w:eastAsia="en-ZA"/>
              </w:rPr>
              <w:t>-0.42</w:t>
            </w:r>
          </w:p>
        </w:tc>
        <w:tc>
          <w:tcPr>
            <w:tcW w:w="1559" w:type="dxa"/>
            <w:noWrap/>
            <w:hideMark/>
          </w:tcPr>
          <w:p w14:paraId="6A4433FD" w14:textId="77777777" w:rsidR="00310A2E" w:rsidRPr="008B3DF3" w:rsidRDefault="00310A2E" w:rsidP="00E136B9">
            <w:pPr>
              <w:spacing w:beforeLines="20" w:before="48" w:afterLines="20" w:after="48"/>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lang w:eastAsia="en-ZA"/>
              </w:rPr>
            </w:pPr>
            <w:r w:rsidRPr="008B3DF3">
              <w:rPr>
                <w:rFonts w:eastAsia="Times New Roman" w:cstheme="minorHAnsi"/>
                <w:color w:val="000000"/>
                <w:lang w:eastAsia="en-ZA"/>
              </w:rPr>
              <w:t>0.14</w:t>
            </w:r>
          </w:p>
        </w:tc>
        <w:tc>
          <w:tcPr>
            <w:tcW w:w="1418" w:type="dxa"/>
            <w:noWrap/>
            <w:hideMark/>
          </w:tcPr>
          <w:p w14:paraId="558B5CCE" w14:textId="314AC61A" w:rsidR="00310A2E" w:rsidRPr="008B3DF3" w:rsidRDefault="00310A2E" w:rsidP="00E136B9">
            <w:pPr>
              <w:spacing w:beforeLines="20" w:before="48" w:afterLines="20" w:after="48"/>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lang w:eastAsia="en-ZA"/>
              </w:rPr>
            </w:pPr>
            <w:r w:rsidRPr="0009552F">
              <w:t>-2 310</w:t>
            </w:r>
          </w:p>
        </w:tc>
        <w:tc>
          <w:tcPr>
            <w:tcW w:w="1655" w:type="dxa"/>
            <w:noWrap/>
            <w:hideMark/>
          </w:tcPr>
          <w:p w14:paraId="5E743A41" w14:textId="0E1A1ED1" w:rsidR="00310A2E" w:rsidRPr="008B3DF3" w:rsidRDefault="00310A2E" w:rsidP="00E136B9">
            <w:pPr>
              <w:spacing w:beforeLines="20" w:before="48" w:afterLines="20" w:after="48"/>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lang w:eastAsia="en-ZA"/>
              </w:rPr>
            </w:pPr>
            <w:r w:rsidRPr="0009552F">
              <w:t>5 966</w:t>
            </w:r>
          </w:p>
        </w:tc>
      </w:tr>
      <w:tr w:rsidR="00310A2E" w:rsidRPr="001028DC" w14:paraId="5C318657" w14:textId="77777777" w:rsidTr="00E136B9">
        <w:tc>
          <w:tcPr>
            <w:cnfStyle w:val="001000000000" w:firstRow="0" w:lastRow="0" w:firstColumn="1" w:lastColumn="0" w:oddVBand="0" w:evenVBand="0" w:oddHBand="0" w:evenHBand="0" w:firstRowFirstColumn="0" w:firstRowLastColumn="0" w:lastRowFirstColumn="0" w:lastRowLastColumn="0"/>
            <w:tcW w:w="3134" w:type="dxa"/>
            <w:noWrap/>
            <w:hideMark/>
          </w:tcPr>
          <w:p w14:paraId="0B633238" w14:textId="77777777" w:rsidR="00310A2E" w:rsidRPr="008B3DF3" w:rsidRDefault="00310A2E" w:rsidP="00E136B9">
            <w:pPr>
              <w:spacing w:beforeLines="20" w:before="48" w:afterLines="20" w:after="48"/>
              <w:ind w:firstLineChars="200" w:firstLine="400"/>
              <w:jc w:val="left"/>
              <w:rPr>
                <w:rFonts w:eastAsia="Times New Roman" w:cstheme="minorHAnsi"/>
                <w:color w:val="000000"/>
                <w:lang w:eastAsia="en-ZA"/>
              </w:rPr>
            </w:pPr>
            <w:r w:rsidRPr="008B3DF3">
              <w:rPr>
                <w:rFonts w:eastAsia="Times New Roman" w:cstheme="minorHAnsi"/>
                <w:color w:val="000000"/>
                <w:lang w:eastAsia="en-ZA"/>
              </w:rPr>
              <w:t>Textiles</w:t>
            </w:r>
          </w:p>
        </w:tc>
        <w:tc>
          <w:tcPr>
            <w:tcW w:w="1544" w:type="dxa"/>
            <w:noWrap/>
            <w:hideMark/>
          </w:tcPr>
          <w:p w14:paraId="778A555F" w14:textId="77777777" w:rsidR="00310A2E" w:rsidRPr="008B3DF3" w:rsidRDefault="00310A2E" w:rsidP="00E136B9">
            <w:pPr>
              <w:spacing w:beforeLines="20" w:before="48" w:afterLines="20" w:after="48"/>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lang w:eastAsia="en-ZA"/>
              </w:rPr>
            </w:pPr>
            <w:r w:rsidRPr="008B3DF3">
              <w:rPr>
                <w:rFonts w:eastAsia="Times New Roman" w:cstheme="minorHAnsi"/>
                <w:color w:val="000000"/>
                <w:lang w:eastAsia="en-ZA"/>
              </w:rPr>
              <w:t>-0.46</w:t>
            </w:r>
          </w:p>
        </w:tc>
        <w:tc>
          <w:tcPr>
            <w:tcW w:w="1559" w:type="dxa"/>
            <w:noWrap/>
            <w:hideMark/>
          </w:tcPr>
          <w:p w14:paraId="10FA2536" w14:textId="77777777" w:rsidR="00310A2E" w:rsidRPr="008B3DF3" w:rsidRDefault="00310A2E" w:rsidP="00E136B9">
            <w:pPr>
              <w:spacing w:beforeLines="20" w:before="48" w:afterLines="20" w:after="48"/>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lang w:eastAsia="en-ZA"/>
              </w:rPr>
            </w:pPr>
            <w:r w:rsidRPr="008B3DF3">
              <w:rPr>
                <w:rFonts w:eastAsia="Times New Roman" w:cstheme="minorHAnsi"/>
                <w:color w:val="000000"/>
                <w:lang w:eastAsia="en-ZA"/>
              </w:rPr>
              <w:t>0.15</w:t>
            </w:r>
          </w:p>
        </w:tc>
        <w:tc>
          <w:tcPr>
            <w:tcW w:w="1418" w:type="dxa"/>
            <w:noWrap/>
            <w:hideMark/>
          </w:tcPr>
          <w:p w14:paraId="67723A4B" w14:textId="3F79E059" w:rsidR="00310A2E" w:rsidRPr="008B3DF3" w:rsidRDefault="00310A2E" w:rsidP="00E136B9">
            <w:pPr>
              <w:spacing w:beforeLines="20" w:before="48" w:afterLines="20" w:after="48"/>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lang w:eastAsia="en-ZA"/>
              </w:rPr>
            </w:pPr>
            <w:r w:rsidRPr="0009552F">
              <w:t>-1 853</w:t>
            </w:r>
          </w:p>
        </w:tc>
        <w:tc>
          <w:tcPr>
            <w:tcW w:w="1655" w:type="dxa"/>
            <w:noWrap/>
            <w:hideMark/>
          </w:tcPr>
          <w:p w14:paraId="2433397F" w14:textId="48F2AC35" w:rsidR="00310A2E" w:rsidRPr="008B3DF3" w:rsidRDefault="00310A2E" w:rsidP="00E136B9">
            <w:pPr>
              <w:spacing w:beforeLines="20" w:before="48" w:afterLines="20" w:after="48"/>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lang w:eastAsia="en-ZA"/>
              </w:rPr>
            </w:pPr>
            <w:r w:rsidRPr="0009552F">
              <w:t>1 828</w:t>
            </w:r>
          </w:p>
        </w:tc>
      </w:tr>
      <w:tr w:rsidR="00310A2E" w:rsidRPr="001028DC" w14:paraId="66859492" w14:textId="77777777" w:rsidTr="00E136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34" w:type="dxa"/>
            <w:noWrap/>
            <w:hideMark/>
          </w:tcPr>
          <w:p w14:paraId="72FBA333" w14:textId="77777777" w:rsidR="00310A2E" w:rsidRPr="008B3DF3" w:rsidRDefault="00310A2E" w:rsidP="00E136B9">
            <w:pPr>
              <w:spacing w:beforeLines="20" w:before="48" w:afterLines="20" w:after="48"/>
              <w:ind w:firstLineChars="200" w:firstLine="400"/>
              <w:jc w:val="left"/>
              <w:rPr>
                <w:rFonts w:eastAsia="Times New Roman" w:cstheme="minorHAnsi"/>
                <w:color w:val="000000"/>
                <w:lang w:eastAsia="en-ZA"/>
              </w:rPr>
            </w:pPr>
            <w:r w:rsidRPr="008B3DF3">
              <w:rPr>
                <w:rFonts w:eastAsia="Times New Roman" w:cstheme="minorHAnsi"/>
                <w:color w:val="000000"/>
                <w:lang w:eastAsia="en-ZA"/>
              </w:rPr>
              <w:t>Wood and paper</w:t>
            </w:r>
          </w:p>
        </w:tc>
        <w:tc>
          <w:tcPr>
            <w:tcW w:w="1544" w:type="dxa"/>
            <w:noWrap/>
            <w:hideMark/>
          </w:tcPr>
          <w:p w14:paraId="3AB0D570" w14:textId="77777777" w:rsidR="00310A2E" w:rsidRPr="008B3DF3" w:rsidRDefault="00310A2E" w:rsidP="00E136B9">
            <w:pPr>
              <w:spacing w:beforeLines="20" w:before="48" w:afterLines="20" w:after="48"/>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lang w:eastAsia="en-ZA"/>
              </w:rPr>
            </w:pPr>
            <w:r w:rsidRPr="008B3DF3">
              <w:rPr>
                <w:rFonts w:eastAsia="Times New Roman" w:cstheme="minorHAnsi"/>
                <w:color w:val="000000"/>
                <w:lang w:eastAsia="en-ZA"/>
              </w:rPr>
              <w:t>-0.36</w:t>
            </w:r>
          </w:p>
        </w:tc>
        <w:tc>
          <w:tcPr>
            <w:tcW w:w="1559" w:type="dxa"/>
            <w:noWrap/>
            <w:hideMark/>
          </w:tcPr>
          <w:p w14:paraId="2CF8F18C" w14:textId="77777777" w:rsidR="00310A2E" w:rsidRPr="008B3DF3" w:rsidRDefault="00310A2E" w:rsidP="00E136B9">
            <w:pPr>
              <w:spacing w:beforeLines="20" w:before="48" w:afterLines="20" w:after="48"/>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lang w:eastAsia="en-ZA"/>
              </w:rPr>
            </w:pPr>
            <w:r w:rsidRPr="008B3DF3">
              <w:rPr>
                <w:rFonts w:eastAsia="Times New Roman" w:cstheme="minorHAnsi"/>
                <w:color w:val="000000"/>
                <w:lang w:eastAsia="en-ZA"/>
              </w:rPr>
              <w:t>-0.04</w:t>
            </w:r>
          </w:p>
        </w:tc>
        <w:tc>
          <w:tcPr>
            <w:tcW w:w="1418" w:type="dxa"/>
            <w:noWrap/>
            <w:hideMark/>
          </w:tcPr>
          <w:p w14:paraId="655742C0" w14:textId="4A37018C" w:rsidR="00310A2E" w:rsidRPr="008B3DF3" w:rsidRDefault="00310A2E" w:rsidP="00E136B9">
            <w:pPr>
              <w:spacing w:beforeLines="20" w:before="48" w:afterLines="20" w:after="48"/>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lang w:eastAsia="en-ZA"/>
              </w:rPr>
            </w:pPr>
            <w:r w:rsidRPr="0009552F">
              <w:t>-1 082</w:t>
            </w:r>
          </w:p>
        </w:tc>
        <w:tc>
          <w:tcPr>
            <w:tcW w:w="1655" w:type="dxa"/>
            <w:noWrap/>
            <w:hideMark/>
          </w:tcPr>
          <w:p w14:paraId="5FA8B71C" w14:textId="1C54EC03" w:rsidR="00310A2E" w:rsidRPr="008B3DF3" w:rsidRDefault="00310A2E" w:rsidP="00E136B9">
            <w:pPr>
              <w:spacing w:beforeLines="20" w:before="48" w:afterLines="20" w:after="48"/>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lang w:eastAsia="en-ZA"/>
              </w:rPr>
            </w:pPr>
            <w:r w:rsidRPr="0009552F">
              <w:t>3 254</w:t>
            </w:r>
          </w:p>
        </w:tc>
      </w:tr>
      <w:tr w:rsidR="00310A2E" w:rsidRPr="001028DC" w14:paraId="3ACA837F" w14:textId="77777777" w:rsidTr="00E136B9">
        <w:tc>
          <w:tcPr>
            <w:cnfStyle w:val="001000000000" w:firstRow="0" w:lastRow="0" w:firstColumn="1" w:lastColumn="0" w:oddVBand="0" w:evenVBand="0" w:oddHBand="0" w:evenHBand="0" w:firstRowFirstColumn="0" w:firstRowLastColumn="0" w:lastRowFirstColumn="0" w:lastRowLastColumn="0"/>
            <w:tcW w:w="3134" w:type="dxa"/>
            <w:noWrap/>
            <w:hideMark/>
          </w:tcPr>
          <w:p w14:paraId="2DA1985B" w14:textId="77777777" w:rsidR="00310A2E" w:rsidRPr="008B3DF3" w:rsidRDefault="00310A2E" w:rsidP="00E136B9">
            <w:pPr>
              <w:spacing w:beforeLines="20" w:before="48" w:afterLines="20" w:after="48"/>
              <w:ind w:firstLineChars="200" w:firstLine="400"/>
              <w:jc w:val="left"/>
              <w:rPr>
                <w:rFonts w:eastAsia="Times New Roman" w:cstheme="minorHAnsi"/>
                <w:color w:val="000000"/>
                <w:lang w:eastAsia="en-ZA"/>
              </w:rPr>
            </w:pPr>
            <w:r w:rsidRPr="008B3DF3">
              <w:rPr>
                <w:rFonts w:eastAsia="Times New Roman" w:cstheme="minorHAnsi"/>
                <w:color w:val="000000"/>
                <w:lang w:eastAsia="en-ZA"/>
              </w:rPr>
              <w:t>Petroleum</w:t>
            </w:r>
          </w:p>
        </w:tc>
        <w:tc>
          <w:tcPr>
            <w:tcW w:w="1544" w:type="dxa"/>
            <w:noWrap/>
            <w:hideMark/>
          </w:tcPr>
          <w:p w14:paraId="2B5EA371" w14:textId="77777777" w:rsidR="00310A2E" w:rsidRPr="008B3DF3" w:rsidRDefault="00310A2E" w:rsidP="00E136B9">
            <w:pPr>
              <w:spacing w:beforeLines="20" w:before="48" w:afterLines="20" w:after="48"/>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lang w:eastAsia="en-ZA"/>
              </w:rPr>
            </w:pPr>
            <w:r w:rsidRPr="008B3DF3">
              <w:rPr>
                <w:rFonts w:eastAsia="Times New Roman" w:cstheme="minorHAnsi"/>
                <w:color w:val="000000"/>
                <w:lang w:eastAsia="en-ZA"/>
              </w:rPr>
              <w:t>0.00</w:t>
            </w:r>
          </w:p>
        </w:tc>
        <w:tc>
          <w:tcPr>
            <w:tcW w:w="1559" w:type="dxa"/>
            <w:noWrap/>
            <w:hideMark/>
          </w:tcPr>
          <w:p w14:paraId="68B0EB5B" w14:textId="77777777" w:rsidR="00310A2E" w:rsidRPr="008B3DF3" w:rsidRDefault="00310A2E" w:rsidP="00E136B9">
            <w:pPr>
              <w:spacing w:beforeLines="20" w:before="48" w:afterLines="20" w:after="48"/>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lang w:eastAsia="en-ZA"/>
              </w:rPr>
            </w:pPr>
            <w:r w:rsidRPr="008B3DF3">
              <w:rPr>
                <w:rFonts w:eastAsia="Times New Roman" w:cstheme="minorHAnsi"/>
                <w:color w:val="000000"/>
                <w:lang w:eastAsia="en-ZA"/>
              </w:rPr>
              <w:t>0.00</w:t>
            </w:r>
          </w:p>
        </w:tc>
        <w:tc>
          <w:tcPr>
            <w:tcW w:w="1418" w:type="dxa"/>
            <w:noWrap/>
            <w:hideMark/>
          </w:tcPr>
          <w:p w14:paraId="664202EF" w14:textId="68F7D504" w:rsidR="00310A2E" w:rsidRPr="008B3DF3" w:rsidRDefault="00310A2E" w:rsidP="00E136B9">
            <w:pPr>
              <w:spacing w:beforeLines="20" w:before="48" w:afterLines="20" w:after="48"/>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lang w:eastAsia="en-ZA"/>
              </w:rPr>
            </w:pPr>
            <w:r w:rsidRPr="0009552F">
              <w:t>0</w:t>
            </w:r>
          </w:p>
        </w:tc>
        <w:tc>
          <w:tcPr>
            <w:tcW w:w="1655" w:type="dxa"/>
            <w:noWrap/>
            <w:hideMark/>
          </w:tcPr>
          <w:p w14:paraId="0D7774DA" w14:textId="3F4DF711" w:rsidR="00310A2E" w:rsidRPr="008B3DF3" w:rsidRDefault="00310A2E" w:rsidP="00E136B9">
            <w:pPr>
              <w:spacing w:beforeLines="20" w:before="48" w:afterLines="20" w:after="48"/>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lang w:eastAsia="en-ZA"/>
              </w:rPr>
            </w:pPr>
            <w:r w:rsidRPr="0009552F">
              <w:t>0</w:t>
            </w:r>
          </w:p>
        </w:tc>
      </w:tr>
      <w:tr w:rsidR="00310A2E" w:rsidRPr="001028DC" w14:paraId="3105CCBE" w14:textId="77777777" w:rsidTr="00E136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34" w:type="dxa"/>
            <w:noWrap/>
            <w:hideMark/>
          </w:tcPr>
          <w:p w14:paraId="062370BD" w14:textId="77777777" w:rsidR="00310A2E" w:rsidRPr="008B3DF3" w:rsidRDefault="00310A2E" w:rsidP="00E136B9">
            <w:pPr>
              <w:spacing w:beforeLines="20" w:before="48" w:afterLines="20" w:after="48"/>
              <w:ind w:firstLineChars="200" w:firstLine="400"/>
              <w:jc w:val="left"/>
              <w:rPr>
                <w:rFonts w:eastAsia="Times New Roman" w:cstheme="minorHAnsi"/>
                <w:color w:val="000000"/>
                <w:lang w:eastAsia="en-ZA"/>
              </w:rPr>
            </w:pPr>
            <w:r w:rsidRPr="008B3DF3">
              <w:rPr>
                <w:rFonts w:eastAsia="Times New Roman" w:cstheme="minorHAnsi"/>
                <w:color w:val="000000"/>
                <w:lang w:eastAsia="en-ZA"/>
              </w:rPr>
              <w:t>Chemicals</w:t>
            </w:r>
          </w:p>
        </w:tc>
        <w:tc>
          <w:tcPr>
            <w:tcW w:w="1544" w:type="dxa"/>
            <w:noWrap/>
            <w:hideMark/>
          </w:tcPr>
          <w:p w14:paraId="18A8AEB9" w14:textId="77777777" w:rsidR="00310A2E" w:rsidRPr="008B3DF3" w:rsidRDefault="00310A2E" w:rsidP="00E136B9">
            <w:pPr>
              <w:spacing w:beforeLines="20" w:before="48" w:afterLines="20" w:after="48"/>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lang w:eastAsia="en-ZA"/>
              </w:rPr>
            </w:pPr>
            <w:r w:rsidRPr="008B3DF3">
              <w:rPr>
                <w:rFonts w:eastAsia="Times New Roman" w:cstheme="minorHAnsi"/>
                <w:color w:val="000000"/>
                <w:lang w:eastAsia="en-ZA"/>
              </w:rPr>
              <w:t>1.53</w:t>
            </w:r>
          </w:p>
        </w:tc>
        <w:tc>
          <w:tcPr>
            <w:tcW w:w="1559" w:type="dxa"/>
            <w:noWrap/>
            <w:hideMark/>
          </w:tcPr>
          <w:p w14:paraId="1A439B31" w14:textId="77777777" w:rsidR="00310A2E" w:rsidRPr="008B3DF3" w:rsidRDefault="00310A2E" w:rsidP="00E136B9">
            <w:pPr>
              <w:spacing w:beforeLines="20" w:before="48" w:afterLines="20" w:after="48"/>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lang w:eastAsia="en-ZA"/>
              </w:rPr>
            </w:pPr>
            <w:r w:rsidRPr="008B3DF3">
              <w:rPr>
                <w:rFonts w:eastAsia="Times New Roman" w:cstheme="minorHAnsi"/>
                <w:color w:val="000000"/>
                <w:lang w:eastAsia="en-ZA"/>
              </w:rPr>
              <w:t>-2.25</w:t>
            </w:r>
          </w:p>
        </w:tc>
        <w:tc>
          <w:tcPr>
            <w:tcW w:w="1418" w:type="dxa"/>
            <w:noWrap/>
            <w:hideMark/>
          </w:tcPr>
          <w:p w14:paraId="2EA5722E" w14:textId="46107FFA" w:rsidR="00310A2E" w:rsidRPr="008B3DF3" w:rsidRDefault="00310A2E" w:rsidP="00E136B9">
            <w:pPr>
              <w:spacing w:beforeLines="20" w:before="48" w:afterLines="20" w:after="48"/>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lang w:eastAsia="en-ZA"/>
              </w:rPr>
            </w:pPr>
            <w:r w:rsidRPr="0009552F">
              <w:t>2 773</w:t>
            </w:r>
          </w:p>
        </w:tc>
        <w:tc>
          <w:tcPr>
            <w:tcW w:w="1655" w:type="dxa"/>
            <w:noWrap/>
            <w:hideMark/>
          </w:tcPr>
          <w:p w14:paraId="1C1A1E36" w14:textId="6748BD73" w:rsidR="00310A2E" w:rsidRPr="008B3DF3" w:rsidRDefault="00310A2E" w:rsidP="00E136B9">
            <w:pPr>
              <w:spacing w:beforeLines="20" w:before="48" w:afterLines="20" w:after="48"/>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lang w:eastAsia="en-ZA"/>
              </w:rPr>
            </w:pPr>
            <w:r w:rsidRPr="0009552F">
              <w:t>-8 825</w:t>
            </w:r>
          </w:p>
        </w:tc>
      </w:tr>
      <w:tr w:rsidR="00310A2E" w:rsidRPr="001028DC" w14:paraId="1FA5CCA9" w14:textId="77777777" w:rsidTr="00E136B9">
        <w:tc>
          <w:tcPr>
            <w:cnfStyle w:val="001000000000" w:firstRow="0" w:lastRow="0" w:firstColumn="1" w:lastColumn="0" w:oddVBand="0" w:evenVBand="0" w:oddHBand="0" w:evenHBand="0" w:firstRowFirstColumn="0" w:firstRowLastColumn="0" w:lastRowFirstColumn="0" w:lastRowLastColumn="0"/>
            <w:tcW w:w="3134" w:type="dxa"/>
            <w:noWrap/>
            <w:hideMark/>
          </w:tcPr>
          <w:p w14:paraId="468C67AB" w14:textId="77777777" w:rsidR="00310A2E" w:rsidRPr="008B3DF3" w:rsidRDefault="00310A2E" w:rsidP="00E136B9">
            <w:pPr>
              <w:spacing w:beforeLines="20" w:before="48" w:afterLines="20" w:after="48"/>
              <w:ind w:firstLineChars="200" w:firstLine="400"/>
              <w:jc w:val="left"/>
              <w:rPr>
                <w:rFonts w:eastAsia="Times New Roman" w:cstheme="minorHAnsi"/>
                <w:color w:val="000000"/>
                <w:lang w:eastAsia="en-ZA"/>
              </w:rPr>
            </w:pPr>
            <w:r w:rsidRPr="008B3DF3">
              <w:rPr>
                <w:rFonts w:eastAsia="Times New Roman" w:cstheme="minorHAnsi"/>
                <w:color w:val="000000"/>
                <w:lang w:eastAsia="en-ZA"/>
              </w:rPr>
              <w:t>Non-metals</w:t>
            </w:r>
          </w:p>
        </w:tc>
        <w:tc>
          <w:tcPr>
            <w:tcW w:w="1544" w:type="dxa"/>
            <w:noWrap/>
            <w:hideMark/>
          </w:tcPr>
          <w:p w14:paraId="1371F260" w14:textId="77777777" w:rsidR="00310A2E" w:rsidRPr="008B3DF3" w:rsidRDefault="00310A2E" w:rsidP="00E136B9">
            <w:pPr>
              <w:spacing w:beforeLines="20" w:before="48" w:afterLines="20" w:after="48"/>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lang w:eastAsia="en-ZA"/>
              </w:rPr>
            </w:pPr>
            <w:r w:rsidRPr="008B3DF3">
              <w:rPr>
                <w:rFonts w:eastAsia="Times New Roman" w:cstheme="minorHAnsi"/>
                <w:color w:val="000000"/>
                <w:lang w:eastAsia="en-ZA"/>
              </w:rPr>
              <w:t>-0.30</w:t>
            </w:r>
          </w:p>
        </w:tc>
        <w:tc>
          <w:tcPr>
            <w:tcW w:w="1559" w:type="dxa"/>
            <w:noWrap/>
            <w:hideMark/>
          </w:tcPr>
          <w:p w14:paraId="156C0BE5" w14:textId="77777777" w:rsidR="00310A2E" w:rsidRPr="008B3DF3" w:rsidRDefault="00310A2E" w:rsidP="00E136B9">
            <w:pPr>
              <w:spacing w:beforeLines="20" w:before="48" w:afterLines="20" w:after="48"/>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lang w:eastAsia="en-ZA"/>
              </w:rPr>
            </w:pPr>
            <w:r w:rsidRPr="008B3DF3">
              <w:rPr>
                <w:rFonts w:eastAsia="Times New Roman" w:cstheme="minorHAnsi"/>
                <w:color w:val="000000"/>
                <w:lang w:eastAsia="en-ZA"/>
              </w:rPr>
              <w:t>0.25</w:t>
            </w:r>
          </w:p>
        </w:tc>
        <w:tc>
          <w:tcPr>
            <w:tcW w:w="1418" w:type="dxa"/>
            <w:noWrap/>
            <w:hideMark/>
          </w:tcPr>
          <w:p w14:paraId="6D10FA73" w14:textId="3FB803D1" w:rsidR="00310A2E" w:rsidRPr="008B3DF3" w:rsidRDefault="00310A2E" w:rsidP="00E136B9">
            <w:pPr>
              <w:spacing w:beforeLines="20" w:before="48" w:afterLines="20" w:after="48"/>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lang w:eastAsia="en-ZA"/>
              </w:rPr>
            </w:pPr>
            <w:r w:rsidRPr="0009552F">
              <w:t>-386</w:t>
            </w:r>
          </w:p>
        </w:tc>
        <w:tc>
          <w:tcPr>
            <w:tcW w:w="1655" w:type="dxa"/>
            <w:noWrap/>
            <w:hideMark/>
          </w:tcPr>
          <w:p w14:paraId="3F64F8B3" w14:textId="276BA953" w:rsidR="00310A2E" w:rsidRPr="008B3DF3" w:rsidRDefault="00310A2E" w:rsidP="00E136B9">
            <w:pPr>
              <w:spacing w:beforeLines="20" w:before="48" w:afterLines="20" w:after="48"/>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lang w:eastAsia="en-ZA"/>
              </w:rPr>
            </w:pPr>
            <w:r w:rsidRPr="0009552F">
              <w:t>2 249</w:t>
            </w:r>
          </w:p>
        </w:tc>
      </w:tr>
      <w:tr w:rsidR="00310A2E" w:rsidRPr="001028DC" w14:paraId="22BE91DD" w14:textId="77777777" w:rsidTr="00E136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34" w:type="dxa"/>
            <w:noWrap/>
            <w:hideMark/>
          </w:tcPr>
          <w:p w14:paraId="36A93CDF" w14:textId="77777777" w:rsidR="00310A2E" w:rsidRPr="008B3DF3" w:rsidRDefault="00310A2E" w:rsidP="00E136B9">
            <w:pPr>
              <w:spacing w:beforeLines="20" w:before="48" w:afterLines="20" w:after="48"/>
              <w:ind w:firstLineChars="200" w:firstLine="400"/>
              <w:jc w:val="left"/>
              <w:rPr>
                <w:rFonts w:eastAsia="Times New Roman" w:cstheme="minorHAnsi"/>
                <w:color w:val="000000"/>
                <w:lang w:eastAsia="en-ZA"/>
              </w:rPr>
            </w:pPr>
            <w:r w:rsidRPr="008B3DF3">
              <w:rPr>
                <w:rFonts w:eastAsia="Times New Roman" w:cstheme="minorHAnsi"/>
                <w:color w:val="000000"/>
                <w:lang w:eastAsia="en-ZA"/>
              </w:rPr>
              <w:t>Metals</w:t>
            </w:r>
          </w:p>
        </w:tc>
        <w:tc>
          <w:tcPr>
            <w:tcW w:w="1544" w:type="dxa"/>
            <w:noWrap/>
            <w:hideMark/>
          </w:tcPr>
          <w:p w14:paraId="159109CF" w14:textId="77777777" w:rsidR="00310A2E" w:rsidRPr="008B3DF3" w:rsidRDefault="00310A2E" w:rsidP="00E136B9">
            <w:pPr>
              <w:spacing w:beforeLines="20" w:before="48" w:afterLines="20" w:after="48"/>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lang w:eastAsia="en-ZA"/>
              </w:rPr>
            </w:pPr>
            <w:r w:rsidRPr="008B3DF3">
              <w:rPr>
                <w:rFonts w:eastAsia="Times New Roman" w:cstheme="minorHAnsi"/>
                <w:color w:val="000000"/>
                <w:lang w:eastAsia="en-ZA"/>
              </w:rPr>
              <w:t>-0.85</w:t>
            </w:r>
          </w:p>
        </w:tc>
        <w:tc>
          <w:tcPr>
            <w:tcW w:w="1559" w:type="dxa"/>
            <w:noWrap/>
            <w:hideMark/>
          </w:tcPr>
          <w:p w14:paraId="78321905" w14:textId="77777777" w:rsidR="00310A2E" w:rsidRPr="008B3DF3" w:rsidRDefault="00310A2E" w:rsidP="00E136B9">
            <w:pPr>
              <w:spacing w:beforeLines="20" w:before="48" w:afterLines="20" w:after="48"/>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lang w:eastAsia="en-ZA"/>
              </w:rPr>
            </w:pPr>
            <w:r w:rsidRPr="008B3DF3">
              <w:rPr>
                <w:rFonts w:eastAsia="Times New Roman" w:cstheme="minorHAnsi"/>
                <w:color w:val="000000"/>
                <w:lang w:eastAsia="en-ZA"/>
              </w:rPr>
              <w:t>-4.14</w:t>
            </w:r>
          </w:p>
        </w:tc>
        <w:tc>
          <w:tcPr>
            <w:tcW w:w="1418" w:type="dxa"/>
            <w:noWrap/>
            <w:hideMark/>
          </w:tcPr>
          <w:p w14:paraId="34F6D851" w14:textId="38CA6BDD" w:rsidR="00310A2E" w:rsidRPr="008B3DF3" w:rsidRDefault="00310A2E" w:rsidP="00E136B9">
            <w:pPr>
              <w:spacing w:beforeLines="20" w:before="48" w:afterLines="20" w:after="48"/>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lang w:eastAsia="en-ZA"/>
              </w:rPr>
            </w:pPr>
            <w:r w:rsidRPr="0009552F">
              <w:t>-3 863</w:t>
            </w:r>
          </w:p>
        </w:tc>
        <w:tc>
          <w:tcPr>
            <w:tcW w:w="1655" w:type="dxa"/>
            <w:noWrap/>
            <w:hideMark/>
          </w:tcPr>
          <w:p w14:paraId="7CD56CDF" w14:textId="27CFD756" w:rsidR="00310A2E" w:rsidRPr="008B3DF3" w:rsidRDefault="00310A2E" w:rsidP="00E136B9">
            <w:pPr>
              <w:spacing w:beforeLines="20" w:before="48" w:afterLines="20" w:after="48"/>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lang w:eastAsia="en-ZA"/>
              </w:rPr>
            </w:pPr>
            <w:r w:rsidRPr="0009552F">
              <w:t>-24 262</w:t>
            </w:r>
          </w:p>
        </w:tc>
      </w:tr>
      <w:tr w:rsidR="00310A2E" w:rsidRPr="001028DC" w14:paraId="24DA104E" w14:textId="77777777" w:rsidTr="00E136B9">
        <w:tc>
          <w:tcPr>
            <w:cnfStyle w:val="001000000000" w:firstRow="0" w:lastRow="0" w:firstColumn="1" w:lastColumn="0" w:oddVBand="0" w:evenVBand="0" w:oddHBand="0" w:evenHBand="0" w:firstRowFirstColumn="0" w:firstRowLastColumn="0" w:lastRowFirstColumn="0" w:lastRowLastColumn="0"/>
            <w:tcW w:w="3134" w:type="dxa"/>
            <w:noWrap/>
            <w:hideMark/>
          </w:tcPr>
          <w:p w14:paraId="03EE7FAA" w14:textId="77777777" w:rsidR="00310A2E" w:rsidRPr="008B3DF3" w:rsidRDefault="00310A2E" w:rsidP="00E136B9">
            <w:pPr>
              <w:spacing w:beforeLines="20" w:before="48" w:afterLines="20" w:after="48"/>
              <w:ind w:firstLineChars="200" w:firstLine="400"/>
              <w:jc w:val="left"/>
              <w:rPr>
                <w:rFonts w:eastAsia="Times New Roman" w:cstheme="minorHAnsi"/>
                <w:color w:val="000000"/>
                <w:lang w:eastAsia="en-ZA"/>
              </w:rPr>
            </w:pPr>
            <w:r w:rsidRPr="008B3DF3">
              <w:rPr>
                <w:rFonts w:eastAsia="Times New Roman" w:cstheme="minorHAnsi"/>
                <w:color w:val="000000"/>
                <w:lang w:eastAsia="en-ZA"/>
              </w:rPr>
              <w:t>Machinery</w:t>
            </w:r>
          </w:p>
        </w:tc>
        <w:tc>
          <w:tcPr>
            <w:tcW w:w="1544" w:type="dxa"/>
            <w:noWrap/>
            <w:hideMark/>
          </w:tcPr>
          <w:p w14:paraId="6FA44EF5" w14:textId="77777777" w:rsidR="00310A2E" w:rsidRPr="008B3DF3" w:rsidRDefault="00310A2E" w:rsidP="00E136B9">
            <w:pPr>
              <w:spacing w:beforeLines="20" w:before="48" w:afterLines="20" w:after="48"/>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lang w:eastAsia="en-ZA"/>
              </w:rPr>
            </w:pPr>
            <w:r w:rsidRPr="008B3DF3">
              <w:rPr>
                <w:rFonts w:eastAsia="Times New Roman" w:cstheme="minorHAnsi"/>
                <w:color w:val="000000"/>
                <w:lang w:eastAsia="en-ZA"/>
              </w:rPr>
              <w:t>-0.49</w:t>
            </w:r>
          </w:p>
        </w:tc>
        <w:tc>
          <w:tcPr>
            <w:tcW w:w="1559" w:type="dxa"/>
            <w:noWrap/>
            <w:hideMark/>
          </w:tcPr>
          <w:p w14:paraId="0D7601AC" w14:textId="77777777" w:rsidR="00310A2E" w:rsidRPr="008B3DF3" w:rsidRDefault="00310A2E" w:rsidP="00E136B9">
            <w:pPr>
              <w:spacing w:beforeLines="20" w:before="48" w:afterLines="20" w:after="48"/>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lang w:eastAsia="en-ZA"/>
              </w:rPr>
            </w:pPr>
            <w:r w:rsidRPr="008B3DF3">
              <w:rPr>
                <w:rFonts w:eastAsia="Times New Roman" w:cstheme="minorHAnsi"/>
                <w:color w:val="000000"/>
                <w:lang w:eastAsia="en-ZA"/>
              </w:rPr>
              <w:t>-0.72</w:t>
            </w:r>
          </w:p>
        </w:tc>
        <w:tc>
          <w:tcPr>
            <w:tcW w:w="1418" w:type="dxa"/>
            <w:noWrap/>
            <w:hideMark/>
          </w:tcPr>
          <w:p w14:paraId="032ACFEC" w14:textId="610F3E8F" w:rsidR="00310A2E" w:rsidRPr="008B3DF3" w:rsidRDefault="00310A2E" w:rsidP="00E136B9">
            <w:pPr>
              <w:spacing w:beforeLines="20" w:before="48" w:afterLines="20" w:after="48"/>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lang w:eastAsia="en-ZA"/>
              </w:rPr>
            </w:pPr>
            <w:r w:rsidRPr="0009552F">
              <w:t>-1 182</w:t>
            </w:r>
          </w:p>
        </w:tc>
        <w:tc>
          <w:tcPr>
            <w:tcW w:w="1655" w:type="dxa"/>
            <w:noWrap/>
            <w:hideMark/>
          </w:tcPr>
          <w:p w14:paraId="1C773933" w14:textId="48B7E415" w:rsidR="00310A2E" w:rsidRPr="008B3DF3" w:rsidRDefault="00310A2E" w:rsidP="00E136B9">
            <w:pPr>
              <w:spacing w:beforeLines="20" w:before="48" w:afterLines="20" w:after="48"/>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lang w:eastAsia="en-ZA"/>
              </w:rPr>
            </w:pPr>
            <w:r w:rsidRPr="0009552F">
              <w:t>-2 678</w:t>
            </w:r>
          </w:p>
        </w:tc>
      </w:tr>
      <w:tr w:rsidR="00310A2E" w:rsidRPr="001028DC" w14:paraId="65B0AA2D" w14:textId="77777777" w:rsidTr="00E136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34" w:type="dxa"/>
            <w:noWrap/>
            <w:hideMark/>
          </w:tcPr>
          <w:p w14:paraId="5CB04259" w14:textId="77777777" w:rsidR="00310A2E" w:rsidRPr="008B3DF3" w:rsidRDefault="00310A2E" w:rsidP="00E136B9">
            <w:pPr>
              <w:spacing w:beforeLines="20" w:before="48" w:afterLines="20" w:after="48"/>
              <w:ind w:firstLineChars="200" w:firstLine="400"/>
              <w:jc w:val="left"/>
              <w:rPr>
                <w:rFonts w:eastAsia="Times New Roman" w:cstheme="minorHAnsi"/>
                <w:color w:val="000000"/>
                <w:lang w:eastAsia="en-ZA"/>
              </w:rPr>
            </w:pPr>
            <w:r w:rsidRPr="008B3DF3">
              <w:rPr>
                <w:rFonts w:eastAsia="Times New Roman" w:cstheme="minorHAnsi"/>
                <w:color w:val="000000"/>
                <w:lang w:eastAsia="en-ZA"/>
              </w:rPr>
              <w:t>Vehicles</w:t>
            </w:r>
          </w:p>
        </w:tc>
        <w:tc>
          <w:tcPr>
            <w:tcW w:w="1544" w:type="dxa"/>
            <w:noWrap/>
            <w:hideMark/>
          </w:tcPr>
          <w:p w14:paraId="70EE2B24" w14:textId="77777777" w:rsidR="00310A2E" w:rsidRPr="008B3DF3" w:rsidRDefault="00310A2E" w:rsidP="00E136B9">
            <w:pPr>
              <w:spacing w:beforeLines="20" w:before="48" w:afterLines="20" w:after="48"/>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lang w:eastAsia="en-ZA"/>
              </w:rPr>
            </w:pPr>
            <w:r w:rsidRPr="008B3DF3">
              <w:rPr>
                <w:rFonts w:eastAsia="Times New Roman" w:cstheme="minorHAnsi"/>
                <w:color w:val="000000"/>
                <w:lang w:eastAsia="en-ZA"/>
              </w:rPr>
              <w:t>-0.19</w:t>
            </w:r>
          </w:p>
        </w:tc>
        <w:tc>
          <w:tcPr>
            <w:tcW w:w="1559" w:type="dxa"/>
            <w:noWrap/>
            <w:hideMark/>
          </w:tcPr>
          <w:p w14:paraId="7BFA09F9" w14:textId="77777777" w:rsidR="00310A2E" w:rsidRPr="008B3DF3" w:rsidRDefault="00310A2E" w:rsidP="00E136B9">
            <w:pPr>
              <w:spacing w:beforeLines="20" w:before="48" w:afterLines="20" w:after="48"/>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lang w:eastAsia="en-ZA"/>
              </w:rPr>
            </w:pPr>
            <w:r w:rsidRPr="008B3DF3">
              <w:rPr>
                <w:rFonts w:eastAsia="Times New Roman" w:cstheme="minorHAnsi"/>
                <w:color w:val="000000"/>
                <w:lang w:eastAsia="en-ZA"/>
              </w:rPr>
              <w:t>0.68</w:t>
            </w:r>
          </w:p>
        </w:tc>
        <w:tc>
          <w:tcPr>
            <w:tcW w:w="1418" w:type="dxa"/>
            <w:noWrap/>
            <w:hideMark/>
          </w:tcPr>
          <w:p w14:paraId="425D8613" w14:textId="4A2A957C" w:rsidR="00310A2E" w:rsidRPr="008B3DF3" w:rsidRDefault="00310A2E" w:rsidP="00E136B9">
            <w:pPr>
              <w:spacing w:beforeLines="20" w:before="48" w:afterLines="20" w:after="48"/>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lang w:eastAsia="en-ZA"/>
              </w:rPr>
            </w:pPr>
            <w:r w:rsidRPr="0009552F">
              <w:t>-76</w:t>
            </w:r>
          </w:p>
        </w:tc>
        <w:tc>
          <w:tcPr>
            <w:tcW w:w="1655" w:type="dxa"/>
            <w:noWrap/>
            <w:hideMark/>
          </w:tcPr>
          <w:p w14:paraId="18ED610B" w14:textId="78CAAD33" w:rsidR="00310A2E" w:rsidRPr="008B3DF3" w:rsidRDefault="00310A2E" w:rsidP="00E136B9">
            <w:pPr>
              <w:spacing w:beforeLines="20" w:before="48" w:afterLines="20" w:after="48"/>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lang w:eastAsia="en-ZA"/>
              </w:rPr>
            </w:pPr>
            <w:r w:rsidRPr="0009552F">
              <w:t>2 414</w:t>
            </w:r>
          </w:p>
        </w:tc>
      </w:tr>
      <w:tr w:rsidR="00310A2E" w:rsidRPr="001028DC" w14:paraId="0DC8DC94" w14:textId="77777777" w:rsidTr="00E136B9">
        <w:tc>
          <w:tcPr>
            <w:cnfStyle w:val="001000000000" w:firstRow="0" w:lastRow="0" w:firstColumn="1" w:lastColumn="0" w:oddVBand="0" w:evenVBand="0" w:oddHBand="0" w:evenHBand="0" w:firstRowFirstColumn="0" w:firstRowLastColumn="0" w:lastRowFirstColumn="0" w:lastRowLastColumn="0"/>
            <w:tcW w:w="3134" w:type="dxa"/>
            <w:noWrap/>
            <w:hideMark/>
          </w:tcPr>
          <w:p w14:paraId="457D6F9E" w14:textId="77777777" w:rsidR="00310A2E" w:rsidRPr="008B3DF3" w:rsidRDefault="00310A2E" w:rsidP="00E136B9">
            <w:pPr>
              <w:spacing w:beforeLines="20" w:before="48" w:afterLines="20" w:after="48"/>
              <w:ind w:firstLineChars="200" w:firstLine="400"/>
              <w:jc w:val="left"/>
              <w:rPr>
                <w:rFonts w:eastAsia="Times New Roman" w:cstheme="minorHAnsi"/>
                <w:color w:val="000000"/>
                <w:lang w:eastAsia="en-ZA"/>
              </w:rPr>
            </w:pPr>
            <w:r w:rsidRPr="008B3DF3">
              <w:rPr>
                <w:rFonts w:eastAsia="Times New Roman" w:cstheme="minorHAnsi"/>
                <w:color w:val="000000"/>
                <w:lang w:eastAsia="en-ZA"/>
              </w:rPr>
              <w:t>Other manufacturing</w:t>
            </w:r>
          </w:p>
        </w:tc>
        <w:tc>
          <w:tcPr>
            <w:tcW w:w="1544" w:type="dxa"/>
            <w:noWrap/>
            <w:hideMark/>
          </w:tcPr>
          <w:p w14:paraId="782FD01E" w14:textId="77777777" w:rsidR="00310A2E" w:rsidRPr="008B3DF3" w:rsidRDefault="00310A2E" w:rsidP="00E136B9">
            <w:pPr>
              <w:spacing w:beforeLines="20" w:before="48" w:afterLines="20" w:after="48"/>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lang w:eastAsia="en-ZA"/>
              </w:rPr>
            </w:pPr>
            <w:r w:rsidRPr="008B3DF3">
              <w:rPr>
                <w:rFonts w:eastAsia="Times New Roman" w:cstheme="minorHAnsi"/>
                <w:color w:val="000000"/>
                <w:lang w:eastAsia="en-ZA"/>
              </w:rPr>
              <w:t>-0.77</w:t>
            </w:r>
          </w:p>
        </w:tc>
        <w:tc>
          <w:tcPr>
            <w:tcW w:w="1559" w:type="dxa"/>
            <w:noWrap/>
            <w:hideMark/>
          </w:tcPr>
          <w:p w14:paraId="5D50194A" w14:textId="77777777" w:rsidR="00310A2E" w:rsidRPr="008B3DF3" w:rsidRDefault="00310A2E" w:rsidP="00E136B9">
            <w:pPr>
              <w:spacing w:beforeLines="20" w:before="48" w:afterLines="20" w:after="48"/>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lang w:eastAsia="en-ZA"/>
              </w:rPr>
            </w:pPr>
            <w:r w:rsidRPr="008B3DF3">
              <w:rPr>
                <w:rFonts w:eastAsia="Times New Roman" w:cstheme="minorHAnsi"/>
                <w:color w:val="000000"/>
                <w:lang w:eastAsia="en-ZA"/>
              </w:rPr>
              <w:t>-2.47</w:t>
            </w:r>
          </w:p>
        </w:tc>
        <w:tc>
          <w:tcPr>
            <w:tcW w:w="1418" w:type="dxa"/>
            <w:noWrap/>
            <w:hideMark/>
          </w:tcPr>
          <w:p w14:paraId="64E7189A" w14:textId="0C9F0EE9" w:rsidR="00310A2E" w:rsidRPr="008B3DF3" w:rsidRDefault="00310A2E" w:rsidP="00E136B9">
            <w:pPr>
              <w:spacing w:beforeLines="20" w:before="48" w:afterLines="20" w:after="48"/>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lang w:eastAsia="en-ZA"/>
              </w:rPr>
            </w:pPr>
            <w:r w:rsidRPr="0009552F">
              <w:t>-1 467</w:t>
            </w:r>
          </w:p>
        </w:tc>
        <w:tc>
          <w:tcPr>
            <w:tcW w:w="1655" w:type="dxa"/>
            <w:noWrap/>
            <w:hideMark/>
          </w:tcPr>
          <w:p w14:paraId="10A7BB4B" w14:textId="54F5BBD6" w:rsidR="00310A2E" w:rsidRPr="008B3DF3" w:rsidRDefault="00310A2E" w:rsidP="00E136B9">
            <w:pPr>
              <w:spacing w:beforeLines="20" w:before="48" w:afterLines="20" w:after="48"/>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lang w:eastAsia="en-ZA"/>
              </w:rPr>
            </w:pPr>
            <w:r w:rsidRPr="0009552F">
              <w:t>-2 970</w:t>
            </w:r>
          </w:p>
        </w:tc>
      </w:tr>
      <w:tr w:rsidR="00310A2E" w:rsidRPr="001028DC" w14:paraId="3338FB07" w14:textId="77777777" w:rsidTr="00E136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34" w:type="dxa"/>
            <w:noWrap/>
            <w:hideMark/>
          </w:tcPr>
          <w:p w14:paraId="6DC2D34F" w14:textId="77777777" w:rsidR="00310A2E" w:rsidRPr="008B3DF3" w:rsidRDefault="00310A2E" w:rsidP="00E136B9">
            <w:pPr>
              <w:spacing w:beforeLines="20" w:before="48" w:afterLines="20" w:after="48"/>
              <w:ind w:firstLineChars="100" w:firstLine="200"/>
              <w:jc w:val="left"/>
              <w:rPr>
                <w:rFonts w:eastAsia="Times New Roman" w:cstheme="minorHAnsi"/>
                <w:color w:val="000000"/>
                <w:lang w:eastAsia="en-ZA"/>
              </w:rPr>
            </w:pPr>
            <w:r w:rsidRPr="008B3DF3">
              <w:rPr>
                <w:rFonts w:eastAsia="Times New Roman" w:cstheme="minorHAnsi"/>
                <w:color w:val="000000"/>
                <w:lang w:eastAsia="en-ZA"/>
              </w:rPr>
              <w:t>Other industry</w:t>
            </w:r>
          </w:p>
        </w:tc>
        <w:tc>
          <w:tcPr>
            <w:tcW w:w="1544" w:type="dxa"/>
            <w:noWrap/>
            <w:hideMark/>
          </w:tcPr>
          <w:p w14:paraId="66316AB8" w14:textId="77777777" w:rsidR="00310A2E" w:rsidRPr="008B3DF3" w:rsidRDefault="00310A2E" w:rsidP="00E136B9">
            <w:pPr>
              <w:spacing w:beforeLines="20" w:before="48" w:afterLines="20" w:after="48"/>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lang w:eastAsia="en-ZA"/>
              </w:rPr>
            </w:pPr>
            <w:r w:rsidRPr="008B3DF3">
              <w:rPr>
                <w:rFonts w:eastAsia="Times New Roman" w:cstheme="minorHAnsi"/>
                <w:color w:val="000000"/>
                <w:lang w:eastAsia="en-ZA"/>
              </w:rPr>
              <w:t>0.70</w:t>
            </w:r>
          </w:p>
        </w:tc>
        <w:tc>
          <w:tcPr>
            <w:tcW w:w="1559" w:type="dxa"/>
            <w:noWrap/>
            <w:hideMark/>
          </w:tcPr>
          <w:p w14:paraId="10D7F9C6" w14:textId="77777777" w:rsidR="00310A2E" w:rsidRPr="008B3DF3" w:rsidRDefault="00310A2E" w:rsidP="00E136B9">
            <w:pPr>
              <w:spacing w:beforeLines="20" w:before="48" w:afterLines="20" w:after="48"/>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lang w:eastAsia="en-ZA"/>
              </w:rPr>
            </w:pPr>
            <w:r w:rsidRPr="008B3DF3">
              <w:rPr>
                <w:rFonts w:eastAsia="Times New Roman" w:cstheme="minorHAnsi"/>
                <w:color w:val="000000"/>
                <w:lang w:eastAsia="en-ZA"/>
              </w:rPr>
              <w:t>3.90</w:t>
            </w:r>
          </w:p>
        </w:tc>
        <w:tc>
          <w:tcPr>
            <w:tcW w:w="1418" w:type="dxa"/>
            <w:noWrap/>
            <w:hideMark/>
          </w:tcPr>
          <w:p w14:paraId="4895EE1B" w14:textId="4E96C6C9" w:rsidR="00310A2E" w:rsidRPr="008B3DF3" w:rsidRDefault="00310A2E" w:rsidP="00E136B9">
            <w:pPr>
              <w:spacing w:beforeLines="20" w:before="48" w:afterLines="20" w:after="48"/>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lang w:eastAsia="en-ZA"/>
              </w:rPr>
            </w:pPr>
            <w:r w:rsidRPr="0009552F">
              <w:t>1 351</w:t>
            </w:r>
          </w:p>
        </w:tc>
        <w:tc>
          <w:tcPr>
            <w:tcW w:w="1655" w:type="dxa"/>
            <w:noWrap/>
            <w:hideMark/>
          </w:tcPr>
          <w:p w14:paraId="3ADC5F18" w14:textId="1AC1853B" w:rsidR="00310A2E" w:rsidRPr="008B3DF3" w:rsidRDefault="00310A2E" w:rsidP="00E136B9">
            <w:pPr>
              <w:spacing w:beforeLines="20" w:before="48" w:afterLines="20" w:after="48"/>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lang w:eastAsia="en-ZA"/>
              </w:rPr>
            </w:pPr>
            <w:r w:rsidRPr="0009552F">
              <w:t>48 343</w:t>
            </w:r>
          </w:p>
        </w:tc>
      </w:tr>
      <w:tr w:rsidR="00310A2E" w:rsidRPr="001028DC" w14:paraId="141CFE7D" w14:textId="77777777" w:rsidTr="00E136B9">
        <w:tc>
          <w:tcPr>
            <w:cnfStyle w:val="001000000000" w:firstRow="0" w:lastRow="0" w:firstColumn="1" w:lastColumn="0" w:oddVBand="0" w:evenVBand="0" w:oddHBand="0" w:evenHBand="0" w:firstRowFirstColumn="0" w:firstRowLastColumn="0" w:lastRowFirstColumn="0" w:lastRowLastColumn="0"/>
            <w:tcW w:w="3134" w:type="dxa"/>
            <w:noWrap/>
            <w:hideMark/>
          </w:tcPr>
          <w:p w14:paraId="2C03172F" w14:textId="77777777" w:rsidR="00310A2E" w:rsidRPr="008B3DF3" w:rsidRDefault="00310A2E" w:rsidP="00E136B9">
            <w:pPr>
              <w:spacing w:beforeLines="20" w:before="48" w:afterLines="20" w:after="48"/>
              <w:ind w:firstLineChars="200" w:firstLine="400"/>
              <w:jc w:val="left"/>
              <w:rPr>
                <w:rFonts w:eastAsia="Times New Roman" w:cstheme="minorHAnsi"/>
                <w:color w:val="000000"/>
                <w:lang w:eastAsia="en-ZA"/>
              </w:rPr>
            </w:pPr>
            <w:r w:rsidRPr="008B3DF3">
              <w:rPr>
                <w:rFonts w:eastAsia="Times New Roman" w:cstheme="minorHAnsi"/>
                <w:color w:val="000000"/>
                <w:lang w:eastAsia="en-ZA"/>
              </w:rPr>
              <w:t>Electricity, gas and water</w:t>
            </w:r>
          </w:p>
        </w:tc>
        <w:tc>
          <w:tcPr>
            <w:tcW w:w="1544" w:type="dxa"/>
            <w:noWrap/>
            <w:hideMark/>
          </w:tcPr>
          <w:p w14:paraId="0D9D1F2C" w14:textId="77777777" w:rsidR="00310A2E" w:rsidRPr="008B3DF3" w:rsidRDefault="00310A2E" w:rsidP="00E136B9">
            <w:pPr>
              <w:spacing w:beforeLines="20" w:before="48" w:afterLines="20" w:after="48"/>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lang w:eastAsia="en-ZA"/>
              </w:rPr>
            </w:pPr>
            <w:r w:rsidRPr="008B3DF3">
              <w:rPr>
                <w:rFonts w:eastAsia="Times New Roman" w:cstheme="minorHAnsi"/>
                <w:color w:val="000000"/>
                <w:lang w:eastAsia="en-ZA"/>
              </w:rPr>
              <w:t>1.57</w:t>
            </w:r>
          </w:p>
        </w:tc>
        <w:tc>
          <w:tcPr>
            <w:tcW w:w="1559" w:type="dxa"/>
            <w:noWrap/>
            <w:hideMark/>
          </w:tcPr>
          <w:p w14:paraId="5FC19E32" w14:textId="77777777" w:rsidR="00310A2E" w:rsidRPr="008B3DF3" w:rsidRDefault="00310A2E" w:rsidP="00E136B9">
            <w:pPr>
              <w:spacing w:beforeLines="20" w:before="48" w:afterLines="20" w:after="48"/>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lang w:eastAsia="en-ZA"/>
              </w:rPr>
            </w:pPr>
            <w:r w:rsidRPr="008B3DF3">
              <w:rPr>
                <w:rFonts w:eastAsia="Times New Roman" w:cstheme="minorHAnsi"/>
                <w:color w:val="000000"/>
                <w:lang w:eastAsia="en-ZA"/>
              </w:rPr>
              <w:t>8.06</w:t>
            </w:r>
          </w:p>
        </w:tc>
        <w:tc>
          <w:tcPr>
            <w:tcW w:w="1418" w:type="dxa"/>
            <w:noWrap/>
            <w:hideMark/>
          </w:tcPr>
          <w:p w14:paraId="21DEBB62" w14:textId="44DA1AB1" w:rsidR="00310A2E" w:rsidRPr="008B3DF3" w:rsidRDefault="00310A2E" w:rsidP="00E136B9">
            <w:pPr>
              <w:spacing w:beforeLines="20" w:before="48" w:afterLines="20" w:after="48"/>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lang w:eastAsia="en-ZA"/>
              </w:rPr>
            </w:pPr>
            <w:r w:rsidRPr="0009552F">
              <w:t>1 432</w:t>
            </w:r>
          </w:p>
        </w:tc>
        <w:tc>
          <w:tcPr>
            <w:tcW w:w="1655" w:type="dxa"/>
            <w:noWrap/>
            <w:hideMark/>
          </w:tcPr>
          <w:p w14:paraId="78C7628F" w14:textId="48C05B64" w:rsidR="00310A2E" w:rsidRPr="008B3DF3" w:rsidRDefault="00310A2E" w:rsidP="00E136B9">
            <w:pPr>
              <w:spacing w:beforeLines="20" w:before="48" w:afterLines="20" w:after="48"/>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lang w:eastAsia="en-ZA"/>
              </w:rPr>
            </w:pPr>
            <w:r w:rsidRPr="0009552F">
              <w:t>13 914</w:t>
            </w:r>
          </w:p>
        </w:tc>
      </w:tr>
      <w:tr w:rsidR="00310A2E" w:rsidRPr="001028DC" w14:paraId="14E335F2" w14:textId="77777777" w:rsidTr="00E136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34" w:type="dxa"/>
            <w:noWrap/>
            <w:hideMark/>
          </w:tcPr>
          <w:p w14:paraId="375BC2AC" w14:textId="77777777" w:rsidR="00310A2E" w:rsidRPr="008B3DF3" w:rsidRDefault="00310A2E" w:rsidP="00E136B9">
            <w:pPr>
              <w:spacing w:beforeLines="20" w:before="48" w:afterLines="20" w:after="48"/>
              <w:ind w:firstLineChars="200" w:firstLine="400"/>
              <w:jc w:val="left"/>
              <w:rPr>
                <w:rFonts w:eastAsia="Times New Roman" w:cstheme="minorHAnsi"/>
                <w:color w:val="000000"/>
                <w:lang w:eastAsia="en-ZA"/>
              </w:rPr>
            </w:pPr>
            <w:r w:rsidRPr="008B3DF3">
              <w:rPr>
                <w:rFonts w:eastAsia="Times New Roman" w:cstheme="minorHAnsi"/>
                <w:color w:val="000000"/>
                <w:lang w:eastAsia="en-ZA"/>
              </w:rPr>
              <w:t>Construction</w:t>
            </w:r>
          </w:p>
        </w:tc>
        <w:tc>
          <w:tcPr>
            <w:tcW w:w="1544" w:type="dxa"/>
            <w:noWrap/>
            <w:hideMark/>
          </w:tcPr>
          <w:p w14:paraId="56482257" w14:textId="77777777" w:rsidR="00310A2E" w:rsidRPr="008B3DF3" w:rsidRDefault="00310A2E" w:rsidP="00E136B9">
            <w:pPr>
              <w:spacing w:beforeLines="20" w:before="48" w:afterLines="20" w:after="48"/>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lang w:eastAsia="en-ZA"/>
              </w:rPr>
            </w:pPr>
            <w:r w:rsidRPr="008B3DF3">
              <w:rPr>
                <w:rFonts w:eastAsia="Times New Roman" w:cstheme="minorHAnsi"/>
                <w:color w:val="000000"/>
                <w:lang w:eastAsia="en-ZA"/>
              </w:rPr>
              <w:t>-0.15</w:t>
            </w:r>
          </w:p>
        </w:tc>
        <w:tc>
          <w:tcPr>
            <w:tcW w:w="1559" w:type="dxa"/>
            <w:noWrap/>
            <w:hideMark/>
          </w:tcPr>
          <w:p w14:paraId="285A45FD" w14:textId="77777777" w:rsidR="00310A2E" w:rsidRPr="008B3DF3" w:rsidRDefault="00310A2E" w:rsidP="00E136B9">
            <w:pPr>
              <w:spacing w:beforeLines="20" w:before="48" w:afterLines="20" w:after="48"/>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lang w:eastAsia="en-ZA"/>
              </w:rPr>
            </w:pPr>
            <w:r w:rsidRPr="008B3DF3">
              <w:rPr>
                <w:rFonts w:eastAsia="Times New Roman" w:cstheme="minorHAnsi"/>
                <w:color w:val="000000"/>
                <w:lang w:eastAsia="en-ZA"/>
              </w:rPr>
              <w:t>0.48</w:t>
            </w:r>
          </w:p>
        </w:tc>
        <w:tc>
          <w:tcPr>
            <w:tcW w:w="1418" w:type="dxa"/>
            <w:noWrap/>
            <w:hideMark/>
          </w:tcPr>
          <w:p w14:paraId="2A3BC158" w14:textId="1DD6EC89" w:rsidR="00310A2E" w:rsidRPr="008B3DF3" w:rsidRDefault="00310A2E" w:rsidP="00E136B9">
            <w:pPr>
              <w:spacing w:beforeLines="20" w:before="48" w:afterLines="20" w:after="48"/>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lang w:eastAsia="en-ZA"/>
              </w:rPr>
            </w:pPr>
            <w:r w:rsidRPr="0009552F">
              <w:t>-81</w:t>
            </w:r>
          </w:p>
        </w:tc>
        <w:tc>
          <w:tcPr>
            <w:tcW w:w="1655" w:type="dxa"/>
            <w:noWrap/>
            <w:hideMark/>
          </w:tcPr>
          <w:p w14:paraId="51751CEB" w14:textId="1605199C" w:rsidR="00310A2E" w:rsidRPr="008B3DF3" w:rsidRDefault="00310A2E" w:rsidP="00E136B9">
            <w:pPr>
              <w:spacing w:beforeLines="20" w:before="48" w:afterLines="20" w:after="48"/>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lang w:eastAsia="en-ZA"/>
              </w:rPr>
            </w:pPr>
            <w:r w:rsidRPr="0009552F">
              <w:t>34 429</w:t>
            </w:r>
          </w:p>
        </w:tc>
      </w:tr>
      <w:tr w:rsidR="00310A2E" w:rsidRPr="001028DC" w14:paraId="7837946D" w14:textId="77777777" w:rsidTr="00E136B9">
        <w:tc>
          <w:tcPr>
            <w:cnfStyle w:val="001000000000" w:firstRow="0" w:lastRow="0" w:firstColumn="1" w:lastColumn="0" w:oddVBand="0" w:evenVBand="0" w:oddHBand="0" w:evenHBand="0" w:firstRowFirstColumn="0" w:firstRowLastColumn="0" w:lastRowFirstColumn="0" w:lastRowLastColumn="0"/>
            <w:tcW w:w="3134" w:type="dxa"/>
            <w:noWrap/>
            <w:hideMark/>
          </w:tcPr>
          <w:p w14:paraId="6B993ED5" w14:textId="77777777" w:rsidR="00310A2E" w:rsidRPr="008B3DF3" w:rsidRDefault="00310A2E" w:rsidP="00E136B9">
            <w:pPr>
              <w:spacing w:beforeLines="20" w:before="48" w:afterLines="20" w:after="48"/>
              <w:ind w:firstLineChars="100" w:firstLine="200"/>
              <w:jc w:val="left"/>
              <w:rPr>
                <w:rFonts w:eastAsia="Times New Roman" w:cstheme="minorHAnsi"/>
                <w:color w:val="000000"/>
                <w:lang w:eastAsia="en-ZA"/>
              </w:rPr>
            </w:pPr>
            <w:r w:rsidRPr="008B3DF3">
              <w:rPr>
                <w:rFonts w:eastAsia="Times New Roman" w:cstheme="minorHAnsi"/>
                <w:color w:val="000000"/>
                <w:lang w:eastAsia="en-ZA"/>
              </w:rPr>
              <w:t>Services</w:t>
            </w:r>
          </w:p>
        </w:tc>
        <w:tc>
          <w:tcPr>
            <w:tcW w:w="1544" w:type="dxa"/>
            <w:noWrap/>
            <w:hideMark/>
          </w:tcPr>
          <w:p w14:paraId="710C5AE0" w14:textId="77777777" w:rsidR="00310A2E" w:rsidRPr="008B3DF3" w:rsidRDefault="00310A2E" w:rsidP="00E136B9">
            <w:pPr>
              <w:spacing w:beforeLines="20" w:before="48" w:afterLines="20" w:after="48"/>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lang w:eastAsia="en-ZA"/>
              </w:rPr>
            </w:pPr>
            <w:r w:rsidRPr="008B3DF3">
              <w:rPr>
                <w:rFonts w:eastAsia="Times New Roman" w:cstheme="minorHAnsi"/>
                <w:color w:val="000000"/>
                <w:lang w:eastAsia="en-ZA"/>
              </w:rPr>
              <w:t>-0.10</w:t>
            </w:r>
          </w:p>
        </w:tc>
        <w:tc>
          <w:tcPr>
            <w:tcW w:w="1559" w:type="dxa"/>
            <w:noWrap/>
            <w:hideMark/>
          </w:tcPr>
          <w:p w14:paraId="020739FE" w14:textId="77777777" w:rsidR="00310A2E" w:rsidRPr="008B3DF3" w:rsidRDefault="00310A2E" w:rsidP="00E136B9">
            <w:pPr>
              <w:spacing w:beforeLines="20" w:before="48" w:afterLines="20" w:after="48"/>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lang w:eastAsia="en-ZA"/>
              </w:rPr>
            </w:pPr>
            <w:r w:rsidRPr="008B3DF3">
              <w:rPr>
                <w:rFonts w:eastAsia="Times New Roman" w:cstheme="minorHAnsi"/>
                <w:color w:val="000000"/>
                <w:lang w:eastAsia="en-ZA"/>
              </w:rPr>
              <w:t>0.85</w:t>
            </w:r>
          </w:p>
        </w:tc>
        <w:tc>
          <w:tcPr>
            <w:tcW w:w="1418" w:type="dxa"/>
            <w:noWrap/>
            <w:hideMark/>
          </w:tcPr>
          <w:p w14:paraId="6A486710" w14:textId="07536034" w:rsidR="00310A2E" w:rsidRPr="008B3DF3" w:rsidRDefault="00310A2E" w:rsidP="00E136B9">
            <w:pPr>
              <w:spacing w:beforeLines="20" w:before="48" w:afterLines="20" w:after="48"/>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lang w:eastAsia="en-ZA"/>
              </w:rPr>
            </w:pPr>
            <w:r w:rsidRPr="0009552F">
              <w:t>-3 053</w:t>
            </w:r>
          </w:p>
        </w:tc>
        <w:tc>
          <w:tcPr>
            <w:tcW w:w="1655" w:type="dxa"/>
            <w:noWrap/>
            <w:hideMark/>
          </w:tcPr>
          <w:p w14:paraId="76A6CDF1" w14:textId="6B3DC651" w:rsidR="00310A2E" w:rsidRPr="008B3DF3" w:rsidRDefault="00310A2E" w:rsidP="00E136B9">
            <w:pPr>
              <w:spacing w:beforeLines="20" w:before="48" w:afterLines="20" w:after="48"/>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lang w:eastAsia="en-ZA"/>
              </w:rPr>
            </w:pPr>
            <w:r w:rsidRPr="0009552F">
              <w:t>408 506</w:t>
            </w:r>
          </w:p>
        </w:tc>
      </w:tr>
      <w:tr w:rsidR="00310A2E" w:rsidRPr="001028DC" w14:paraId="512023AC" w14:textId="77777777" w:rsidTr="00E136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34" w:type="dxa"/>
            <w:noWrap/>
            <w:hideMark/>
          </w:tcPr>
          <w:p w14:paraId="07461FCC" w14:textId="77777777" w:rsidR="00310A2E" w:rsidRPr="008B3DF3" w:rsidRDefault="00310A2E" w:rsidP="00E136B9">
            <w:pPr>
              <w:spacing w:beforeLines="20" w:before="48" w:afterLines="20" w:after="48"/>
              <w:ind w:firstLineChars="200" w:firstLine="400"/>
              <w:jc w:val="left"/>
              <w:rPr>
                <w:rFonts w:eastAsia="Times New Roman" w:cstheme="minorHAnsi"/>
                <w:color w:val="000000"/>
                <w:lang w:eastAsia="en-ZA"/>
              </w:rPr>
            </w:pPr>
            <w:r w:rsidRPr="008B3DF3">
              <w:rPr>
                <w:rFonts w:eastAsia="Times New Roman" w:cstheme="minorHAnsi"/>
                <w:color w:val="000000"/>
                <w:lang w:eastAsia="en-ZA"/>
              </w:rPr>
              <w:t>Trade</w:t>
            </w:r>
          </w:p>
        </w:tc>
        <w:tc>
          <w:tcPr>
            <w:tcW w:w="1544" w:type="dxa"/>
            <w:noWrap/>
            <w:hideMark/>
          </w:tcPr>
          <w:p w14:paraId="283E94E0" w14:textId="77777777" w:rsidR="00310A2E" w:rsidRPr="008B3DF3" w:rsidRDefault="00310A2E" w:rsidP="00E136B9">
            <w:pPr>
              <w:spacing w:beforeLines="20" w:before="48" w:afterLines="20" w:after="48"/>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lang w:eastAsia="en-ZA"/>
              </w:rPr>
            </w:pPr>
            <w:r w:rsidRPr="008B3DF3">
              <w:rPr>
                <w:rFonts w:eastAsia="Times New Roman" w:cstheme="minorHAnsi"/>
                <w:color w:val="000000"/>
                <w:lang w:eastAsia="en-ZA"/>
              </w:rPr>
              <w:t>-0.17</w:t>
            </w:r>
          </w:p>
        </w:tc>
        <w:tc>
          <w:tcPr>
            <w:tcW w:w="1559" w:type="dxa"/>
            <w:noWrap/>
            <w:hideMark/>
          </w:tcPr>
          <w:p w14:paraId="03E21EF5" w14:textId="77777777" w:rsidR="00310A2E" w:rsidRPr="008B3DF3" w:rsidRDefault="00310A2E" w:rsidP="00E136B9">
            <w:pPr>
              <w:spacing w:beforeLines="20" w:before="48" w:afterLines="20" w:after="48"/>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lang w:eastAsia="en-ZA"/>
              </w:rPr>
            </w:pPr>
            <w:r w:rsidRPr="008B3DF3">
              <w:rPr>
                <w:rFonts w:eastAsia="Times New Roman" w:cstheme="minorHAnsi"/>
                <w:color w:val="000000"/>
                <w:lang w:eastAsia="en-ZA"/>
              </w:rPr>
              <w:t>0.56</w:t>
            </w:r>
          </w:p>
        </w:tc>
        <w:tc>
          <w:tcPr>
            <w:tcW w:w="1418" w:type="dxa"/>
            <w:noWrap/>
            <w:hideMark/>
          </w:tcPr>
          <w:p w14:paraId="14CA5EB8" w14:textId="35C2AF46" w:rsidR="00310A2E" w:rsidRPr="008B3DF3" w:rsidRDefault="00310A2E" w:rsidP="00E136B9">
            <w:pPr>
              <w:spacing w:beforeLines="20" w:before="48" w:afterLines="20" w:after="48"/>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lang w:eastAsia="en-ZA"/>
              </w:rPr>
            </w:pPr>
            <w:r w:rsidRPr="0009552F">
              <w:t>-9 080</w:t>
            </w:r>
          </w:p>
        </w:tc>
        <w:tc>
          <w:tcPr>
            <w:tcW w:w="1655" w:type="dxa"/>
            <w:noWrap/>
            <w:hideMark/>
          </w:tcPr>
          <w:p w14:paraId="32A077C9" w14:textId="689BEC7D" w:rsidR="00310A2E" w:rsidRPr="008B3DF3" w:rsidRDefault="00310A2E" w:rsidP="00E136B9">
            <w:pPr>
              <w:spacing w:beforeLines="20" w:before="48" w:afterLines="20" w:after="48"/>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lang w:eastAsia="en-ZA"/>
              </w:rPr>
            </w:pPr>
            <w:r w:rsidRPr="0009552F">
              <w:t>90 021</w:t>
            </w:r>
          </w:p>
        </w:tc>
      </w:tr>
      <w:tr w:rsidR="00310A2E" w:rsidRPr="001028DC" w14:paraId="29E4B75E" w14:textId="77777777" w:rsidTr="00E136B9">
        <w:tc>
          <w:tcPr>
            <w:cnfStyle w:val="001000000000" w:firstRow="0" w:lastRow="0" w:firstColumn="1" w:lastColumn="0" w:oddVBand="0" w:evenVBand="0" w:oddHBand="0" w:evenHBand="0" w:firstRowFirstColumn="0" w:firstRowLastColumn="0" w:lastRowFirstColumn="0" w:lastRowLastColumn="0"/>
            <w:tcW w:w="3134" w:type="dxa"/>
            <w:noWrap/>
            <w:hideMark/>
          </w:tcPr>
          <w:p w14:paraId="59056C87" w14:textId="77777777" w:rsidR="00310A2E" w:rsidRPr="008B3DF3" w:rsidRDefault="00310A2E" w:rsidP="00E136B9">
            <w:pPr>
              <w:spacing w:beforeLines="20" w:before="48" w:afterLines="20" w:after="48"/>
              <w:ind w:firstLineChars="200" w:firstLine="400"/>
              <w:jc w:val="left"/>
              <w:rPr>
                <w:rFonts w:eastAsia="Times New Roman" w:cstheme="minorHAnsi"/>
                <w:color w:val="000000"/>
                <w:lang w:eastAsia="en-ZA"/>
              </w:rPr>
            </w:pPr>
            <w:r w:rsidRPr="008B3DF3">
              <w:rPr>
                <w:rFonts w:eastAsia="Times New Roman" w:cstheme="minorHAnsi"/>
                <w:color w:val="000000"/>
                <w:lang w:eastAsia="en-ZA"/>
              </w:rPr>
              <w:t>Finance and business</w:t>
            </w:r>
          </w:p>
        </w:tc>
        <w:tc>
          <w:tcPr>
            <w:tcW w:w="1544" w:type="dxa"/>
            <w:noWrap/>
            <w:hideMark/>
          </w:tcPr>
          <w:p w14:paraId="4021583A" w14:textId="77777777" w:rsidR="00310A2E" w:rsidRPr="008B3DF3" w:rsidRDefault="00310A2E" w:rsidP="00E136B9">
            <w:pPr>
              <w:spacing w:beforeLines="20" w:before="48" w:afterLines="20" w:after="48"/>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lang w:eastAsia="en-ZA"/>
              </w:rPr>
            </w:pPr>
            <w:r w:rsidRPr="008B3DF3">
              <w:rPr>
                <w:rFonts w:eastAsia="Times New Roman" w:cstheme="minorHAnsi"/>
                <w:color w:val="000000"/>
                <w:lang w:eastAsia="en-ZA"/>
              </w:rPr>
              <w:t>-0.18</w:t>
            </w:r>
          </w:p>
        </w:tc>
        <w:tc>
          <w:tcPr>
            <w:tcW w:w="1559" w:type="dxa"/>
            <w:noWrap/>
            <w:hideMark/>
          </w:tcPr>
          <w:p w14:paraId="5A427319" w14:textId="77777777" w:rsidR="00310A2E" w:rsidRPr="008B3DF3" w:rsidRDefault="00310A2E" w:rsidP="00E136B9">
            <w:pPr>
              <w:spacing w:beforeLines="20" w:before="48" w:afterLines="20" w:after="48"/>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lang w:eastAsia="en-ZA"/>
              </w:rPr>
            </w:pPr>
            <w:r w:rsidRPr="008B3DF3">
              <w:rPr>
                <w:rFonts w:eastAsia="Times New Roman" w:cstheme="minorHAnsi"/>
                <w:color w:val="000000"/>
                <w:lang w:eastAsia="en-ZA"/>
              </w:rPr>
              <w:t>0.74</w:t>
            </w:r>
          </w:p>
        </w:tc>
        <w:tc>
          <w:tcPr>
            <w:tcW w:w="1418" w:type="dxa"/>
            <w:noWrap/>
            <w:hideMark/>
          </w:tcPr>
          <w:p w14:paraId="4246719B" w14:textId="7F3AF206" w:rsidR="00310A2E" w:rsidRPr="008B3DF3" w:rsidRDefault="00310A2E" w:rsidP="00E136B9">
            <w:pPr>
              <w:spacing w:beforeLines="20" w:before="48" w:afterLines="20" w:after="48"/>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lang w:eastAsia="en-ZA"/>
              </w:rPr>
            </w:pPr>
            <w:r w:rsidRPr="0009552F">
              <w:t>421</w:t>
            </w:r>
          </w:p>
        </w:tc>
        <w:tc>
          <w:tcPr>
            <w:tcW w:w="1655" w:type="dxa"/>
            <w:noWrap/>
            <w:hideMark/>
          </w:tcPr>
          <w:p w14:paraId="238113E3" w14:textId="74E54C73" w:rsidR="00310A2E" w:rsidRPr="008B3DF3" w:rsidRDefault="00310A2E" w:rsidP="00E136B9">
            <w:pPr>
              <w:spacing w:beforeLines="20" w:before="48" w:afterLines="20" w:after="48"/>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lang w:eastAsia="en-ZA"/>
              </w:rPr>
            </w:pPr>
            <w:r w:rsidRPr="0009552F">
              <w:t>98 476</w:t>
            </w:r>
          </w:p>
        </w:tc>
      </w:tr>
      <w:tr w:rsidR="00310A2E" w:rsidRPr="001028DC" w14:paraId="5FEC1022" w14:textId="77777777" w:rsidTr="00E136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34" w:type="dxa"/>
            <w:noWrap/>
            <w:hideMark/>
          </w:tcPr>
          <w:p w14:paraId="465B6B10" w14:textId="77777777" w:rsidR="00310A2E" w:rsidRPr="008B3DF3" w:rsidRDefault="00310A2E" w:rsidP="00E136B9">
            <w:pPr>
              <w:spacing w:beforeLines="20" w:before="48" w:afterLines="20" w:after="48"/>
              <w:ind w:firstLineChars="200" w:firstLine="400"/>
              <w:jc w:val="left"/>
              <w:rPr>
                <w:rFonts w:eastAsia="Times New Roman" w:cstheme="minorHAnsi"/>
                <w:color w:val="000000"/>
                <w:lang w:eastAsia="en-ZA"/>
              </w:rPr>
            </w:pPr>
            <w:r w:rsidRPr="008B3DF3">
              <w:rPr>
                <w:rFonts w:eastAsia="Times New Roman" w:cstheme="minorHAnsi"/>
                <w:color w:val="000000"/>
                <w:lang w:eastAsia="en-ZA"/>
              </w:rPr>
              <w:t>Transport and communication</w:t>
            </w:r>
          </w:p>
        </w:tc>
        <w:tc>
          <w:tcPr>
            <w:tcW w:w="1544" w:type="dxa"/>
            <w:noWrap/>
            <w:hideMark/>
          </w:tcPr>
          <w:p w14:paraId="3C271D74" w14:textId="77777777" w:rsidR="00310A2E" w:rsidRPr="008B3DF3" w:rsidRDefault="00310A2E" w:rsidP="00E136B9">
            <w:pPr>
              <w:spacing w:beforeLines="20" w:before="48" w:afterLines="20" w:after="48"/>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lang w:eastAsia="en-ZA"/>
              </w:rPr>
            </w:pPr>
            <w:r w:rsidRPr="008B3DF3">
              <w:rPr>
                <w:rFonts w:eastAsia="Times New Roman" w:cstheme="minorHAnsi"/>
                <w:color w:val="000000"/>
                <w:lang w:eastAsia="en-ZA"/>
              </w:rPr>
              <w:t>0.22</w:t>
            </w:r>
          </w:p>
        </w:tc>
        <w:tc>
          <w:tcPr>
            <w:tcW w:w="1559" w:type="dxa"/>
            <w:noWrap/>
            <w:hideMark/>
          </w:tcPr>
          <w:p w14:paraId="43A1C069" w14:textId="77777777" w:rsidR="00310A2E" w:rsidRPr="008B3DF3" w:rsidRDefault="00310A2E" w:rsidP="00E136B9">
            <w:pPr>
              <w:spacing w:beforeLines="20" w:before="48" w:afterLines="20" w:after="48"/>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lang w:eastAsia="en-ZA"/>
              </w:rPr>
            </w:pPr>
            <w:r w:rsidRPr="008B3DF3">
              <w:rPr>
                <w:rFonts w:eastAsia="Times New Roman" w:cstheme="minorHAnsi"/>
                <w:color w:val="000000"/>
                <w:lang w:eastAsia="en-ZA"/>
              </w:rPr>
              <w:t>1.54</w:t>
            </w:r>
          </w:p>
        </w:tc>
        <w:tc>
          <w:tcPr>
            <w:tcW w:w="1418" w:type="dxa"/>
            <w:noWrap/>
            <w:hideMark/>
          </w:tcPr>
          <w:p w14:paraId="2F5F4ABF" w14:textId="35F23711" w:rsidR="00310A2E" w:rsidRPr="008B3DF3" w:rsidRDefault="00310A2E" w:rsidP="00E136B9">
            <w:pPr>
              <w:spacing w:beforeLines="20" w:before="48" w:afterLines="20" w:after="48"/>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lang w:eastAsia="en-ZA"/>
              </w:rPr>
            </w:pPr>
            <w:r w:rsidRPr="0009552F">
              <w:t>6 581</w:t>
            </w:r>
          </w:p>
        </w:tc>
        <w:tc>
          <w:tcPr>
            <w:tcW w:w="1655" w:type="dxa"/>
            <w:noWrap/>
            <w:hideMark/>
          </w:tcPr>
          <w:p w14:paraId="75C3499D" w14:textId="70B9BACD" w:rsidR="00310A2E" w:rsidRPr="008B3DF3" w:rsidRDefault="00310A2E" w:rsidP="00E136B9">
            <w:pPr>
              <w:spacing w:beforeLines="20" w:before="48" w:afterLines="20" w:after="48"/>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lang w:eastAsia="en-ZA"/>
              </w:rPr>
            </w:pPr>
            <w:r w:rsidRPr="0009552F">
              <w:t>30 968</w:t>
            </w:r>
          </w:p>
        </w:tc>
      </w:tr>
      <w:tr w:rsidR="00310A2E" w:rsidRPr="001028DC" w14:paraId="1AB8B58D" w14:textId="77777777" w:rsidTr="00E136B9">
        <w:tc>
          <w:tcPr>
            <w:cnfStyle w:val="001000000000" w:firstRow="0" w:lastRow="0" w:firstColumn="1" w:lastColumn="0" w:oddVBand="0" w:evenVBand="0" w:oddHBand="0" w:evenHBand="0" w:firstRowFirstColumn="0" w:firstRowLastColumn="0" w:lastRowFirstColumn="0" w:lastRowLastColumn="0"/>
            <w:tcW w:w="3134" w:type="dxa"/>
            <w:noWrap/>
            <w:hideMark/>
          </w:tcPr>
          <w:p w14:paraId="7E33CB2E" w14:textId="77777777" w:rsidR="00310A2E" w:rsidRPr="008B3DF3" w:rsidRDefault="00310A2E" w:rsidP="00E136B9">
            <w:pPr>
              <w:spacing w:beforeLines="20" w:before="48" w:afterLines="20" w:after="48"/>
              <w:ind w:firstLineChars="200" w:firstLine="400"/>
              <w:jc w:val="left"/>
              <w:rPr>
                <w:rFonts w:eastAsia="Times New Roman" w:cstheme="minorHAnsi"/>
                <w:color w:val="000000"/>
                <w:lang w:eastAsia="en-ZA"/>
              </w:rPr>
            </w:pPr>
            <w:r w:rsidRPr="008B3DF3">
              <w:rPr>
                <w:rFonts w:eastAsia="Times New Roman" w:cstheme="minorHAnsi"/>
                <w:color w:val="000000"/>
                <w:lang w:eastAsia="en-ZA"/>
              </w:rPr>
              <w:t>Government</w:t>
            </w:r>
          </w:p>
        </w:tc>
        <w:tc>
          <w:tcPr>
            <w:tcW w:w="1544" w:type="dxa"/>
            <w:noWrap/>
            <w:hideMark/>
          </w:tcPr>
          <w:p w14:paraId="240693F5" w14:textId="77777777" w:rsidR="00310A2E" w:rsidRPr="008B3DF3" w:rsidRDefault="00310A2E" w:rsidP="00E136B9">
            <w:pPr>
              <w:spacing w:beforeLines="20" w:before="48" w:afterLines="20" w:after="48"/>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lang w:eastAsia="en-ZA"/>
              </w:rPr>
            </w:pPr>
            <w:r w:rsidRPr="008B3DF3">
              <w:rPr>
                <w:rFonts w:eastAsia="Times New Roman" w:cstheme="minorHAnsi"/>
                <w:color w:val="000000"/>
                <w:lang w:eastAsia="en-ZA"/>
              </w:rPr>
              <w:t>-0.09</w:t>
            </w:r>
          </w:p>
        </w:tc>
        <w:tc>
          <w:tcPr>
            <w:tcW w:w="1559" w:type="dxa"/>
            <w:noWrap/>
            <w:hideMark/>
          </w:tcPr>
          <w:p w14:paraId="2B66D561" w14:textId="77777777" w:rsidR="00310A2E" w:rsidRPr="008B3DF3" w:rsidRDefault="00310A2E" w:rsidP="00E136B9">
            <w:pPr>
              <w:spacing w:beforeLines="20" w:before="48" w:afterLines="20" w:after="48"/>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lang w:eastAsia="en-ZA"/>
              </w:rPr>
            </w:pPr>
            <w:r w:rsidRPr="008B3DF3">
              <w:rPr>
                <w:rFonts w:eastAsia="Times New Roman" w:cstheme="minorHAnsi"/>
                <w:color w:val="000000"/>
                <w:lang w:eastAsia="en-ZA"/>
              </w:rPr>
              <w:t>0.75</w:t>
            </w:r>
          </w:p>
        </w:tc>
        <w:tc>
          <w:tcPr>
            <w:tcW w:w="1418" w:type="dxa"/>
            <w:noWrap/>
            <w:hideMark/>
          </w:tcPr>
          <w:p w14:paraId="2314A6A2" w14:textId="5D0D8590" w:rsidR="00310A2E" w:rsidRPr="008B3DF3" w:rsidRDefault="00310A2E" w:rsidP="00E136B9">
            <w:pPr>
              <w:spacing w:beforeLines="20" w:before="48" w:afterLines="20" w:after="48"/>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lang w:eastAsia="en-ZA"/>
              </w:rPr>
            </w:pPr>
            <w:r w:rsidRPr="0009552F">
              <w:t>-874</w:t>
            </w:r>
          </w:p>
        </w:tc>
        <w:tc>
          <w:tcPr>
            <w:tcW w:w="1655" w:type="dxa"/>
            <w:noWrap/>
            <w:hideMark/>
          </w:tcPr>
          <w:p w14:paraId="6A4957C3" w14:textId="59BCA112" w:rsidR="00310A2E" w:rsidRPr="008B3DF3" w:rsidRDefault="00310A2E" w:rsidP="00E136B9">
            <w:pPr>
              <w:spacing w:beforeLines="20" w:before="48" w:afterLines="20" w:after="48"/>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lang w:eastAsia="en-ZA"/>
              </w:rPr>
            </w:pPr>
            <w:r w:rsidRPr="0009552F">
              <w:t>23 420</w:t>
            </w:r>
          </w:p>
        </w:tc>
      </w:tr>
      <w:tr w:rsidR="00310A2E" w:rsidRPr="001028DC" w14:paraId="33E22E75" w14:textId="77777777" w:rsidTr="00E136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34" w:type="dxa"/>
            <w:tcBorders>
              <w:bottom w:val="single" w:sz="4" w:space="0" w:color="auto"/>
            </w:tcBorders>
            <w:noWrap/>
            <w:hideMark/>
          </w:tcPr>
          <w:p w14:paraId="3B19904E" w14:textId="77777777" w:rsidR="00310A2E" w:rsidRPr="008B3DF3" w:rsidRDefault="00310A2E" w:rsidP="00E136B9">
            <w:pPr>
              <w:spacing w:beforeLines="20" w:before="48" w:afterLines="20" w:after="48"/>
              <w:ind w:firstLineChars="200" w:firstLine="400"/>
              <w:jc w:val="left"/>
              <w:rPr>
                <w:rFonts w:eastAsia="Times New Roman" w:cstheme="minorHAnsi"/>
                <w:color w:val="000000"/>
                <w:lang w:eastAsia="en-ZA"/>
              </w:rPr>
            </w:pPr>
            <w:r w:rsidRPr="008B3DF3">
              <w:rPr>
                <w:rFonts w:eastAsia="Times New Roman" w:cstheme="minorHAnsi"/>
                <w:color w:val="000000"/>
                <w:lang w:eastAsia="en-ZA"/>
              </w:rPr>
              <w:t>Other</w:t>
            </w:r>
          </w:p>
        </w:tc>
        <w:tc>
          <w:tcPr>
            <w:tcW w:w="1544" w:type="dxa"/>
            <w:tcBorders>
              <w:bottom w:val="single" w:sz="4" w:space="0" w:color="auto"/>
            </w:tcBorders>
            <w:noWrap/>
            <w:hideMark/>
          </w:tcPr>
          <w:p w14:paraId="5EC1CF02" w14:textId="77777777" w:rsidR="00310A2E" w:rsidRPr="008B3DF3" w:rsidRDefault="00310A2E" w:rsidP="00E136B9">
            <w:pPr>
              <w:spacing w:beforeLines="20" w:before="48" w:afterLines="20" w:after="48"/>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lang w:eastAsia="en-ZA"/>
              </w:rPr>
            </w:pPr>
            <w:r w:rsidRPr="008B3DF3">
              <w:rPr>
                <w:rFonts w:eastAsia="Times New Roman" w:cstheme="minorHAnsi"/>
                <w:color w:val="000000"/>
                <w:lang w:eastAsia="en-ZA"/>
              </w:rPr>
              <w:t>-0.16</w:t>
            </w:r>
          </w:p>
        </w:tc>
        <w:tc>
          <w:tcPr>
            <w:tcW w:w="1559" w:type="dxa"/>
            <w:tcBorders>
              <w:bottom w:val="single" w:sz="4" w:space="0" w:color="auto"/>
            </w:tcBorders>
            <w:noWrap/>
            <w:hideMark/>
          </w:tcPr>
          <w:p w14:paraId="4C2F754A" w14:textId="77777777" w:rsidR="00310A2E" w:rsidRPr="008B3DF3" w:rsidRDefault="00310A2E" w:rsidP="00E136B9">
            <w:pPr>
              <w:spacing w:beforeLines="20" w:before="48" w:afterLines="20" w:after="48"/>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lang w:eastAsia="en-ZA"/>
              </w:rPr>
            </w:pPr>
            <w:r w:rsidRPr="008B3DF3">
              <w:rPr>
                <w:rFonts w:eastAsia="Times New Roman" w:cstheme="minorHAnsi"/>
                <w:color w:val="000000"/>
                <w:lang w:eastAsia="en-ZA"/>
              </w:rPr>
              <w:t>0.83</w:t>
            </w:r>
          </w:p>
        </w:tc>
        <w:tc>
          <w:tcPr>
            <w:tcW w:w="1418" w:type="dxa"/>
            <w:tcBorders>
              <w:bottom w:val="single" w:sz="4" w:space="0" w:color="auto"/>
            </w:tcBorders>
            <w:noWrap/>
            <w:hideMark/>
          </w:tcPr>
          <w:p w14:paraId="53B3717F" w14:textId="16BCD1B0" w:rsidR="00310A2E" w:rsidRPr="008B3DF3" w:rsidRDefault="00310A2E" w:rsidP="00E136B9">
            <w:pPr>
              <w:spacing w:beforeLines="20" w:before="48" w:afterLines="20" w:after="48"/>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lang w:eastAsia="en-ZA"/>
              </w:rPr>
            </w:pPr>
            <w:r w:rsidRPr="0009552F">
              <w:t>1 220</w:t>
            </w:r>
          </w:p>
        </w:tc>
        <w:tc>
          <w:tcPr>
            <w:tcW w:w="1655" w:type="dxa"/>
            <w:tcBorders>
              <w:bottom w:val="single" w:sz="4" w:space="0" w:color="auto"/>
            </w:tcBorders>
            <w:noWrap/>
            <w:hideMark/>
          </w:tcPr>
          <w:p w14:paraId="2615F845" w14:textId="75AAA8CC" w:rsidR="00310A2E" w:rsidRPr="008B3DF3" w:rsidRDefault="00310A2E" w:rsidP="00E136B9">
            <w:pPr>
              <w:spacing w:beforeLines="20" w:before="48" w:afterLines="20" w:after="48"/>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lang w:eastAsia="en-ZA"/>
              </w:rPr>
            </w:pPr>
            <w:r w:rsidRPr="0009552F">
              <w:t>168 751</w:t>
            </w:r>
          </w:p>
        </w:tc>
      </w:tr>
    </w:tbl>
    <w:p w14:paraId="2BDBD23C" w14:textId="2127BDFF" w:rsidR="00DF6CB0" w:rsidRPr="00E136B9" w:rsidRDefault="00EB55A0" w:rsidP="00E136B9">
      <w:pPr>
        <w:rPr>
          <w:i/>
        </w:rPr>
      </w:pPr>
      <w:r w:rsidRPr="00E136B9">
        <w:rPr>
          <w:i/>
        </w:rPr>
        <w:t>Source: SATIMGE</w:t>
      </w:r>
    </w:p>
    <w:p w14:paraId="0CB0AD31" w14:textId="77777777" w:rsidR="00EB55A0" w:rsidRDefault="00EB55A0" w:rsidP="00DF6CB0">
      <w:pPr>
        <w:keepNext/>
        <w:spacing w:after="0"/>
        <w:jc w:val="center"/>
      </w:pPr>
    </w:p>
    <w:p w14:paraId="78AC5D5E" w14:textId="26CD44F9" w:rsidR="007960AE" w:rsidRDefault="002473BD" w:rsidP="00DF6CB0">
      <w:pPr>
        <w:keepNext/>
        <w:spacing w:after="0"/>
        <w:jc w:val="center"/>
      </w:pPr>
      <w:r>
        <w:rPr>
          <w:noProof/>
        </w:rPr>
        <w:drawing>
          <wp:inline distT="0" distB="0" distL="0" distR="0" wp14:anchorId="1F21D880" wp14:editId="2D5EAEA1">
            <wp:extent cx="4343400" cy="2813872"/>
            <wp:effectExtent l="0" t="0" r="0"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355990" cy="2822029"/>
                    </a:xfrm>
                    <a:prstGeom prst="rect">
                      <a:avLst/>
                    </a:prstGeom>
                  </pic:spPr>
                </pic:pic>
              </a:graphicData>
            </a:graphic>
          </wp:inline>
        </w:drawing>
      </w:r>
    </w:p>
    <w:p w14:paraId="1A9A372D" w14:textId="68E96FA9" w:rsidR="007960AE" w:rsidRDefault="007960AE" w:rsidP="00D6776E">
      <w:pPr>
        <w:pStyle w:val="Caption"/>
        <w:spacing w:before="0" w:after="0"/>
        <w:jc w:val="both"/>
        <w:rPr>
          <w:noProof/>
        </w:rPr>
      </w:pPr>
      <w:r>
        <w:t xml:space="preserve">Figure </w:t>
      </w:r>
      <w:r w:rsidR="001C1DBB">
        <w:rPr>
          <w:noProof/>
        </w:rPr>
        <w:t>1</w:t>
      </w:r>
      <w:r w:rsidR="0006096A">
        <w:rPr>
          <w:noProof/>
        </w:rPr>
        <w:t>5</w:t>
      </w:r>
      <w:r w:rsidR="00EA7711">
        <w:rPr>
          <w:noProof/>
        </w:rPr>
        <w:t>:</w:t>
      </w:r>
      <w:r>
        <w:t xml:space="preserve"> </w:t>
      </w:r>
      <w:r w:rsidR="004B121A">
        <w:t>H</w:t>
      </w:r>
      <w:r>
        <w:t>ousehold</w:t>
      </w:r>
      <w:r w:rsidR="004B121A">
        <w:t xml:space="preserve"> private transport fuel use</w:t>
      </w:r>
      <w:r w:rsidR="004B121A">
        <w:rPr>
          <w:noProof/>
        </w:rPr>
        <w:t xml:space="preserve"> with (EV-in) and without (EV-out) EV adoption</w:t>
      </w:r>
    </w:p>
    <w:p w14:paraId="7B3469AF" w14:textId="77777777" w:rsidR="00D6776E" w:rsidRPr="0035219A" w:rsidRDefault="00D6776E" w:rsidP="00D6776E">
      <w:pPr>
        <w:pStyle w:val="Caption"/>
        <w:spacing w:before="0" w:after="0"/>
        <w:jc w:val="both"/>
        <w:rPr>
          <w:b w:val="0"/>
          <w:bCs/>
          <w:szCs w:val="16"/>
        </w:rPr>
      </w:pPr>
      <w:r w:rsidRPr="0035219A">
        <w:rPr>
          <w:b w:val="0"/>
          <w:bCs/>
          <w:szCs w:val="16"/>
        </w:rPr>
        <w:t>Source: SATIMGE</w:t>
      </w:r>
    </w:p>
    <w:p w14:paraId="680BD18F" w14:textId="6C364D61" w:rsidR="0063396A" w:rsidRDefault="0063396A" w:rsidP="0063396A">
      <w:pPr>
        <w:pStyle w:val="Heading2"/>
        <w:numPr>
          <w:ilvl w:val="2"/>
          <w:numId w:val="2"/>
        </w:numPr>
        <w:spacing w:after="120"/>
      </w:pPr>
      <w:r w:rsidRPr="0063396A">
        <w:t>Sensitivity to</w:t>
      </w:r>
      <w:r w:rsidR="00663098" w:rsidRPr="0063396A">
        <w:t xml:space="preserve"> rebound le</w:t>
      </w:r>
      <w:r w:rsidRPr="0063396A">
        <w:t>vel</w:t>
      </w:r>
    </w:p>
    <w:p w14:paraId="21457C93" w14:textId="2FB8E8B6" w:rsidR="00FC167F" w:rsidRDefault="00663098" w:rsidP="0063396A">
      <w:r>
        <w:t xml:space="preserve">The above discussion of </w:t>
      </w:r>
      <w:r w:rsidR="006A79CF">
        <w:t xml:space="preserve">the results </w:t>
      </w:r>
      <w:r>
        <w:t xml:space="preserve">has </w:t>
      </w:r>
      <w:r w:rsidR="006A79CF">
        <w:t xml:space="preserve">focused on a rebound level of zero, meaning </w:t>
      </w:r>
      <w:r w:rsidR="007C04BA">
        <w:t>that the full effect</w:t>
      </w:r>
      <w:r>
        <w:t>s</w:t>
      </w:r>
      <w:r w:rsidR="007C04BA">
        <w:t xml:space="preserve"> of switching to more efficient energy sources in transport are captured.</w:t>
      </w:r>
      <w:r w:rsidR="00696179">
        <w:t xml:space="preserve"> There is</w:t>
      </w:r>
      <w:r>
        <w:t>,</w:t>
      </w:r>
      <w:r w:rsidR="00696179">
        <w:t xml:space="preserve"> however</w:t>
      </w:r>
      <w:r>
        <w:t>,</w:t>
      </w:r>
      <w:r w:rsidR="007A3F61">
        <w:t xml:space="preserve"> </w:t>
      </w:r>
      <w:r w:rsidR="00844E42">
        <w:t xml:space="preserve">an ongoing debate as to whether </w:t>
      </w:r>
      <w:r w:rsidR="00FC167F">
        <w:t>people will be travelling more (or longer) when facing lower costs</w:t>
      </w:r>
      <w:r>
        <w:t xml:space="preserve"> per km,</w:t>
      </w:r>
      <w:r w:rsidR="00BB23CF">
        <w:t xml:space="preserve"> and</w:t>
      </w:r>
      <w:r>
        <w:t>,</w:t>
      </w:r>
      <w:r w:rsidR="00BB23CF">
        <w:t xml:space="preserve"> if so, how much more</w:t>
      </w:r>
      <w:r w:rsidR="00844E42">
        <w:t xml:space="preserve">. </w:t>
      </w:r>
      <w:r w:rsidR="00BB23CF">
        <w:t xml:space="preserve">Estimates of the rebound effect have ranged from zero to </w:t>
      </w:r>
      <w:r w:rsidR="006948E0">
        <w:t>0.3</w:t>
      </w:r>
      <w:r w:rsidR="00BB23CF">
        <w:t xml:space="preserve"> (see Seebauer, 2018; </w:t>
      </w:r>
      <w:r w:rsidR="008320EA" w:rsidRPr="008320EA">
        <w:t xml:space="preserve">Gillingham </w:t>
      </w:r>
      <w:r w:rsidR="00167AD3">
        <w:t>et al.</w:t>
      </w:r>
      <w:r w:rsidR="008320EA">
        <w:t>, 2013</w:t>
      </w:r>
      <w:r w:rsidR="00BB23CF">
        <w:t>)</w:t>
      </w:r>
      <w:r w:rsidR="006948E0">
        <w:t xml:space="preserve">. </w:t>
      </w:r>
      <w:r w:rsidR="008320EA" w:rsidRPr="008320EA">
        <w:t xml:space="preserve">Gillingham </w:t>
      </w:r>
      <w:r w:rsidR="00167AD3">
        <w:t>et al.</w:t>
      </w:r>
      <w:r w:rsidR="008320EA" w:rsidRPr="008320EA">
        <w:t xml:space="preserve"> </w:t>
      </w:r>
      <w:r w:rsidR="008320EA">
        <w:t>(2013)</w:t>
      </w:r>
      <w:r w:rsidR="00DB63E4">
        <w:t>, however,</w:t>
      </w:r>
      <w:r w:rsidR="006948E0">
        <w:t xml:space="preserve"> argue that th</w:t>
      </w:r>
      <w:r w:rsidR="006948E0" w:rsidRPr="006948E0">
        <w:t xml:space="preserve">e </w:t>
      </w:r>
      <w:r w:rsidR="00DB63E4">
        <w:t xml:space="preserve">km </w:t>
      </w:r>
      <w:r w:rsidR="006948E0">
        <w:t>impact</w:t>
      </w:r>
      <w:r w:rsidR="006948E0" w:rsidRPr="006948E0">
        <w:t xml:space="preserve"> </w:t>
      </w:r>
      <w:r w:rsidR="006948E0">
        <w:t>is likely closer to</w:t>
      </w:r>
      <w:r w:rsidR="00DB63E4">
        <w:t xml:space="preserve"> lower estimates,</w:t>
      </w:r>
      <w:r w:rsidR="006948E0">
        <w:t xml:space="preserve"> between 0.0</w:t>
      </w:r>
      <w:r w:rsidR="006948E0" w:rsidRPr="006948E0">
        <w:t>5</w:t>
      </w:r>
      <w:r w:rsidR="006948E0">
        <w:t xml:space="preserve"> </w:t>
      </w:r>
      <w:r w:rsidR="00DB63E4">
        <w:t>and</w:t>
      </w:r>
      <w:r w:rsidR="006948E0">
        <w:t xml:space="preserve"> 0.1</w:t>
      </w:r>
      <w:r w:rsidR="00DB63E4">
        <w:t>,</w:t>
      </w:r>
      <w:r w:rsidR="006948E0">
        <w:t xml:space="preserve"> as household behavioural responses are more strongly linked to price changes than efficiency changes</w:t>
      </w:r>
      <w:r w:rsidR="00BB23CF">
        <w:t xml:space="preserve">. </w:t>
      </w:r>
      <w:r w:rsidR="00DB63E4">
        <w:t xml:space="preserve">For the case of South Africa, no </w:t>
      </w:r>
      <w:r w:rsidR="00D52C44">
        <w:t>estimates of a</w:t>
      </w:r>
      <w:r w:rsidR="00DB63E4">
        <w:t xml:space="preserve"> potential range of rebound impact</w:t>
      </w:r>
      <w:r w:rsidR="00D52C44">
        <w:t>s</w:t>
      </w:r>
      <w:r w:rsidR="00DB63E4">
        <w:t xml:space="preserve"> for the country</w:t>
      </w:r>
      <w:r w:rsidR="00D52C44">
        <w:t xml:space="preserve"> could be found in the literature</w:t>
      </w:r>
      <w:r w:rsidR="00DB63E4">
        <w:t xml:space="preserve">. </w:t>
      </w:r>
      <w:r w:rsidR="00D52C44">
        <w:t>For this reason, estimates of the long-term price elasticity of petrol</w:t>
      </w:r>
      <w:r>
        <w:t xml:space="preserve"> are used here</w:t>
      </w:r>
      <w:r w:rsidR="00D52C44">
        <w:t xml:space="preserve"> as an indicator of the impact of improved fuel economy on transport demand</w:t>
      </w:r>
      <w:r>
        <w:t>,</w:t>
      </w:r>
      <w:r w:rsidR="00D52C44">
        <w:t xml:space="preserve"> even though </w:t>
      </w:r>
      <w:r w:rsidR="00DB63E4">
        <w:t>the degree of rebound effects accounts for more than just the change in fuel costs</w:t>
      </w:r>
      <w:r w:rsidR="00D52C44">
        <w:t>. Two additional scenarios based on petrol price elastic</w:t>
      </w:r>
      <w:r>
        <w:t>i</w:t>
      </w:r>
      <w:r w:rsidR="00D52C44">
        <w:t>ties from Boshoff (201</w:t>
      </w:r>
      <w:r w:rsidR="00167AD3">
        <w:t>2</w:t>
      </w:r>
      <w:r w:rsidR="00D52C44">
        <w:t>) are considered.</w:t>
      </w:r>
    </w:p>
    <w:p w14:paraId="7E97BFB3" w14:textId="596C7297" w:rsidR="007A3F61" w:rsidRDefault="007A3F61" w:rsidP="0063396A">
      <w:r>
        <w:t xml:space="preserve">Figure </w:t>
      </w:r>
      <w:r w:rsidR="001C62E1">
        <w:t>1</w:t>
      </w:r>
      <w:r w:rsidR="0006096A">
        <w:t>6</w:t>
      </w:r>
      <w:r>
        <w:t xml:space="preserve"> presents the change in household</w:t>
      </w:r>
      <w:r w:rsidR="00643F35">
        <w:t xml:space="preserve"> transport</w:t>
      </w:r>
      <w:r>
        <w:t xml:space="preserve"> fuel demand for two additional scenarios</w:t>
      </w:r>
      <w:r w:rsidR="00663098">
        <w:t>,</w:t>
      </w:r>
      <w:r>
        <w:t xml:space="preserve"> under which the rebound level is set to 0.25 (EV-IN_RB-0-25) and 0.5 (EV-IN_RB-0-5).</w:t>
      </w:r>
      <w:r w:rsidR="00643F35">
        <w:t xml:space="preserve"> Household transport fuel demand is </w:t>
      </w:r>
      <w:r w:rsidR="00653101">
        <w:t>42%</w:t>
      </w:r>
      <w:r w:rsidR="00643F35">
        <w:t xml:space="preserve"> </w:t>
      </w:r>
      <w:r w:rsidR="00653101">
        <w:t>higher in</w:t>
      </w:r>
      <w:r w:rsidR="00643F35">
        <w:t xml:space="preserve"> EV-IN_RB-0-25 and </w:t>
      </w:r>
      <w:r w:rsidR="00653101">
        <w:t xml:space="preserve">double EV-IN in </w:t>
      </w:r>
      <w:r w:rsidR="00643F35">
        <w:t>EV-IN_RB-0-5</w:t>
      </w:r>
      <w:r w:rsidR="00653101">
        <w:t xml:space="preserve"> by 2050</w:t>
      </w:r>
      <w:r w:rsidR="00643F35">
        <w:t xml:space="preserve">. </w:t>
      </w:r>
      <w:r w:rsidR="009F18CB">
        <w:t xml:space="preserve">The demand for electricity rises from </w:t>
      </w:r>
      <w:r w:rsidR="00653101">
        <w:t>23</w:t>
      </w:r>
      <w:r w:rsidR="009F18CB">
        <w:t xml:space="preserve"> </w:t>
      </w:r>
      <w:r w:rsidR="00653101">
        <w:t>TWh</w:t>
      </w:r>
      <w:r w:rsidR="009F18CB">
        <w:t xml:space="preserve"> in</w:t>
      </w:r>
      <w:r w:rsidR="00663098">
        <w:t xml:space="preserve"> the</w:t>
      </w:r>
      <w:r w:rsidR="009F18CB">
        <w:t xml:space="preserve"> EV-in scenario in 2050 to </w:t>
      </w:r>
      <w:r w:rsidR="00653101">
        <w:t>33.4</w:t>
      </w:r>
      <w:r w:rsidR="009F18CB">
        <w:t xml:space="preserve"> and </w:t>
      </w:r>
      <w:r w:rsidR="00653101">
        <w:t>47.8 TWh</w:t>
      </w:r>
      <w:r w:rsidR="009F18CB">
        <w:t xml:space="preserve"> in the EV-IN_RB-0-25 and EV-IN_RB-0-5 scenarios respectively.</w:t>
      </w:r>
      <w:r w:rsidR="009554CA">
        <w:t xml:space="preserve"> The higher demand for electricity requires additional new capacity. As a result, cumulative electricity investment is </w:t>
      </w:r>
      <w:r w:rsidR="005112C3">
        <w:t>5.4</w:t>
      </w:r>
      <w:r w:rsidR="009554CA">
        <w:t xml:space="preserve">% and </w:t>
      </w:r>
      <w:r w:rsidR="005112C3">
        <w:t>2.2</w:t>
      </w:r>
      <w:r w:rsidR="009554CA">
        <w:t>% higher in the EV-IN_RB-0-25 and EV-IN_RB-0-5 scenarios that in the EV-in scenario.</w:t>
      </w:r>
      <w:r w:rsidR="0078185F">
        <w:t xml:space="preserve"> </w:t>
      </w:r>
      <w:r w:rsidR="00BC4FE4">
        <w:t xml:space="preserve">Emissions </w:t>
      </w:r>
      <w:r w:rsidR="00653101">
        <w:t xml:space="preserve">are </w:t>
      </w:r>
      <w:r w:rsidR="00D55451">
        <w:t>1.7% and 4.1% higher than the zero rebound case, but</w:t>
      </w:r>
      <w:r w:rsidR="00663098">
        <w:t>,</w:t>
      </w:r>
      <w:r w:rsidR="00D55451">
        <w:t xml:space="preserve"> relative to the EV-OUT cases, savings are similar</w:t>
      </w:r>
      <w:r w:rsidR="00BC4FE4">
        <w:t>.</w:t>
      </w:r>
    </w:p>
    <w:p w14:paraId="01020D6F" w14:textId="77777777" w:rsidR="005C50E8" w:rsidRDefault="005C50E8" w:rsidP="005C50E8">
      <w:pPr>
        <w:keepNext/>
        <w:jc w:val="center"/>
      </w:pPr>
      <w:r>
        <w:rPr>
          <w:noProof/>
          <w:lang w:val="en-GB" w:eastAsia="en-GB"/>
        </w:rPr>
        <w:drawing>
          <wp:inline distT="0" distB="0" distL="0" distR="0" wp14:anchorId="4DCF60DD" wp14:editId="5AFE2B24">
            <wp:extent cx="4650097" cy="3016155"/>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661958" cy="3023848"/>
                    </a:xfrm>
                    <a:prstGeom prst="rect">
                      <a:avLst/>
                    </a:prstGeom>
                  </pic:spPr>
                </pic:pic>
              </a:graphicData>
            </a:graphic>
          </wp:inline>
        </w:drawing>
      </w:r>
    </w:p>
    <w:p w14:paraId="08D62115" w14:textId="3074EC57" w:rsidR="00737F54" w:rsidRDefault="005C50E8" w:rsidP="00D6776E">
      <w:pPr>
        <w:pStyle w:val="Caption"/>
        <w:spacing w:before="0" w:after="0"/>
        <w:jc w:val="both"/>
      </w:pPr>
      <w:r>
        <w:t xml:space="preserve">Figure </w:t>
      </w:r>
      <w:r w:rsidR="001C1DBB">
        <w:rPr>
          <w:noProof/>
        </w:rPr>
        <w:t>1</w:t>
      </w:r>
      <w:r w:rsidR="0006096A">
        <w:rPr>
          <w:noProof/>
        </w:rPr>
        <w:t>6</w:t>
      </w:r>
      <w:r w:rsidR="00663098">
        <w:rPr>
          <w:noProof/>
        </w:rPr>
        <w:t>:</w:t>
      </w:r>
      <w:r>
        <w:t xml:space="preserve"> Impact of rebound assumption on household private transport fuel demand</w:t>
      </w:r>
    </w:p>
    <w:p w14:paraId="76C35B45" w14:textId="77777777" w:rsidR="00D6776E" w:rsidRPr="0035219A" w:rsidRDefault="00D6776E" w:rsidP="00D6776E">
      <w:pPr>
        <w:pStyle w:val="Caption"/>
        <w:spacing w:before="0" w:after="0"/>
        <w:jc w:val="both"/>
        <w:rPr>
          <w:b w:val="0"/>
          <w:bCs/>
          <w:szCs w:val="16"/>
        </w:rPr>
      </w:pPr>
      <w:r w:rsidRPr="0035219A">
        <w:rPr>
          <w:b w:val="0"/>
          <w:bCs/>
          <w:szCs w:val="16"/>
        </w:rPr>
        <w:t>Source: SATIMGE</w:t>
      </w:r>
    </w:p>
    <w:p w14:paraId="46EFC0C7" w14:textId="77777777" w:rsidR="00D6776E" w:rsidRPr="00D6776E" w:rsidRDefault="00D6776E" w:rsidP="00D6776E"/>
    <w:p w14:paraId="5FD5765D" w14:textId="00705835" w:rsidR="004C7421" w:rsidRDefault="00FC0DC6">
      <w:r>
        <w:t xml:space="preserve">Table </w:t>
      </w:r>
      <w:r w:rsidR="001C62E1">
        <w:t>2</w:t>
      </w:r>
      <w:r>
        <w:t xml:space="preserve"> presents the impacts of EV adoption on GDP and employment for each rebound condition.</w:t>
      </w:r>
      <w:r w:rsidR="00E30D74">
        <w:t xml:space="preserve"> The results show that an increase in the rebound decreases the positive impact on GDP and employment</w:t>
      </w:r>
      <w:r w:rsidR="00EB55A0">
        <w:t>,</w:t>
      </w:r>
      <w:r w:rsidR="00E30D74">
        <w:t xml:space="preserve"> as less of the</w:t>
      </w:r>
      <w:r w:rsidR="00594C0F">
        <w:t xml:space="preserve"> efficiency</w:t>
      </w:r>
      <w:r w:rsidR="00E30D74">
        <w:t xml:space="preserve"> saving </w:t>
      </w:r>
      <w:r w:rsidR="00594C0F">
        <w:t>in private transport fuel consumption</w:t>
      </w:r>
      <w:r w:rsidR="00E30D74">
        <w:t xml:space="preserve"> is filtered to the rest of the economy</w:t>
      </w:r>
      <w:r w:rsidR="005112C3">
        <w:t xml:space="preserve"> and more investment in the electricity sector is required, crowding out capital growth in other sectors of the economy.</w:t>
      </w:r>
    </w:p>
    <w:p w14:paraId="1EB4731F" w14:textId="2132C9CE" w:rsidR="003E2D67" w:rsidRDefault="003E2D67" w:rsidP="00E136B9">
      <w:pPr>
        <w:pStyle w:val="Caption"/>
        <w:spacing w:before="480"/>
      </w:pPr>
      <w:r>
        <w:t xml:space="preserve">Table </w:t>
      </w:r>
      <w:r w:rsidR="00580066">
        <w:rPr>
          <w:noProof/>
        </w:rPr>
        <w:t>2</w:t>
      </w:r>
      <w:r w:rsidR="00EB55A0">
        <w:rPr>
          <w:noProof/>
        </w:rPr>
        <w:t>:</w:t>
      </w:r>
      <w:r>
        <w:t xml:space="preserve"> Impact of rebound assumption on GDP and employment impacts</w:t>
      </w:r>
    </w:p>
    <w:tbl>
      <w:tblPr>
        <w:tblStyle w:val="GridTable4-Accent61"/>
        <w:tblW w:w="9072" w:type="dxa"/>
        <w:tblLook w:val="04A0" w:firstRow="1" w:lastRow="0" w:firstColumn="1" w:lastColumn="0" w:noHBand="0" w:noVBand="1"/>
      </w:tblPr>
      <w:tblGrid>
        <w:gridCol w:w="3261"/>
        <w:gridCol w:w="850"/>
        <w:gridCol w:w="851"/>
        <w:gridCol w:w="810"/>
        <w:gridCol w:w="1032"/>
        <w:gridCol w:w="1134"/>
        <w:gridCol w:w="1134"/>
      </w:tblGrid>
      <w:tr w:rsidR="00206E5D" w:rsidRPr="003C55B0" w14:paraId="44B99871" w14:textId="77777777" w:rsidTr="00E136B9">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3261" w:type="dxa"/>
            <w:shd w:val="clear" w:color="auto" w:fill="44546A" w:themeFill="text2"/>
            <w:noWrap/>
            <w:hideMark/>
          </w:tcPr>
          <w:p w14:paraId="6A5E4FD7" w14:textId="7A501CA3" w:rsidR="00206E5D" w:rsidRPr="00E136B9" w:rsidRDefault="00206E5D" w:rsidP="00E136B9">
            <w:pPr>
              <w:pStyle w:val="tableheading"/>
              <w:spacing w:before="96" w:after="96"/>
              <w:rPr>
                <w:i/>
                <w:lang w:eastAsia="en-ZA"/>
              </w:rPr>
            </w:pPr>
            <w:r w:rsidRPr="00E136B9">
              <w:rPr>
                <w:b/>
                <w:i/>
                <w:lang w:eastAsia="en-ZA"/>
              </w:rPr>
              <w:t> </w:t>
            </w:r>
          </w:p>
        </w:tc>
        <w:tc>
          <w:tcPr>
            <w:tcW w:w="5811" w:type="dxa"/>
            <w:gridSpan w:val="6"/>
            <w:shd w:val="clear" w:color="auto" w:fill="44546A" w:themeFill="text2"/>
            <w:noWrap/>
            <w:hideMark/>
          </w:tcPr>
          <w:p w14:paraId="3F29E16B" w14:textId="77777777" w:rsidR="00206E5D" w:rsidRPr="00E136B9" w:rsidRDefault="00206E5D" w:rsidP="00E136B9">
            <w:pPr>
              <w:pStyle w:val="tableheading"/>
              <w:cnfStyle w:val="100000000000" w:firstRow="1" w:lastRow="0" w:firstColumn="0" w:lastColumn="0" w:oddVBand="0" w:evenVBand="0" w:oddHBand="0" w:evenHBand="0" w:firstRowFirstColumn="0" w:firstRowLastColumn="0" w:lastRowFirstColumn="0" w:lastRowLastColumn="0"/>
              <w:rPr>
                <w:i/>
                <w:lang w:eastAsia="en-ZA"/>
              </w:rPr>
            </w:pPr>
            <w:r w:rsidRPr="00E136B9">
              <w:rPr>
                <w:b/>
                <w:i/>
                <w:lang w:eastAsia="en-ZA"/>
              </w:rPr>
              <w:t>Change by 2050 in</w:t>
            </w:r>
          </w:p>
        </w:tc>
      </w:tr>
      <w:tr w:rsidR="00206E5D" w:rsidRPr="003C55B0" w14:paraId="49F0517E" w14:textId="77777777" w:rsidTr="00E136B9">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3261" w:type="dxa"/>
            <w:shd w:val="clear" w:color="auto" w:fill="44546A" w:themeFill="text2"/>
            <w:noWrap/>
            <w:hideMark/>
          </w:tcPr>
          <w:p w14:paraId="1F1A0756" w14:textId="77777777" w:rsidR="00206E5D" w:rsidRPr="00E136B9" w:rsidRDefault="00206E5D" w:rsidP="00E136B9">
            <w:pPr>
              <w:pStyle w:val="tableheading"/>
              <w:spacing w:before="96" w:after="96"/>
              <w:rPr>
                <w:i/>
                <w:lang w:eastAsia="en-ZA"/>
              </w:rPr>
            </w:pPr>
            <w:r w:rsidRPr="00E136B9">
              <w:rPr>
                <w:b/>
                <w:i/>
                <w:lang w:eastAsia="en-ZA"/>
              </w:rPr>
              <w:t> </w:t>
            </w:r>
          </w:p>
        </w:tc>
        <w:tc>
          <w:tcPr>
            <w:tcW w:w="2511" w:type="dxa"/>
            <w:gridSpan w:val="3"/>
            <w:shd w:val="clear" w:color="auto" w:fill="44546A" w:themeFill="text2"/>
            <w:noWrap/>
            <w:hideMark/>
          </w:tcPr>
          <w:p w14:paraId="44983161" w14:textId="77777777" w:rsidR="00206E5D" w:rsidRPr="00E136B9" w:rsidRDefault="00206E5D" w:rsidP="00E136B9">
            <w:pPr>
              <w:pStyle w:val="tableheading"/>
              <w:cnfStyle w:val="100000000000" w:firstRow="1" w:lastRow="0" w:firstColumn="0" w:lastColumn="0" w:oddVBand="0" w:evenVBand="0" w:oddHBand="0" w:evenHBand="0" w:firstRowFirstColumn="0" w:firstRowLastColumn="0" w:lastRowFirstColumn="0" w:lastRowLastColumn="0"/>
              <w:rPr>
                <w:i/>
                <w:lang w:eastAsia="en-ZA"/>
              </w:rPr>
            </w:pPr>
            <w:r w:rsidRPr="00E136B9">
              <w:rPr>
                <w:b/>
                <w:i/>
                <w:lang w:eastAsia="en-ZA"/>
              </w:rPr>
              <w:t>GDP level (%)</w:t>
            </w:r>
          </w:p>
        </w:tc>
        <w:tc>
          <w:tcPr>
            <w:tcW w:w="3300" w:type="dxa"/>
            <w:gridSpan w:val="3"/>
            <w:shd w:val="clear" w:color="auto" w:fill="44546A" w:themeFill="text2"/>
            <w:noWrap/>
            <w:hideMark/>
          </w:tcPr>
          <w:p w14:paraId="1DAB267D" w14:textId="77777777" w:rsidR="00206E5D" w:rsidRPr="00E136B9" w:rsidRDefault="00206E5D" w:rsidP="00E136B9">
            <w:pPr>
              <w:pStyle w:val="tableheading"/>
              <w:cnfStyle w:val="100000000000" w:firstRow="1" w:lastRow="0" w:firstColumn="0" w:lastColumn="0" w:oddVBand="0" w:evenVBand="0" w:oddHBand="0" w:evenHBand="0" w:firstRowFirstColumn="0" w:firstRowLastColumn="0" w:lastRowFirstColumn="0" w:lastRowLastColumn="0"/>
              <w:rPr>
                <w:i/>
                <w:lang w:eastAsia="en-ZA"/>
              </w:rPr>
            </w:pPr>
            <w:r w:rsidRPr="00E136B9">
              <w:rPr>
                <w:b/>
                <w:i/>
                <w:lang w:eastAsia="en-ZA"/>
              </w:rPr>
              <w:t>Employment</w:t>
            </w:r>
          </w:p>
        </w:tc>
      </w:tr>
      <w:tr w:rsidR="00180444" w:rsidRPr="003C55B0" w14:paraId="75367196" w14:textId="77777777" w:rsidTr="008165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1" w:type="dxa"/>
            <w:noWrap/>
            <w:hideMark/>
          </w:tcPr>
          <w:p w14:paraId="23731E93" w14:textId="3D2C6C80" w:rsidR="00206E5D" w:rsidRPr="003C55B0" w:rsidRDefault="00206E5D" w:rsidP="00E136B9">
            <w:pPr>
              <w:spacing w:beforeLines="0" w:before="20" w:afterLines="20" w:after="48"/>
              <w:jc w:val="left"/>
              <w:rPr>
                <w:rFonts w:eastAsia="Times New Roman" w:cstheme="minorHAnsi"/>
                <w:color w:val="000000"/>
                <w:lang w:eastAsia="en-ZA"/>
              </w:rPr>
            </w:pPr>
            <w:r w:rsidRPr="003C55B0">
              <w:rPr>
                <w:rFonts w:eastAsia="Times New Roman" w:cstheme="minorHAnsi"/>
                <w:color w:val="000000"/>
                <w:lang w:eastAsia="en-ZA"/>
              </w:rPr>
              <w:t> Rebound</w:t>
            </w:r>
          </w:p>
        </w:tc>
        <w:tc>
          <w:tcPr>
            <w:tcW w:w="850" w:type="dxa"/>
            <w:noWrap/>
          </w:tcPr>
          <w:p w14:paraId="1268B20A" w14:textId="6F7192F7" w:rsidR="00206E5D" w:rsidRPr="003C55B0" w:rsidRDefault="00206E5D" w:rsidP="00E136B9">
            <w:pPr>
              <w:spacing w:before="20" w:afterLines="20" w:after="48"/>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lang w:eastAsia="en-ZA"/>
              </w:rPr>
            </w:pPr>
            <w:r w:rsidRPr="003C55B0">
              <w:rPr>
                <w:rFonts w:eastAsia="Times New Roman" w:cstheme="minorHAnsi"/>
                <w:color w:val="000000"/>
                <w:lang w:eastAsia="en-ZA"/>
              </w:rPr>
              <w:t>0</w:t>
            </w:r>
          </w:p>
        </w:tc>
        <w:tc>
          <w:tcPr>
            <w:tcW w:w="851" w:type="dxa"/>
            <w:noWrap/>
          </w:tcPr>
          <w:p w14:paraId="5582EBCB" w14:textId="02B34B9D" w:rsidR="00206E5D" w:rsidRPr="003C55B0" w:rsidRDefault="00206E5D" w:rsidP="00E136B9">
            <w:pPr>
              <w:spacing w:before="20" w:afterLines="20" w:after="48"/>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lang w:eastAsia="en-ZA"/>
              </w:rPr>
            </w:pPr>
            <w:r w:rsidRPr="003C55B0">
              <w:rPr>
                <w:rFonts w:eastAsia="Times New Roman" w:cstheme="minorHAnsi"/>
                <w:color w:val="000000"/>
                <w:lang w:eastAsia="en-ZA"/>
              </w:rPr>
              <w:t>0.25</w:t>
            </w:r>
          </w:p>
        </w:tc>
        <w:tc>
          <w:tcPr>
            <w:tcW w:w="810" w:type="dxa"/>
            <w:noWrap/>
          </w:tcPr>
          <w:p w14:paraId="1A9CB380" w14:textId="725E0AD5" w:rsidR="00206E5D" w:rsidRPr="003C55B0" w:rsidRDefault="00206E5D" w:rsidP="00E136B9">
            <w:pPr>
              <w:spacing w:before="20" w:afterLines="20" w:after="48"/>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lang w:eastAsia="en-ZA"/>
              </w:rPr>
            </w:pPr>
            <w:r w:rsidRPr="003C55B0">
              <w:rPr>
                <w:rFonts w:eastAsia="Times New Roman" w:cstheme="minorHAnsi"/>
                <w:color w:val="000000"/>
                <w:lang w:eastAsia="en-ZA"/>
              </w:rPr>
              <w:t>0.5</w:t>
            </w:r>
          </w:p>
        </w:tc>
        <w:tc>
          <w:tcPr>
            <w:tcW w:w="1032" w:type="dxa"/>
            <w:noWrap/>
          </w:tcPr>
          <w:p w14:paraId="089EE66F" w14:textId="5A3C4106" w:rsidR="00206E5D" w:rsidRPr="003C55B0" w:rsidRDefault="00206E5D" w:rsidP="00E136B9">
            <w:pPr>
              <w:spacing w:before="20" w:afterLines="20" w:after="48"/>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lang w:eastAsia="en-ZA"/>
              </w:rPr>
            </w:pPr>
            <w:r w:rsidRPr="003C55B0">
              <w:rPr>
                <w:rFonts w:eastAsia="Times New Roman" w:cstheme="minorHAnsi"/>
                <w:color w:val="000000"/>
                <w:lang w:eastAsia="en-ZA"/>
              </w:rPr>
              <w:t>0</w:t>
            </w:r>
          </w:p>
        </w:tc>
        <w:tc>
          <w:tcPr>
            <w:tcW w:w="1134" w:type="dxa"/>
            <w:noWrap/>
          </w:tcPr>
          <w:p w14:paraId="52FAD4E3" w14:textId="5497633D" w:rsidR="00206E5D" w:rsidRPr="003C55B0" w:rsidRDefault="00206E5D" w:rsidP="00E136B9">
            <w:pPr>
              <w:spacing w:before="20" w:afterLines="20" w:after="48"/>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lang w:eastAsia="en-ZA"/>
              </w:rPr>
            </w:pPr>
            <w:r w:rsidRPr="003C55B0">
              <w:rPr>
                <w:rFonts w:eastAsia="Times New Roman" w:cstheme="minorHAnsi"/>
                <w:color w:val="000000"/>
                <w:lang w:eastAsia="en-ZA"/>
              </w:rPr>
              <w:t>0.25</w:t>
            </w:r>
          </w:p>
        </w:tc>
        <w:tc>
          <w:tcPr>
            <w:tcW w:w="1134" w:type="dxa"/>
            <w:noWrap/>
          </w:tcPr>
          <w:p w14:paraId="7BC5FAE1" w14:textId="4EC6EFC1" w:rsidR="00206E5D" w:rsidRPr="003C55B0" w:rsidRDefault="00206E5D" w:rsidP="00E136B9">
            <w:pPr>
              <w:spacing w:before="20" w:afterLines="20" w:after="48"/>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lang w:eastAsia="en-ZA"/>
              </w:rPr>
            </w:pPr>
            <w:r w:rsidRPr="003C55B0">
              <w:rPr>
                <w:rFonts w:eastAsia="Times New Roman" w:cstheme="minorHAnsi"/>
                <w:color w:val="000000"/>
                <w:lang w:eastAsia="en-ZA"/>
              </w:rPr>
              <w:t>0.5</w:t>
            </w:r>
          </w:p>
        </w:tc>
      </w:tr>
      <w:tr w:rsidR="0081650A" w:rsidRPr="003C55B0" w14:paraId="70C83AD8" w14:textId="77777777" w:rsidTr="0081650A">
        <w:tc>
          <w:tcPr>
            <w:cnfStyle w:val="001000000000" w:firstRow="0" w:lastRow="0" w:firstColumn="1" w:lastColumn="0" w:oddVBand="0" w:evenVBand="0" w:oddHBand="0" w:evenHBand="0" w:firstRowFirstColumn="0" w:firstRowLastColumn="0" w:lastRowFirstColumn="0" w:lastRowLastColumn="0"/>
            <w:tcW w:w="3261" w:type="dxa"/>
            <w:noWrap/>
            <w:hideMark/>
          </w:tcPr>
          <w:p w14:paraId="44B07E67" w14:textId="77777777" w:rsidR="00B23965" w:rsidRPr="003C55B0" w:rsidRDefault="00B23965" w:rsidP="00E136B9">
            <w:pPr>
              <w:spacing w:beforeLines="0" w:before="20" w:afterLines="20" w:after="48"/>
              <w:jc w:val="left"/>
              <w:rPr>
                <w:rFonts w:eastAsia="Times New Roman" w:cstheme="minorHAnsi"/>
                <w:color w:val="000000"/>
                <w:lang w:eastAsia="en-ZA"/>
              </w:rPr>
            </w:pPr>
            <w:r w:rsidRPr="003C55B0">
              <w:rPr>
                <w:rFonts w:eastAsia="Times New Roman" w:cstheme="minorHAnsi"/>
                <w:color w:val="000000"/>
                <w:lang w:eastAsia="en-ZA"/>
              </w:rPr>
              <w:t>GDP</w:t>
            </w:r>
          </w:p>
        </w:tc>
        <w:tc>
          <w:tcPr>
            <w:tcW w:w="850" w:type="dxa"/>
            <w:noWrap/>
            <w:hideMark/>
          </w:tcPr>
          <w:p w14:paraId="41EE1973" w14:textId="77777777" w:rsidR="00B23965" w:rsidRPr="003C55B0" w:rsidRDefault="00B23965" w:rsidP="00E136B9">
            <w:pPr>
              <w:spacing w:before="20" w:afterLines="20" w:after="48"/>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lang w:eastAsia="en-ZA"/>
              </w:rPr>
            </w:pPr>
            <w:r w:rsidRPr="003C55B0">
              <w:rPr>
                <w:rFonts w:eastAsia="Times New Roman" w:cstheme="minorHAnsi"/>
                <w:color w:val="000000"/>
                <w:lang w:eastAsia="en-ZA"/>
              </w:rPr>
              <w:t>0.37</w:t>
            </w:r>
          </w:p>
        </w:tc>
        <w:tc>
          <w:tcPr>
            <w:tcW w:w="851" w:type="dxa"/>
            <w:noWrap/>
            <w:hideMark/>
          </w:tcPr>
          <w:p w14:paraId="6653170F" w14:textId="77777777" w:rsidR="00B23965" w:rsidRPr="003C55B0" w:rsidRDefault="00B23965" w:rsidP="00E136B9">
            <w:pPr>
              <w:spacing w:before="20" w:afterLines="20" w:after="48"/>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lang w:eastAsia="en-ZA"/>
              </w:rPr>
            </w:pPr>
            <w:r w:rsidRPr="003C55B0">
              <w:rPr>
                <w:rFonts w:eastAsia="Times New Roman" w:cstheme="minorHAnsi"/>
                <w:color w:val="000000"/>
                <w:lang w:eastAsia="en-ZA"/>
              </w:rPr>
              <w:t>0.30</w:t>
            </w:r>
          </w:p>
        </w:tc>
        <w:tc>
          <w:tcPr>
            <w:tcW w:w="810" w:type="dxa"/>
            <w:noWrap/>
            <w:hideMark/>
          </w:tcPr>
          <w:p w14:paraId="1CA882D4" w14:textId="77777777" w:rsidR="00B23965" w:rsidRPr="003C55B0" w:rsidRDefault="00B23965" w:rsidP="00E136B9">
            <w:pPr>
              <w:spacing w:before="20" w:afterLines="20" w:after="48"/>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lang w:eastAsia="en-ZA"/>
              </w:rPr>
            </w:pPr>
            <w:r w:rsidRPr="003C55B0">
              <w:rPr>
                <w:rFonts w:eastAsia="Times New Roman" w:cstheme="minorHAnsi"/>
                <w:color w:val="000000"/>
                <w:lang w:eastAsia="en-ZA"/>
              </w:rPr>
              <w:t>0.19</w:t>
            </w:r>
          </w:p>
        </w:tc>
        <w:tc>
          <w:tcPr>
            <w:tcW w:w="1032" w:type="dxa"/>
            <w:noWrap/>
            <w:hideMark/>
          </w:tcPr>
          <w:p w14:paraId="07AFB378" w14:textId="732DEAF9" w:rsidR="00B23965" w:rsidRPr="003C55B0" w:rsidRDefault="00B23965" w:rsidP="00E136B9">
            <w:pPr>
              <w:spacing w:before="20" w:afterLines="20" w:after="48"/>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lang w:eastAsia="en-ZA"/>
              </w:rPr>
            </w:pPr>
            <w:r w:rsidRPr="003C55B0">
              <w:rPr>
                <w:rFonts w:cstheme="minorHAnsi"/>
              </w:rPr>
              <w:t>410 210</w:t>
            </w:r>
          </w:p>
        </w:tc>
        <w:tc>
          <w:tcPr>
            <w:tcW w:w="1134" w:type="dxa"/>
            <w:noWrap/>
            <w:hideMark/>
          </w:tcPr>
          <w:p w14:paraId="7A84BBC3" w14:textId="5E3BB93A" w:rsidR="00B23965" w:rsidRPr="003C55B0" w:rsidRDefault="00B23965" w:rsidP="00E136B9">
            <w:pPr>
              <w:spacing w:before="20" w:afterLines="20" w:after="48"/>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lang w:eastAsia="en-ZA"/>
              </w:rPr>
            </w:pPr>
            <w:r w:rsidRPr="003C55B0">
              <w:rPr>
                <w:rFonts w:cstheme="minorHAnsi"/>
              </w:rPr>
              <w:t>369 266</w:t>
            </w:r>
          </w:p>
        </w:tc>
        <w:tc>
          <w:tcPr>
            <w:tcW w:w="1134" w:type="dxa"/>
            <w:noWrap/>
            <w:hideMark/>
          </w:tcPr>
          <w:p w14:paraId="51241862" w14:textId="431FDAFA" w:rsidR="00B23965" w:rsidRPr="003C55B0" w:rsidRDefault="00B23965" w:rsidP="00E136B9">
            <w:pPr>
              <w:spacing w:before="20" w:afterLines="20" w:after="48"/>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lang w:eastAsia="en-ZA"/>
              </w:rPr>
            </w:pPr>
            <w:r w:rsidRPr="003C55B0">
              <w:rPr>
                <w:rFonts w:cstheme="minorHAnsi"/>
              </w:rPr>
              <w:t>303 172</w:t>
            </w:r>
          </w:p>
        </w:tc>
      </w:tr>
      <w:tr w:rsidR="00180444" w:rsidRPr="003C55B0" w14:paraId="58B6C697" w14:textId="77777777" w:rsidTr="008165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1" w:type="dxa"/>
            <w:noWrap/>
            <w:hideMark/>
          </w:tcPr>
          <w:p w14:paraId="4C86691A" w14:textId="77777777" w:rsidR="00B23965" w:rsidRPr="003C55B0" w:rsidRDefault="00B23965" w:rsidP="00E136B9">
            <w:pPr>
              <w:spacing w:beforeLines="0" w:before="20" w:afterLines="20" w:after="48"/>
              <w:ind w:firstLineChars="100" w:firstLine="200"/>
              <w:jc w:val="left"/>
              <w:rPr>
                <w:rFonts w:eastAsia="Times New Roman" w:cstheme="minorHAnsi"/>
                <w:color w:val="000000"/>
                <w:lang w:eastAsia="en-ZA"/>
              </w:rPr>
            </w:pPr>
            <w:r w:rsidRPr="003C55B0">
              <w:rPr>
                <w:rFonts w:eastAsia="Times New Roman" w:cstheme="minorHAnsi"/>
                <w:color w:val="000000"/>
                <w:lang w:eastAsia="en-ZA"/>
              </w:rPr>
              <w:t>Agriculture</w:t>
            </w:r>
          </w:p>
        </w:tc>
        <w:tc>
          <w:tcPr>
            <w:tcW w:w="850" w:type="dxa"/>
            <w:noWrap/>
            <w:hideMark/>
          </w:tcPr>
          <w:p w14:paraId="5B7AF55E" w14:textId="77777777" w:rsidR="00B23965" w:rsidRPr="003C55B0" w:rsidRDefault="00B23965" w:rsidP="00E136B9">
            <w:pPr>
              <w:spacing w:before="20" w:afterLines="20" w:after="48"/>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lang w:eastAsia="en-ZA"/>
              </w:rPr>
            </w:pPr>
            <w:r w:rsidRPr="003C55B0">
              <w:rPr>
                <w:rFonts w:eastAsia="Times New Roman" w:cstheme="minorHAnsi"/>
                <w:color w:val="000000"/>
                <w:lang w:eastAsia="en-ZA"/>
              </w:rPr>
              <w:t>-0.06</w:t>
            </w:r>
          </w:p>
        </w:tc>
        <w:tc>
          <w:tcPr>
            <w:tcW w:w="851" w:type="dxa"/>
            <w:noWrap/>
            <w:hideMark/>
          </w:tcPr>
          <w:p w14:paraId="1723F8B5" w14:textId="77777777" w:rsidR="00B23965" w:rsidRPr="003C55B0" w:rsidRDefault="00B23965" w:rsidP="00E136B9">
            <w:pPr>
              <w:spacing w:before="20" w:afterLines="20" w:after="48"/>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lang w:eastAsia="en-ZA"/>
              </w:rPr>
            </w:pPr>
            <w:r w:rsidRPr="003C55B0">
              <w:rPr>
                <w:rFonts w:eastAsia="Times New Roman" w:cstheme="minorHAnsi"/>
                <w:color w:val="000000"/>
                <w:lang w:eastAsia="en-ZA"/>
              </w:rPr>
              <w:t>-0.23</w:t>
            </w:r>
          </w:p>
        </w:tc>
        <w:tc>
          <w:tcPr>
            <w:tcW w:w="810" w:type="dxa"/>
            <w:noWrap/>
            <w:hideMark/>
          </w:tcPr>
          <w:p w14:paraId="5A08FE43" w14:textId="77777777" w:rsidR="00B23965" w:rsidRPr="003C55B0" w:rsidRDefault="00B23965" w:rsidP="00E136B9">
            <w:pPr>
              <w:spacing w:before="20" w:afterLines="20" w:after="48"/>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lang w:eastAsia="en-ZA"/>
              </w:rPr>
            </w:pPr>
            <w:r w:rsidRPr="003C55B0">
              <w:rPr>
                <w:rFonts w:eastAsia="Times New Roman" w:cstheme="minorHAnsi"/>
                <w:color w:val="000000"/>
                <w:lang w:eastAsia="en-ZA"/>
              </w:rPr>
              <w:t>-0.51</w:t>
            </w:r>
          </w:p>
        </w:tc>
        <w:tc>
          <w:tcPr>
            <w:tcW w:w="1032" w:type="dxa"/>
            <w:noWrap/>
            <w:hideMark/>
          </w:tcPr>
          <w:p w14:paraId="260F2742" w14:textId="511F0C21" w:rsidR="00B23965" w:rsidRPr="003C55B0" w:rsidRDefault="00B23965" w:rsidP="00E136B9">
            <w:pPr>
              <w:spacing w:before="20" w:afterLines="20" w:after="48"/>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lang w:eastAsia="en-ZA"/>
              </w:rPr>
            </w:pPr>
            <w:r w:rsidRPr="003C55B0">
              <w:rPr>
                <w:rFonts w:cstheme="minorHAnsi"/>
              </w:rPr>
              <w:t>11 729</w:t>
            </w:r>
          </w:p>
        </w:tc>
        <w:tc>
          <w:tcPr>
            <w:tcW w:w="1134" w:type="dxa"/>
            <w:noWrap/>
            <w:hideMark/>
          </w:tcPr>
          <w:p w14:paraId="2E61DD6E" w14:textId="25132C6C" w:rsidR="00B23965" w:rsidRPr="003C55B0" w:rsidRDefault="00B23965" w:rsidP="00E136B9">
            <w:pPr>
              <w:spacing w:before="20" w:afterLines="20" w:after="48"/>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lang w:eastAsia="en-ZA"/>
              </w:rPr>
            </w:pPr>
            <w:r w:rsidRPr="003C55B0">
              <w:rPr>
                <w:rFonts w:cstheme="minorHAnsi"/>
              </w:rPr>
              <w:t>9 353</w:t>
            </w:r>
          </w:p>
        </w:tc>
        <w:tc>
          <w:tcPr>
            <w:tcW w:w="1134" w:type="dxa"/>
            <w:noWrap/>
            <w:hideMark/>
          </w:tcPr>
          <w:p w14:paraId="7B787F40" w14:textId="5AEEA1E9" w:rsidR="00B23965" w:rsidRPr="003C55B0" w:rsidRDefault="00B23965" w:rsidP="00E136B9">
            <w:pPr>
              <w:spacing w:before="20" w:afterLines="20" w:after="48"/>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lang w:eastAsia="en-ZA"/>
              </w:rPr>
            </w:pPr>
            <w:r w:rsidRPr="003C55B0">
              <w:rPr>
                <w:rFonts w:cstheme="minorHAnsi"/>
              </w:rPr>
              <w:t>5 571</w:t>
            </w:r>
          </w:p>
        </w:tc>
      </w:tr>
      <w:tr w:rsidR="0081650A" w:rsidRPr="003C55B0" w14:paraId="010D9FF5" w14:textId="77777777" w:rsidTr="0081650A">
        <w:tc>
          <w:tcPr>
            <w:cnfStyle w:val="001000000000" w:firstRow="0" w:lastRow="0" w:firstColumn="1" w:lastColumn="0" w:oddVBand="0" w:evenVBand="0" w:oddHBand="0" w:evenHBand="0" w:firstRowFirstColumn="0" w:firstRowLastColumn="0" w:lastRowFirstColumn="0" w:lastRowLastColumn="0"/>
            <w:tcW w:w="3261" w:type="dxa"/>
            <w:noWrap/>
            <w:hideMark/>
          </w:tcPr>
          <w:p w14:paraId="76ED70EF" w14:textId="77777777" w:rsidR="00B23965" w:rsidRPr="003C55B0" w:rsidRDefault="00B23965" w:rsidP="00E136B9">
            <w:pPr>
              <w:spacing w:beforeLines="0" w:before="20" w:afterLines="20" w:after="48"/>
              <w:ind w:firstLineChars="100" w:firstLine="200"/>
              <w:jc w:val="left"/>
              <w:rPr>
                <w:rFonts w:eastAsia="Times New Roman" w:cstheme="minorHAnsi"/>
                <w:color w:val="000000"/>
                <w:lang w:eastAsia="en-ZA"/>
              </w:rPr>
            </w:pPr>
            <w:r w:rsidRPr="003C55B0">
              <w:rPr>
                <w:rFonts w:eastAsia="Times New Roman" w:cstheme="minorHAnsi"/>
                <w:color w:val="000000"/>
                <w:lang w:eastAsia="en-ZA"/>
              </w:rPr>
              <w:t>Mining</w:t>
            </w:r>
          </w:p>
        </w:tc>
        <w:tc>
          <w:tcPr>
            <w:tcW w:w="850" w:type="dxa"/>
            <w:noWrap/>
            <w:hideMark/>
          </w:tcPr>
          <w:p w14:paraId="0E12781D" w14:textId="77777777" w:rsidR="00B23965" w:rsidRPr="003C55B0" w:rsidRDefault="00B23965" w:rsidP="00E136B9">
            <w:pPr>
              <w:spacing w:before="20" w:afterLines="20" w:after="48"/>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lang w:eastAsia="en-ZA"/>
              </w:rPr>
            </w:pPr>
            <w:r w:rsidRPr="003C55B0">
              <w:rPr>
                <w:rFonts w:eastAsia="Times New Roman" w:cstheme="minorHAnsi"/>
                <w:color w:val="000000"/>
                <w:lang w:eastAsia="en-ZA"/>
              </w:rPr>
              <w:t>-4.62</w:t>
            </w:r>
          </w:p>
        </w:tc>
        <w:tc>
          <w:tcPr>
            <w:tcW w:w="851" w:type="dxa"/>
            <w:noWrap/>
            <w:hideMark/>
          </w:tcPr>
          <w:p w14:paraId="7596AA9A" w14:textId="77777777" w:rsidR="00B23965" w:rsidRPr="003C55B0" w:rsidRDefault="00B23965" w:rsidP="00E136B9">
            <w:pPr>
              <w:spacing w:before="20" w:afterLines="20" w:after="48"/>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lang w:eastAsia="en-ZA"/>
              </w:rPr>
            </w:pPr>
            <w:r w:rsidRPr="003C55B0">
              <w:rPr>
                <w:rFonts w:eastAsia="Times New Roman" w:cstheme="minorHAnsi"/>
                <w:color w:val="000000"/>
                <w:lang w:eastAsia="en-ZA"/>
              </w:rPr>
              <w:t>-4.79</w:t>
            </w:r>
          </w:p>
        </w:tc>
        <w:tc>
          <w:tcPr>
            <w:tcW w:w="810" w:type="dxa"/>
            <w:noWrap/>
            <w:hideMark/>
          </w:tcPr>
          <w:p w14:paraId="301BCD62" w14:textId="77777777" w:rsidR="00B23965" w:rsidRPr="003C55B0" w:rsidRDefault="00B23965" w:rsidP="00E136B9">
            <w:pPr>
              <w:spacing w:before="20" w:afterLines="20" w:after="48"/>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lang w:eastAsia="en-ZA"/>
              </w:rPr>
            </w:pPr>
            <w:r w:rsidRPr="003C55B0">
              <w:rPr>
                <w:rFonts w:eastAsia="Times New Roman" w:cstheme="minorHAnsi"/>
                <w:color w:val="000000"/>
                <w:lang w:eastAsia="en-ZA"/>
              </w:rPr>
              <w:t>-4.90</w:t>
            </w:r>
          </w:p>
        </w:tc>
        <w:tc>
          <w:tcPr>
            <w:tcW w:w="1032" w:type="dxa"/>
            <w:noWrap/>
            <w:hideMark/>
          </w:tcPr>
          <w:p w14:paraId="35A2F0C2" w14:textId="4540B2E8" w:rsidR="00B23965" w:rsidRPr="003C55B0" w:rsidRDefault="00B23965" w:rsidP="00E136B9">
            <w:pPr>
              <w:spacing w:before="20" w:afterLines="20" w:after="48"/>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lang w:eastAsia="en-ZA"/>
              </w:rPr>
            </w:pPr>
            <w:r w:rsidRPr="003C55B0">
              <w:rPr>
                <w:rFonts w:cstheme="minorHAnsi"/>
              </w:rPr>
              <w:t>-35 345</w:t>
            </w:r>
          </w:p>
        </w:tc>
        <w:tc>
          <w:tcPr>
            <w:tcW w:w="1134" w:type="dxa"/>
            <w:noWrap/>
            <w:hideMark/>
          </w:tcPr>
          <w:p w14:paraId="46FB193E" w14:textId="7E2A1D61" w:rsidR="00B23965" w:rsidRPr="003C55B0" w:rsidRDefault="00B23965" w:rsidP="00E136B9">
            <w:pPr>
              <w:spacing w:before="20" w:afterLines="20" w:after="48"/>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lang w:eastAsia="en-ZA"/>
              </w:rPr>
            </w:pPr>
            <w:r w:rsidRPr="003C55B0">
              <w:rPr>
                <w:rFonts w:cstheme="minorHAnsi"/>
              </w:rPr>
              <w:t>-37 098</w:t>
            </w:r>
          </w:p>
        </w:tc>
        <w:tc>
          <w:tcPr>
            <w:tcW w:w="1134" w:type="dxa"/>
            <w:noWrap/>
            <w:hideMark/>
          </w:tcPr>
          <w:p w14:paraId="2A044667" w14:textId="52339EB7" w:rsidR="00B23965" w:rsidRPr="003C55B0" w:rsidRDefault="00B23965" w:rsidP="00E136B9">
            <w:pPr>
              <w:spacing w:before="20" w:afterLines="20" w:after="48"/>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lang w:eastAsia="en-ZA"/>
              </w:rPr>
            </w:pPr>
            <w:r w:rsidRPr="003C55B0">
              <w:rPr>
                <w:rFonts w:cstheme="minorHAnsi"/>
              </w:rPr>
              <w:t>-38 175</w:t>
            </w:r>
          </w:p>
        </w:tc>
      </w:tr>
      <w:tr w:rsidR="00180444" w:rsidRPr="003C55B0" w14:paraId="3F20CD59" w14:textId="77777777" w:rsidTr="008165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1" w:type="dxa"/>
            <w:noWrap/>
            <w:hideMark/>
          </w:tcPr>
          <w:p w14:paraId="02BE38DF" w14:textId="77777777" w:rsidR="00B23965" w:rsidRPr="003C55B0" w:rsidRDefault="00B23965" w:rsidP="00E136B9">
            <w:pPr>
              <w:spacing w:beforeLines="0" w:before="20" w:afterLines="20" w:after="48"/>
              <w:ind w:firstLineChars="100" w:firstLine="200"/>
              <w:jc w:val="left"/>
              <w:rPr>
                <w:rFonts w:eastAsia="Times New Roman" w:cstheme="minorHAnsi"/>
                <w:color w:val="000000"/>
                <w:lang w:eastAsia="en-ZA"/>
              </w:rPr>
            </w:pPr>
            <w:r w:rsidRPr="003C55B0">
              <w:rPr>
                <w:rFonts w:eastAsia="Times New Roman" w:cstheme="minorHAnsi"/>
                <w:color w:val="000000"/>
                <w:lang w:eastAsia="en-ZA"/>
              </w:rPr>
              <w:t>Manufacturing</w:t>
            </w:r>
          </w:p>
        </w:tc>
        <w:tc>
          <w:tcPr>
            <w:tcW w:w="850" w:type="dxa"/>
            <w:noWrap/>
            <w:hideMark/>
          </w:tcPr>
          <w:p w14:paraId="569885B3" w14:textId="77777777" w:rsidR="00B23965" w:rsidRPr="003C55B0" w:rsidRDefault="00B23965" w:rsidP="00E136B9">
            <w:pPr>
              <w:spacing w:before="20" w:afterLines="20" w:after="48"/>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lang w:eastAsia="en-ZA"/>
              </w:rPr>
            </w:pPr>
            <w:r w:rsidRPr="003C55B0">
              <w:rPr>
                <w:rFonts w:eastAsia="Times New Roman" w:cstheme="minorHAnsi"/>
                <w:color w:val="000000"/>
                <w:lang w:eastAsia="en-ZA"/>
              </w:rPr>
              <w:t>-1.06</w:t>
            </w:r>
          </w:p>
        </w:tc>
        <w:tc>
          <w:tcPr>
            <w:tcW w:w="851" w:type="dxa"/>
            <w:noWrap/>
            <w:hideMark/>
          </w:tcPr>
          <w:p w14:paraId="344DFC54" w14:textId="77777777" w:rsidR="00B23965" w:rsidRPr="003C55B0" w:rsidRDefault="00B23965" w:rsidP="00E136B9">
            <w:pPr>
              <w:spacing w:before="20" w:afterLines="20" w:after="48"/>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lang w:eastAsia="en-ZA"/>
              </w:rPr>
            </w:pPr>
            <w:r w:rsidRPr="003C55B0">
              <w:rPr>
                <w:rFonts w:eastAsia="Times New Roman" w:cstheme="minorHAnsi"/>
                <w:color w:val="000000"/>
                <w:lang w:eastAsia="en-ZA"/>
              </w:rPr>
              <w:t>-1.21</w:t>
            </w:r>
          </w:p>
        </w:tc>
        <w:tc>
          <w:tcPr>
            <w:tcW w:w="810" w:type="dxa"/>
            <w:noWrap/>
            <w:hideMark/>
          </w:tcPr>
          <w:p w14:paraId="2ED5FB02" w14:textId="77777777" w:rsidR="00B23965" w:rsidRPr="003C55B0" w:rsidRDefault="00B23965" w:rsidP="00E136B9">
            <w:pPr>
              <w:spacing w:before="20" w:afterLines="20" w:after="48"/>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lang w:eastAsia="en-ZA"/>
              </w:rPr>
            </w:pPr>
            <w:r w:rsidRPr="003C55B0">
              <w:rPr>
                <w:rFonts w:eastAsia="Times New Roman" w:cstheme="minorHAnsi"/>
                <w:color w:val="000000"/>
                <w:lang w:eastAsia="en-ZA"/>
              </w:rPr>
              <w:t>-1.44</w:t>
            </w:r>
          </w:p>
        </w:tc>
        <w:tc>
          <w:tcPr>
            <w:tcW w:w="1032" w:type="dxa"/>
            <w:noWrap/>
            <w:hideMark/>
          </w:tcPr>
          <w:p w14:paraId="620B430E" w14:textId="79A50A78" w:rsidR="00B23965" w:rsidRPr="003C55B0" w:rsidRDefault="00B23965" w:rsidP="00E136B9">
            <w:pPr>
              <w:spacing w:before="20" w:afterLines="20" w:after="48"/>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lang w:eastAsia="en-ZA"/>
              </w:rPr>
            </w:pPr>
            <w:r w:rsidRPr="003C55B0">
              <w:rPr>
                <w:rFonts w:cstheme="minorHAnsi"/>
              </w:rPr>
              <w:t>-23 023</w:t>
            </w:r>
          </w:p>
        </w:tc>
        <w:tc>
          <w:tcPr>
            <w:tcW w:w="1134" w:type="dxa"/>
            <w:noWrap/>
            <w:hideMark/>
          </w:tcPr>
          <w:p w14:paraId="65186D4A" w14:textId="5E609B8B" w:rsidR="00B23965" w:rsidRPr="003C55B0" w:rsidRDefault="00B23965" w:rsidP="00E136B9">
            <w:pPr>
              <w:spacing w:before="20" w:afterLines="20" w:after="48"/>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lang w:eastAsia="en-ZA"/>
              </w:rPr>
            </w:pPr>
            <w:r w:rsidRPr="003C55B0">
              <w:rPr>
                <w:rFonts w:cstheme="minorHAnsi"/>
              </w:rPr>
              <w:t>-30 221</w:t>
            </w:r>
          </w:p>
        </w:tc>
        <w:tc>
          <w:tcPr>
            <w:tcW w:w="1134" w:type="dxa"/>
            <w:noWrap/>
            <w:hideMark/>
          </w:tcPr>
          <w:p w14:paraId="75259DBA" w14:textId="0A441D75" w:rsidR="00B23965" w:rsidRPr="003C55B0" w:rsidRDefault="00B23965" w:rsidP="00E136B9">
            <w:pPr>
              <w:spacing w:before="20" w:afterLines="20" w:after="48"/>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lang w:eastAsia="en-ZA"/>
              </w:rPr>
            </w:pPr>
            <w:r w:rsidRPr="003C55B0">
              <w:rPr>
                <w:rFonts w:cstheme="minorHAnsi"/>
              </w:rPr>
              <w:t>-40 286</w:t>
            </w:r>
          </w:p>
        </w:tc>
      </w:tr>
      <w:tr w:rsidR="0081650A" w:rsidRPr="003C55B0" w14:paraId="3182A5A1" w14:textId="77777777" w:rsidTr="0081650A">
        <w:tc>
          <w:tcPr>
            <w:cnfStyle w:val="001000000000" w:firstRow="0" w:lastRow="0" w:firstColumn="1" w:lastColumn="0" w:oddVBand="0" w:evenVBand="0" w:oddHBand="0" w:evenHBand="0" w:firstRowFirstColumn="0" w:firstRowLastColumn="0" w:lastRowFirstColumn="0" w:lastRowLastColumn="0"/>
            <w:tcW w:w="3261" w:type="dxa"/>
            <w:noWrap/>
            <w:hideMark/>
          </w:tcPr>
          <w:p w14:paraId="6872B502" w14:textId="77777777" w:rsidR="00B23965" w:rsidRPr="003C55B0" w:rsidRDefault="00B23965" w:rsidP="00E136B9">
            <w:pPr>
              <w:spacing w:beforeLines="0" w:before="20" w:afterLines="20" w:after="48"/>
              <w:ind w:firstLineChars="200" w:firstLine="400"/>
              <w:jc w:val="left"/>
              <w:rPr>
                <w:rFonts w:eastAsia="Times New Roman" w:cstheme="minorHAnsi"/>
                <w:color w:val="000000"/>
                <w:lang w:eastAsia="en-ZA"/>
              </w:rPr>
            </w:pPr>
            <w:r w:rsidRPr="003C55B0">
              <w:rPr>
                <w:rFonts w:eastAsia="Times New Roman" w:cstheme="minorHAnsi"/>
                <w:color w:val="000000"/>
                <w:lang w:eastAsia="en-ZA"/>
              </w:rPr>
              <w:t>Food and beverages</w:t>
            </w:r>
          </w:p>
        </w:tc>
        <w:tc>
          <w:tcPr>
            <w:tcW w:w="850" w:type="dxa"/>
            <w:noWrap/>
            <w:hideMark/>
          </w:tcPr>
          <w:p w14:paraId="1396FA3A" w14:textId="77777777" w:rsidR="00B23965" w:rsidRPr="003C55B0" w:rsidRDefault="00B23965" w:rsidP="00E136B9">
            <w:pPr>
              <w:spacing w:before="20" w:afterLines="20" w:after="48"/>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lang w:eastAsia="en-ZA"/>
              </w:rPr>
            </w:pPr>
            <w:r w:rsidRPr="003C55B0">
              <w:rPr>
                <w:rFonts w:eastAsia="Times New Roman" w:cstheme="minorHAnsi"/>
                <w:color w:val="000000"/>
                <w:lang w:eastAsia="en-ZA"/>
              </w:rPr>
              <w:t>0.14</w:t>
            </w:r>
          </w:p>
        </w:tc>
        <w:tc>
          <w:tcPr>
            <w:tcW w:w="851" w:type="dxa"/>
            <w:noWrap/>
            <w:hideMark/>
          </w:tcPr>
          <w:p w14:paraId="220A3726" w14:textId="77777777" w:rsidR="00B23965" w:rsidRPr="003C55B0" w:rsidRDefault="00B23965" w:rsidP="00E136B9">
            <w:pPr>
              <w:spacing w:before="20" w:afterLines="20" w:after="48"/>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lang w:eastAsia="en-ZA"/>
              </w:rPr>
            </w:pPr>
            <w:r w:rsidRPr="003C55B0">
              <w:rPr>
                <w:rFonts w:eastAsia="Times New Roman" w:cstheme="minorHAnsi"/>
                <w:color w:val="000000"/>
                <w:lang w:eastAsia="en-ZA"/>
              </w:rPr>
              <w:t>-0.03</w:t>
            </w:r>
          </w:p>
        </w:tc>
        <w:tc>
          <w:tcPr>
            <w:tcW w:w="810" w:type="dxa"/>
            <w:noWrap/>
            <w:hideMark/>
          </w:tcPr>
          <w:p w14:paraId="7CF2697E" w14:textId="77777777" w:rsidR="00B23965" w:rsidRPr="003C55B0" w:rsidRDefault="00B23965" w:rsidP="00E136B9">
            <w:pPr>
              <w:spacing w:before="20" w:afterLines="20" w:after="48"/>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lang w:eastAsia="en-ZA"/>
              </w:rPr>
            </w:pPr>
            <w:r w:rsidRPr="003C55B0">
              <w:rPr>
                <w:rFonts w:eastAsia="Times New Roman" w:cstheme="minorHAnsi"/>
                <w:color w:val="000000"/>
                <w:lang w:eastAsia="en-ZA"/>
              </w:rPr>
              <w:t>-0.33</w:t>
            </w:r>
          </w:p>
        </w:tc>
        <w:tc>
          <w:tcPr>
            <w:tcW w:w="1032" w:type="dxa"/>
            <w:noWrap/>
            <w:hideMark/>
          </w:tcPr>
          <w:p w14:paraId="7AC60BEB" w14:textId="6DF9012C" w:rsidR="00B23965" w:rsidRPr="003C55B0" w:rsidRDefault="00B23965" w:rsidP="00E136B9">
            <w:pPr>
              <w:spacing w:before="20" w:afterLines="20" w:after="48"/>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lang w:eastAsia="en-ZA"/>
              </w:rPr>
            </w:pPr>
            <w:r w:rsidRPr="003C55B0">
              <w:rPr>
                <w:rFonts w:cstheme="minorHAnsi"/>
              </w:rPr>
              <w:t>5 966</w:t>
            </w:r>
          </w:p>
        </w:tc>
        <w:tc>
          <w:tcPr>
            <w:tcW w:w="1134" w:type="dxa"/>
            <w:noWrap/>
            <w:hideMark/>
          </w:tcPr>
          <w:p w14:paraId="1AC42E09" w14:textId="44AB1F16" w:rsidR="00B23965" w:rsidRPr="003C55B0" w:rsidRDefault="00B23965" w:rsidP="00E136B9">
            <w:pPr>
              <w:spacing w:before="20" w:afterLines="20" w:after="48"/>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lang w:eastAsia="en-ZA"/>
              </w:rPr>
            </w:pPr>
            <w:r w:rsidRPr="003C55B0">
              <w:rPr>
                <w:rFonts w:cstheme="minorHAnsi"/>
              </w:rPr>
              <w:t>4 670</w:t>
            </w:r>
          </w:p>
        </w:tc>
        <w:tc>
          <w:tcPr>
            <w:tcW w:w="1134" w:type="dxa"/>
            <w:noWrap/>
            <w:hideMark/>
          </w:tcPr>
          <w:p w14:paraId="7326C5E4" w14:textId="33FAC541" w:rsidR="00B23965" w:rsidRPr="003C55B0" w:rsidRDefault="00B23965" w:rsidP="00E136B9">
            <w:pPr>
              <w:spacing w:before="20" w:afterLines="20" w:after="48"/>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lang w:eastAsia="en-ZA"/>
              </w:rPr>
            </w:pPr>
            <w:r w:rsidRPr="003C55B0">
              <w:rPr>
                <w:rFonts w:cstheme="minorHAnsi"/>
              </w:rPr>
              <w:t>2 486</w:t>
            </w:r>
          </w:p>
        </w:tc>
      </w:tr>
      <w:tr w:rsidR="00180444" w:rsidRPr="003C55B0" w14:paraId="5996861F" w14:textId="77777777" w:rsidTr="008165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1" w:type="dxa"/>
            <w:noWrap/>
            <w:hideMark/>
          </w:tcPr>
          <w:p w14:paraId="7C18D73E" w14:textId="77777777" w:rsidR="00B23965" w:rsidRPr="003C55B0" w:rsidRDefault="00B23965" w:rsidP="00E136B9">
            <w:pPr>
              <w:spacing w:beforeLines="0" w:before="20" w:afterLines="20" w:after="48"/>
              <w:ind w:firstLineChars="200" w:firstLine="400"/>
              <w:jc w:val="left"/>
              <w:rPr>
                <w:rFonts w:eastAsia="Times New Roman" w:cstheme="minorHAnsi"/>
                <w:color w:val="000000"/>
                <w:lang w:eastAsia="en-ZA"/>
              </w:rPr>
            </w:pPr>
            <w:r w:rsidRPr="003C55B0">
              <w:rPr>
                <w:rFonts w:eastAsia="Times New Roman" w:cstheme="minorHAnsi"/>
                <w:color w:val="000000"/>
                <w:lang w:eastAsia="en-ZA"/>
              </w:rPr>
              <w:t>Textiles</w:t>
            </w:r>
          </w:p>
        </w:tc>
        <w:tc>
          <w:tcPr>
            <w:tcW w:w="850" w:type="dxa"/>
            <w:noWrap/>
            <w:hideMark/>
          </w:tcPr>
          <w:p w14:paraId="600669D8" w14:textId="77777777" w:rsidR="00B23965" w:rsidRPr="003C55B0" w:rsidRDefault="00B23965" w:rsidP="00E136B9">
            <w:pPr>
              <w:spacing w:before="20" w:afterLines="20" w:after="48"/>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lang w:eastAsia="en-ZA"/>
              </w:rPr>
            </w:pPr>
            <w:r w:rsidRPr="003C55B0">
              <w:rPr>
                <w:rFonts w:eastAsia="Times New Roman" w:cstheme="minorHAnsi"/>
                <w:color w:val="000000"/>
                <w:lang w:eastAsia="en-ZA"/>
              </w:rPr>
              <w:t>0.15</w:t>
            </w:r>
          </w:p>
        </w:tc>
        <w:tc>
          <w:tcPr>
            <w:tcW w:w="851" w:type="dxa"/>
            <w:noWrap/>
            <w:hideMark/>
          </w:tcPr>
          <w:p w14:paraId="71177B47" w14:textId="77777777" w:rsidR="00B23965" w:rsidRPr="003C55B0" w:rsidRDefault="00B23965" w:rsidP="00E136B9">
            <w:pPr>
              <w:spacing w:before="20" w:afterLines="20" w:after="48"/>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lang w:eastAsia="en-ZA"/>
              </w:rPr>
            </w:pPr>
            <w:r w:rsidRPr="003C55B0">
              <w:rPr>
                <w:rFonts w:eastAsia="Times New Roman" w:cstheme="minorHAnsi"/>
                <w:color w:val="000000"/>
                <w:lang w:eastAsia="en-ZA"/>
              </w:rPr>
              <w:t>-0.01</w:t>
            </w:r>
          </w:p>
        </w:tc>
        <w:tc>
          <w:tcPr>
            <w:tcW w:w="810" w:type="dxa"/>
            <w:noWrap/>
            <w:hideMark/>
          </w:tcPr>
          <w:p w14:paraId="2CE13DA4" w14:textId="77777777" w:rsidR="00B23965" w:rsidRPr="003C55B0" w:rsidRDefault="00B23965" w:rsidP="00E136B9">
            <w:pPr>
              <w:spacing w:before="20" w:afterLines="20" w:after="48"/>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lang w:eastAsia="en-ZA"/>
              </w:rPr>
            </w:pPr>
            <w:r w:rsidRPr="003C55B0">
              <w:rPr>
                <w:rFonts w:eastAsia="Times New Roman" w:cstheme="minorHAnsi"/>
                <w:color w:val="000000"/>
                <w:lang w:eastAsia="en-ZA"/>
              </w:rPr>
              <w:t>-0.27</w:t>
            </w:r>
          </w:p>
        </w:tc>
        <w:tc>
          <w:tcPr>
            <w:tcW w:w="1032" w:type="dxa"/>
            <w:noWrap/>
            <w:hideMark/>
          </w:tcPr>
          <w:p w14:paraId="58069751" w14:textId="39918D25" w:rsidR="00B23965" w:rsidRPr="003C55B0" w:rsidRDefault="00B23965" w:rsidP="00E136B9">
            <w:pPr>
              <w:spacing w:before="20" w:afterLines="20" w:after="48"/>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lang w:eastAsia="en-ZA"/>
              </w:rPr>
            </w:pPr>
            <w:r w:rsidRPr="003C55B0">
              <w:rPr>
                <w:rFonts w:cstheme="minorHAnsi"/>
              </w:rPr>
              <w:t>1 828</w:t>
            </w:r>
          </w:p>
        </w:tc>
        <w:tc>
          <w:tcPr>
            <w:tcW w:w="1134" w:type="dxa"/>
            <w:noWrap/>
            <w:hideMark/>
          </w:tcPr>
          <w:p w14:paraId="0FE7D6FF" w14:textId="0398AAB3" w:rsidR="00B23965" w:rsidRPr="003C55B0" w:rsidRDefault="00B23965" w:rsidP="00E136B9">
            <w:pPr>
              <w:spacing w:before="20" w:afterLines="20" w:after="48"/>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lang w:eastAsia="en-ZA"/>
              </w:rPr>
            </w:pPr>
            <w:r w:rsidRPr="003C55B0">
              <w:rPr>
                <w:rFonts w:cstheme="minorHAnsi"/>
              </w:rPr>
              <w:t>743</w:t>
            </w:r>
          </w:p>
        </w:tc>
        <w:tc>
          <w:tcPr>
            <w:tcW w:w="1134" w:type="dxa"/>
            <w:noWrap/>
            <w:hideMark/>
          </w:tcPr>
          <w:p w14:paraId="4C2F9C93" w14:textId="345D92EF" w:rsidR="00B23965" w:rsidRPr="003C55B0" w:rsidRDefault="00B23965" w:rsidP="00E136B9">
            <w:pPr>
              <w:spacing w:before="20" w:afterLines="20" w:after="48"/>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lang w:eastAsia="en-ZA"/>
              </w:rPr>
            </w:pPr>
            <w:r w:rsidRPr="003C55B0">
              <w:rPr>
                <w:rFonts w:cstheme="minorHAnsi"/>
              </w:rPr>
              <w:t>-1 057</w:t>
            </w:r>
          </w:p>
        </w:tc>
      </w:tr>
      <w:tr w:rsidR="0081650A" w:rsidRPr="003C55B0" w14:paraId="52F4D296" w14:textId="77777777" w:rsidTr="0081650A">
        <w:tc>
          <w:tcPr>
            <w:cnfStyle w:val="001000000000" w:firstRow="0" w:lastRow="0" w:firstColumn="1" w:lastColumn="0" w:oddVBand="0" w:evenVBand="0" w:oddHBand="0" w:evenHBand="0" w:firstRowFirstColumn="0" w:firstRowLastColumn="0" w:lastRowFirstColumn="0" w:lastRowLastColumn="0"/>
            <w:tcW w:w="3261" w:type="dxa"/>
            <w:noWrap/>
            <w:hideMark/>
          </w:tcPr>
          <w:p w14:paraId="7EA4417A" w14:textId="77777777" w:rsidR="00B23965" w:rsidRPr="003C55B0" w:rsidRDefault="00B23965" w:rsidP="00E136B9">
            <w:pPr>
              <w:spacing w:beforeLines="0" w:before="20" w:afterLines="20" w:after="48"/>
              <w:ind w:firstLineChars="200" w:firstLine="400"/>
              <w:jc w:val="left"/>
              <w:rPr>
                <w:rFonts w:eastAsia="Times New Roman" w:cstheme="minorHAnsi"/>
                <w:color w:val="000000"/>
                <w:lang w:eastAsia="en-ZA"/>
              </w:rPr>
            </w:pPr>
            <w:r w:rsidRPr="003C55B0">
              <w:rPr>
                <w:rFonts w:eastAsia="Times New Roman" w:cstheme="minorHAnsi"/>
                <w:color w:val="000000"/>
                <w:lang w:eastAsia="en-ZA"/>
              </w:rPr>
              <w:t>Wood and paper</w:t>
            </w:r>
          </w:p>
        </w:tc>
        <w:tc>
          <w:tcPr>
            <w:tcW w:w="850" w:type="dxa"/>
            <w:noWrap/>
            <w:hideMark/>
          </w:tcPr>
          <w:p w14:paraId="7E70ECF0" w14:textId="77777777" w:rsidR="00B23965" w:rsidRPr="003C55B0" w:rsidRDefault="00B23965" w:rsidP="00E136B9">
            <w:pPr>
              <w:spacing w:before="20" w:afterLines="20" w:after="48"/>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lang w:eastAsia="en-ZA"/>
              </w:rPr>
            </w:pPr>
            <w:r w:rsidRPr="003C55B0">
              <w:rPr>
                <w:rFonts w:eastAsia="Times New Roman" w:cstheme="minorHAnsi"/>
                <w:color w:val="000000"/>
                <w:lang w:eastAsia="en-ZA"/>
              </w:rPr>
              <w:t>-0.04</w:t>
            </w:r>
          </w:p>
        </w:tc>
        <w:tc>
          <w:tcPr>
            <w:tcW w:w="851" w:type="dxa"/>
            <w:noWrap/>
            <w:hideMark/>
          </w:tcPr>
          <w:p w14:paraId="4D3EAAB3" w14:textId="77777777" w:rsidR="00B23965" w:rsidRPr="003C55B0" w:rsidRDefault="00B23965" w:rsidP="00E136B9">
            <w:pPr>
              <w:spacing w:before="20" w:afterLines="20" w:after="48"/>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lang w:eastAsia="en-ZA"/>
              </w:rPr>
            </w:pPr>
            <w:r w:rsidRPr="003C55B0">
              <w:rPr>
                <w:rFonts w:eastAsia="Times New Roman" w:cstheme="minorHAnsi"/>
                <w:color w:val="000000"/>
                <w:lang w:eastAsia="en-ZA"/>
              </w:rPr>
              <w:t>-0.17</w:t>
            </w:r>
          </w:p>
        </w:tc>
        <w:tc>
          <w:tcPr>
            <w:tcW w:w="810" w:type="dxa"/>
            <w:noWrap/>
            <w:hideMark/>
          </w:tcPr>
          <w:p w14:paraId="78276413" w14:textId="77777777" w:rsidR="00B23965" w:rsidRPr="003C55B0" w:rsidRDefault="00B23965" w:rsidP="00E136B9">
            <w:pPr>
              <w:spacing w:before="20" w:afterLines="20" w:after="48"/>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lang w:eastAsia="en-ZA"/>
              </w:rPr>
            </w:pPr>
            <w:r w:rsidRPr="003C55B0">
              <w:rPr>
                <w:rFonts w:eastAsia="Times New Roman" w:cstheme="minorHAnsi"/>
                <w:color w:val="000000"/>
                <w:lang w:eastAsia="en-ZA"/>
              </w:rPr>
              <w:t>-0.38</w:t>
            </w:r>
          </w:p>
        </w:tc>
        <w:tc>
          <w:tcPr>
            <w:tcW w:w="1032" w:type="dxa"/>
            <w:noWrap/>
            <w:hideMark/>
          </w:tcPr>
          <w:p w14:paraId="1A371EF2" w14:textId="5340C73A" w:rsidR="00B23965" w:rsidRPr="003C55B0" w:rsidRDefault="00B23965" w:rsidP="00E136B9">
            <w:pPr>
              <w:spacing w:before="20" w:afterLines="20" w:after="48"/>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lang w:eastAsia="en-ZA"/>
              </w:rPr>
            </w:pPr>
            <w:r w:rsidRPr="003C55B0">
              <w:rPr>
                <w:rFonts w:cstheme="minorHAnsi"/>
              </w:rPr>
              <w:t>3 254</w:t>
            </w:r>
          </w:p>
        </w:tc>
        <w:tc>
          <w:tcPr>
            <w:tcW w:w="1134" w:type="dxa"/>
            <w:noWrap/>
            <w:hideMark/>
          </w:tcPr>
          <w:p w14:paraId="4FAAEF12" w14:textId="4CDBED9C" w:rsidR="00B23965" w:rsidRPr="003C55B0" w:rsidRDefault="00B23965" w:rsidP="00E136B9">
            <w:pPr>
              <w:spacing w:before="20" w:afterLines="20" w:after="48"/>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lang w:eastAsia="en-ZA"/>
              </w:rPr>
            </w:pPr>
            <w:r w:rsidRPr="003C55B0">
              <w:rPr>
                <w:rFonts w:cstheme="minorHAnsi"/>
              </w:rPr>
              <w:t>2 492</w:t>
            </w:r>
          </w:p>
        </w:tc>
        <w:tc>
          <w:tcPr>
            <w:tcW w:w="1134" w:type="dxa"/>
            <w:noWrap/>
            <w:hideMark/>
          </w:tcPr>
          <w:p w14:paraId="6BA2787A" w14:textId="648DF79A" w:rsidR="00B23965" w:rsidRPr="003C55B0" w:rsidRDefault="00B23965" w:rsidP="00E136B9">
            <w:pPr>
              <w:spacing w:before="20" w:afterLines="20" w:after="48"/>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lang w:eastAsia="en-ZA"/>
              </w:rPr>
            </w:pPr>
            <w:r w:rsidRPr="003C55B0">
              <w:rPr>
                <w:rFonts w:cstheme="minorHAnsi"/>
              </w:rPr>
              <w:t>1 264</w:t>
            </w:r>
          </w:p>
        </w:tc>
      </w:tr>
      <w:tr w:rsidR="00180444" w:rsidRPr="003C55B0" w14:paraId="05EA291F" w14:textId="77777777" w:rsidTr="008165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1" w:type="dxa"/>
            <w:noWrap/>
            <w:hideMark/>
          </w:tcPr>
          <w:p w14:paraId="153F9E7C" w14:textId="77777777" w:rsidR="00B23965" w:rsidRPr="003C55B0" w:rsidRDefault="00B23965" w:rsidP="00E136B9">
            <w:pPr>
              <w:spacing w:beforeLines="0" w:before="20" w:afterLines="20" w:after="48"/>
              <w:ind w:firstLineChars="200" w:firstLine="400"/>
              <w:jc w:val="left"/>
              <w:rPr>
                <w:rFonts w:eastAsia="Times New Roman" w:cstheme="minorHAnsi"/>
                <w:color w:val="000000"/>
                <w:lang w:eastAsia="en-ZA"/>
              </w:rPr>
            </w:pPr>
            <w:r w:rsidRPr="003C55B0">
              <w:rPr>
                <w:rFonts w:eastAsia="Times New Roman" w:cstheme="minorHAnsi"/>
                <w:color w:val="000000"/>
                <w:lang w:eastAsia="en-ZA"/>
              </w:rPr>
              <w:t>Petroleum</w:t>
            </w:r>
          </w:p>
        </w:tc>
        <w:tc>
          <w:tcPr>
            <w:tcW w:w="850" w:type="dxa"/>
            <w:noWrap/>
            <w:hideMark/>
          </w:tcPr>
          <w:p w14:paraId="44AFB44B" w14:textId="77777777" w:rsidR="00B23965" w:rsidRPr="003C55B0" w:rsidRDefault="00B23965" w:rsidP="00E136B9">
            <w:pPr>
              <w:spacing w:before="20" w:afterLines="20" w:after="48"/>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lang w:eastAsia="en-ZA"/>
              </w:rPr>
            </w:pPr>
            <w:r w:rsidRPr="003C55B0">
              <w:rPr>
                <w:rFonts w:eastAsia="Times New Roman" w:cstheme="minorHAnsi"/>
                <w:color w:val="000000"/>
                <w:lang w:eastAsia="en-ZA"/>
              </w:rPr>
              <w:t>0.00</w:t>
            </w:r>
          </w:p>
        </w:tc>
        <w:tc>
          <w:tcPr>
            <w:tcW w:w="851" w:type="dxa"/>
            <w:noWrap/>
            <w:hideMark/>
          </w:tcPr>
          <w:p w14:paraId="23A47265" w14:textId="77777777" w:rsidR="00B23965" w:rsidRPr="003C55B0" w:rsidRDefault="00B23965" w:rsidP="00E136B9">
            <w:pPr>
              <w:spacing w:before="20" w:afterLines="20" w:after="48"/>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lang w:eastAsia="en-ZA"/>
              </w:rPr>
            </w:pPr>
            <w:r w:rsidRPr="003C55B0">
              <w:rPr>
                <w:rFonts w:eastAsia="Times New Roman" w:cstheme="minorHAnsi"/>
                <w:color w:val="000000"/>
                <w:lang w:eastAsia="en-ZA"/>
              </w:rPr>
              <w:t>0.00</w:t>
            </w:r>
          </w:p>
        </w:tc>
        <w:tc>
          <w:tcPr>
            <w:tcW w:w="810" w:type="dxa"/>
            <w:noWrap/>
            <w:hideMark/>
          </w:tcPr>
          <w:p w14:paraId="76C55BAA" w14:textId="77777777" w:rsidR="00B23965" w:rsidRPr="003C55B0" w:rsidRDefault="00B23965" w:rsidP="00E136B9">
            <w:pPr>
              <w:spacing w:before="20" w:afterLines="20" w:after="48"/>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lang w:eastAsia="en-ZA"/>
              </w:rPr>
            </w:pPr>
            <w:r w:rsidRPr="003C55B0">
              <w:rPr>
                <w:rFonts w:eastAsia="Times New Roman" w:cstheme="minorHAnsi"/>
                <w:color w:val="000000"/>
                <w:lang w:eastAsia="en-ZA"/>
              </w:rPr>
              <w:t>0.00</w:t>
            </w:r>
          </w:p>
        </w:tc>
        <w:tc>
          <w:tcPr>
            <w:tcW w:w="1032" w:type="dxa"/>
            <w:noWrap/>
            <w:hideMark/>
          </w:tcPr>
          <w:p w14:paraId="0C5A73D5" w14:textId="595D2B80" w:rsidR="00B23965" w:rsidRPr="003C55B0" w:rsidRDefault="00B23965" w:rsidP="00E136B9">
            <w:pPr>
              <w:spacing w:before="20" w:afterLines="20" w:after="48"/>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lang w:eastAsia="en-ZA"/>
              </w:rPr>
            </w:pPr>
            <w:r w:rsidRPr="003C55B0">
              <w:rPr>
                <w:rFonts w:cstheme="minorHAnsi"/>
              </w:rPr>
              <w:t>0</w:t>
            </w:r>
          </w:p>
        </w:tc>
        <w:tc>
          <w:tcPr>
            <w:tcW w:w="1134" w:type="dxa"/>
            <w:noWrap/>
            <w:hideMark/>
          </w:tcPr>
          <w:p w14:paraId="051A7B96" w14:textId="3F008435" w:rsidR="00B23965" w:rsidRPr="003C55B0" w:rsidRDefault="00B23965" w:rsidP="00E136B9">
            <w:pPr>
              <w:spacing w:before="20" w:afterLines="20" w:after="48"/>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lang w:eastAsia="en-ZA"/>
              </w:rPr>
            </w:pPr>
            <w:r w:rsidRPr="003C55B0">
              <w:rPr>
                <w:rFonts w:cstheme="minorHAnsi"/>
              </w:rPr>
              <w:t>0</w:t>
            </w:r>
          </w:p>
        </w:tc>
        <w:tc>
          <w:tcPr>
            <w:tcW w:w="1134" w:type="dxa"/>
            <w:noWrap/>
            <w:hideMark/>
          </w:tcPr>
          <w:p w14:paraId="6403EEB9" w14:textId="5E287B8B" w:rsidR="00B23965" w:rsidRPr="003C55B0" w:rsidRDefault="00B23965" w:rsidP="00E136B9">
            <w:pPr>
              <w:spacing w:before="20" w:afterLines="20" w:after="48"/>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lang w:eastAsia="en-ZA"/>
              </w:rPr>
            </w:pPr>
            <w:r w:rsidRPr="003C55B0">
              <w:rPr>
                <w:rFonts w:cstheme="minorHAnsi"/>
              </w:rPr>
              <w:t>0</w:t>
            </w:r>
          </w:p>
        </w:tc>
      </w:tr>
      <w:tr w:rsidR="0081650A" w:rsidRPr="003C55B0" w14:paraId="5384567C" w14:textId="77777777" w:rsidTr="0081650A">
        <w:tc>
          <w:tcPr>
            <w:cnfStyle w:val="001000000000" w:firstRow="0" w:lastRow="0" w:firstColumn="1" w:lastColumn="0" w:oddVBand="0" w:evenVBand="0" w:oddHBand="0" w:evenHBand="0" w:firstRowFirstColumn="0" w:firstRowLastColumn="0" w:lastRowFirstColumn="0" w:lastRowLastColumn="0"/>
            <w:tcW w:w="3261" w:type="dxa"/>
            <w:noWrap/>
            <w:hideMark/>
          </w:tcPr>
          <w:p w14:paraId="03382BAF" w14:textId="77777777" w:rsidR="00B23965" w:rsidRPr="003C55B0" w:rsidRDefault="00B23965" w:rsidP="00E136B9">
            <w:pPr>
              <w:spacing w:beforeLines="0" w:before="20" w:afterLines="20" w:after="48"/>
              <w:ind w:firstLineChars="200" w:firstLine="400"/>
              <w:jc w:val="left"/>
              <w:rPr>
                <w:rFonts w:eastAsia="Times New Roman" w:cstheme="minorHAnsi"/>
                <w:color w:val="000000"/>
                <w:lang w:eastAsia="en-ZA"/>
              </w:rPr>
            </w:pPr>
            <w:r w:rsidRPr="003C55B0">
              <w:rPr>
                <w:rFonts w:eastAsia="Times New Roman" w:cstheme="minorHAnsi"/>
                <w:color w:val="000000"/>
                <w:lang w:eastAsia="en-ZA"/>
              </w:rPr>
              <w:t>Chemicals</w:t>
            </w:r>
          </w:p>
        </w:tc>
        <w:tc>
          <w:tcPr>
            <w:tcW w:w="850" w:type="dxa"/>
            <w:noWrap/>
            <w:hideMark/>
          </w:tcPr>
          <w:p w14:paraId="1CF08C81" w14:textId="77777777" w:rsidR="00B23965" w:rsidRPr="003C55B0" w:rsidRDefault="00B23965" w:rsidP="00E136B9">
            <w:pPr>
              <w:spacing w:before="20" w:afterLines="20" w:after="48"/>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lang w:eastAsia="en-ZA"/>
              </w:rPr>
            </w:pPr>
            <w:r w:rsidRPr="003C55B0">
              <w:rPr>
                <w:rFonts w:eastAsia="Times New Roman" w:cstheme="minorHAnsi"/>
                <w:color w:val="000000"/>
                <w:lang w:eastAsia="en-ZA"/>
              </w:rPr>
              <w:t>-2.25</w:t>
            </w:r>
          </w:p>
        </w:tc>
        <w:tc>
          <w:tcPr>
            <w:tcW w:w="851" w:type="dxa"/>
            <w:noWrap/>
            <w:hideMark/>
          </w:tcPr>
          <w:p w14:paraId="534ADF9F" w14:textId="77777777" w:rsidR="00B23965" w:rsidRPr="003C55B0" w:rsidRDefault="00B23965" w:rsidP="00E136B9">
            <w:pPr>
              <w:spacing w:before="20" w:afterLines="20" w:after="48"/>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lang w:eastAsia="en-ZA"/>
              </w:rPr>
            </w:pPr>
            <w:r w:rsidRPr="003C55B0">
              <w:rPr>
                <w:rFonts w:eastAsia="Times New Roman" w:cstheme="minorHAnsi"/>
                <w:color w:val="000000"/>
                <w:lang w:eastAsia="en-ZA"/>
              </w:rPr>
              <w:t>-2.40</w:t>
            </w:r>
          </w:p>
        </w:tc>
        <w:tc>
          <w:tcPr>
            <w:tcW w:w="810" w:type="dxa"/>
            <w:noWrap/>
            <w:hideMark/>
          </w:tcPr>
          <w:p w14:paraId="7A71AE6D" w14:textId="77777777" w:rsidR="00B23965" w:rsidRPr="003C55B0" w:rsidRDefault="00B23965" w:rsidP="00E136B9">
            <w:pPr>
              <w:spacing w:before="20" w:afterLines="20" w:after="48"/>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lang w:eastAsia="en-ZA"/>
              </w:rPr>
            </w:pPr>
            <w:r w:rsidRPr="003C55B0">
              <w:rPr>
                <w:rFonts w:eastAsia="Times New Roman" w:cstheme="minorHAnsi"/>
                <w:color w:val="000000"/>
                <w:lang w:eastAsia="en-ZA"/>
              </w:rPr>
              <w:t>-2.61</w:t>
            </w:r>
          </w:p>
        </w:tc>
        <w:tc>
          <w:tcPr>
            <w:tcW w:w="1032" w:type="dxa"/>
            <w:noWrap/>
            <w:hideMark/>
          </w:tcPr>
          <w:p w14:paraId="763D795D" w14:textId="0CB2F30E" w:rsidR="00B23965" w:rsidRPr="003C55B0" w:rsidRDefault="00B23965" w:rsidP="00E136B9">
            <w:pPr>
              <w:spacing w:before="20" w:afterLines="20" w:after="48"/>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lang w:eastAsia="en-ZA"/>
              </w:rPr>
            </w:pPr>
            <w:r w:rsidRPr="003C55B0">
              <w:rPr>
                <w:rFonts w:cstheme="minorHAnsi"/>
              </w:rPr>
              <w:t>-8 825</w:t>
            </w:r>
          </w:p>
        </w:tc>
        <w:tc>
          <w:tcPr>
            <w:tcW w:w="1134" w:type="dxa"/>
            <w:noWrap/>
            <w:hideMark/>
          </w:tcPr>
          <w:p w14:paraId="2F65E909" w14:textId="047E8F51" w:rsidR="00B23965" w:rsidRPr="003C55B0" w:rsidRDefault="00B23965" w:rsidP="00E136B9">
            <w:pPr>
              <w:spacing w:before="20" w:afterLines="20" w:after="48"/>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lang w:eastAsia="en-ZA"/>
              </w:rPr>
            </w:pPr>
            <w:r w:rsidRPr="003C55B0">
              <w:rPr>
                <w:rFonts w:cstheme="minorHAnsi"/>
              </w:rPr>
              <w:t>-9 752</w:t>
            </w:r>
          </w:p>
        </w:tc>
        <w:tc>
          <w:tcPr>
            <w:tcW w:w="1134" w:type="dxa"/>
            <w:noWrap/>
            <w:hideMark/>
          </w:tcPr>
          <w:p w14:paraId="73A9C8AC" w14:textId="4A7779C3" w:rsidR="00B23965" w:rsidRPr="003C55B0" w:rsidRDefault="00B23965" w:rsidP="00E136B9">
            <w:pPr>
              <w:spacing w:before="20" w:afterLines="20" w:after="48"/>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lang w:eastAsia="en-ZA"/>
              </w:rPr>
            </w:pPr>
            <w:r w:rsidRPr="003C55B0">
              <w:rPr>
                <w:rFonts w:cstheme="minorHAnsi"/>
              </w:rPr>
              <w:t>-11 051</w:t>
            </w:r>
          </w:p>
        </w:tc>
      </w:tr>
      <w:tr w:rsidR="00180444" w:rsidRPr="003C55B0" w14:paraId="3FB3076B" w14:textId="77777777" w:rsidTr="008165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1" w:type="dxa"/>
            <w:noWrap/>
            <w:hideMark/>
          </w:tcPr>
          <w:p w14:paraId="16F6B162" w14:textId="77777777" w:rsidR="00B23965" w:rsidRPr="003C55B0" w:rsidRDefault="00B23965" w:rsidP="00E136B9">
            <w:pPr>
              <w:spacing w:beforeLines="0" w:before="20" w:afterLines="20" w:after="48"/>
              <w:ind w:firstLineChars="200" w:firstLine="400"/>
              <w:jc w:val="left"/>
              <w:rPr>
                <w:rFonts w:eastAsia="Times New Roman" w:cstheme="minorHAnsi"/>
                <w:color w:val="000000"/>
                <w:lang w:eastAsia="en-ZA"/>
              </w:rPr>
            </w:pPr>
            <w:r w:rsidRPr="003C55B0">
              <w:rPr>
                <w:rFonts w:eastAsia="Times New Roman" w:cstheme="minorHAnsi"/>
                <w:color w:val="000000"/>
                <w:lang w:eastAsia="en-ZA"/>
              </w:rPr>
              <w:t>Non-metals</w:t>
            </w:r>
          </w:p>
        </w:tc>
        <w:tc>
          <w:tcPr>
            <w:tcW w:w="850" w:type="dxa"/>
            <w:noWrap/>
            <w:hideMark/>
          </w:tcPr>
          <w:p w14:paraId="10FFCA61" w14:textId="77777777" w:rsidR="00B23965" w:rsidRPr="003C55B0" w:rsidRDefault="00B23965" w:rsidP="00E136B9">
            <w:pPr>
              <w:spacing w:before="20" w:afterLines="20" w:after="48"/>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lang w:eastAsia="en-ZA"/>
              </w:rPr>
            </w:pPr>
            <w:r w:rsidRPr="003C55B0">
              <w:rPr>
                <w:rFonts w:eastAsia="Times New Roman" w:cstheme="minorHAnsi"/>
                <w:color w:val="000000"/>
                <w:lang w:eastAsia="en-ZA"/>
              </w:rPr>
              <w:t>0.25</w:t>
            </w:r>
          </w:p>
        </w:tc>
        <w:tc>
          <w:tcPr>
            <w:tcW w:w="851" w:type="dxa"/>
            <w:noWrap/>
            <w:hideMark/>
          </w:tcPr>
          <w:p w14:paraId="4003B38B" w14:textId="77777777" w:rsidR="00B23965" w:rsidRPr="003C55B0" w:rsidRDefault="00B23965" w:rsidP="00E136B9">
            <w:pPr>
              <w:spacing w:before="20" w:afterLines="20" w:after="48"/>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lang w:eastAsia="en-ZA"/>
              </w:rPr>
            </w:pPr>
            <w:r w:rsidRPr="003C55B0">
              <w:rPr>
                <w:rFonts w:eastAsia="Times New Roman" w:cstheme="minorHAnsi"/>
                <w:color w:val="000000"/>
                <w:lang w:eastAsia="en-ZA"/>
              </w:rPr>
              <w:t>0.14</w:t>
            </w:r>
          </w:p>
        </w:tc>
        <w:tc>
          <w:tcPr>
            <w:tcW w:w="810" w:type="dxa"/>
            <w:noWrap/>
            <w:hideMark/>
          </w:tcPr>
          <w:p w14:paraId="690BC033" w14:textId="77777777" w:rsidR="00B23965" w:rsidRPr="003C55B0" w:rsidRDefault="00B23965" w:rsidP="00E136B9">
            <w:pPr>
              <w:spacing w:before="20" w:afterLines="20" w:after="48"/>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lang w:eastAsia="en-ZA"/>
              </w:rPr>
            </w:pPr>
            <w:r w:rsidRPr="003C55B0">
              <w:rPr>
                <w:rFonts w:eastAsia="Times New Roman" w:cstheme="minorHAnsi"/>
                <w:color w:val="000000"/>
                <w:lang w:eastAsia="en-ZA"/>
              </w:rPr>
              <w:t>-0.04</w:t>
            </w:r>
          </w:p>
        </w:tc>
        <w:tc>
          <w:tcPr>
            <w:tcW w:w="1032" w:type="dxa"/>
            <w:noWrap/>
            <w:hideMark/>
          </w:tcPr>
          <w:p w14:paraId="02D9432A" w14:textId="2CE21D01" w:rsidR="00B23965" w:rsidRPr="003C55B0" w:rsidRDefault="00B23965" w:rsidP="00E136B9">
            <w:pPr>
              <w:spacing w:before="20" w:afterLines="20" w:after="48"/>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lang w:eastAsia="en-ZA"/>
              </w:rPr>
            </w:pPr>
            <w:r w:rsidRPr="003C55B0">
              <w:rPr>
                <w:rFonts w:cstheme="minorHAnsi"/>
              </w:rPr>
              <w:t>2 249</w:t>
            </w:r>
          </w:p>
        </w:tc>
        <w:tc>
          <w:tcPr>
            <w:tcW w:w="1134" w:type="dxa"/>
            <w:noWrap/>
            <w:hideMark/>
          </w:tcPr>
          <w:p w14:paraId="63F2658B" w14:textId="28C00F9B" w:rsidR="00B23965" w:rsidRPr="003C55B0" w:rsidRDefault="00B23965" w:rsidP="00E136B9">
            <w:pPr>
              <w:spacing w:before="20" w:afterLines="20" w:after="48"/>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lang w:eastAsia="en-ZA"/>
              </w:rPr>
            </w:pPr>
            <w:r w:rsidRPr="003C55B0">
              <w:rPr>
                <w:rFonts w:cstheme="minorHAnsi"/>
              </w:rPr>
              <w:t>1 955</w:t>
            </w:r>
          </w:p>
        </w:tc>
        <w:tc>
          <w:tcPr>
            <w:tcW w:w="1134" w:type="dxa"/>
            <w:noWrap/>
            <w:hideMark/>
          </w:tcPr>
          <w:p w14:paraId="652E63AE" w14:textId="489DC12C" w:rsidR="00B23965" w:rsidRPr="003C55B0" w:rsidRDefault="00B23965" w:rsidP="00E136B9">
            <w:pPr>
              <w:spacing w:before="20" w:afterLines="20" w:after="48"/>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lang w:eastAsia="en-ZA"/>
              </w:rPr>
            </w:pPr>
            <w:r w:rsidRPr="003C55B0">
              <w:rPr>
                <w:rFonts w:cstheme="minorHAnsi"/>
              </w:rPr>
              <w:t>1 499</w:t>
            </w:r>
          </w:p>
        </w:tc>
      </w:tr>
      <w:tr w:rsidR="0081650A" w:rsidRPr="003C55B0" w14:paraId="3815E91F" w14:textId="77777777" w:rsidTr="0081650A">
        <w:tc>
          <w:tcPr>
            <w:cnfStyle w:val="001000000000" w:firstRow="0" w:lastRow="0" w:firstColumn="1" w:lastColumn="0" w:oddVBand="0" w:evenVBand="0" w:oddHBand="0" w:evenHBand="0" w:firstRowFirstColumn="0" w:firstRowLastColumn="0" w:lastRowFirstColumn="0" w:lastRowLastColumn="0"/>
            <w:tcW w:w="3261" w:type="dxa"/>
            <w:noWrap/>
            <w:hideMark/>
          </w:tcPr>
          <w:p w14:paraId="52305B5A" w14:textId="77777777" w:rsidR="00B23965" w:rsidRPr="003C55B0" w:rsidRDefault="00B23965" w:rsidP="00E136B9">
            <w:pPr>
              <w:spacing w:beforeLines="0" w:before="20" w:afterLines="20" w:after="48"/>
              <w:ind w:firstLineChars="200" w:firstLine="400"/>
              <w:jc w:val="left"/>
              <w:rPr>
                <w:rFonts w:eastAsia="Times New Roman" w:cstheme="minorHAnsi"/>
                <w:color w:val="000000"/>
                <w:lang w:eastAsia="en-ZA"/>
              </w:rPr>
            </w:pPr>
            <w:r w:rsidRPr="003C55B0">
              <w:rPr>
                <w:rFonts w:eastAsia="Times New Roman" w:cstheme="minorHAnsi"/>
                <w:color w:val="000000"/>
                <w:lang w:eastAsia="en-ZA"/>
              </w:rPr>
              <w:t>Metals</w:t>
            </w:r>
          </w:p>
        </w:tc>
        <w:tc>
          <w:tcPr>
            <w:tcW w:w="850" w:type="dxa"/>
            <w:noWrap/>
            <w:hideMark/>
          </w:tcPr>
          <w:p w14:paraId="242D707A" w14:textId="77777777" w:rsidR="00B23965" w:rsidRPr="003C55B0" w:rsidRDefault="00B23965" w:rsidP="00E136B9">
            <w:pPr>
              <w:spacing w:before="20" w:afterLines="20" w:after="48"/>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lang w:eastAsia="en-ZA"/>
              </w:rPr>
            </w:pPr>
            <w:r w:rsidRPr="003C55B0">
              <w:rPr>
                <w:rFonts w:eastAsia="Times New Roman" w:cstheme="minorHAnsi"/>
                <w:color w:val="000000"/>
                <w:lang w:eastAsia="en-ZA"/>
              </w:rPr>
              <w:t>-4.14</w:t>
            </w:r>
          </w:p>
        </w:tc>
        <w:tc>
          <w:tcPr>
            <w:tcW w:w="851" w:type="dxa"/>
            <w:noWrap/>
            <w:hideMark/>
          </w:tcPr>
          <w:p w14:paraId="7E40B78E" w14:textId="77777777" w:rsidR="00B23965" w:rsidRPr="003C55B0" w:rsidRDefault="00B23965" w:rsidP="00E136B9">
            <w:pPr>
              <w:spacing w:before="20" w:afterLines="20" w:after="48"/>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lang w:eastAsia="en-ZA"/>
              </w:rPr>
            </w:pPr>
            <w:r w:rsidRPr="003C55B0">
              <w:rPr>
                <w:rFonts w:eastAsia="Times New Roman" w:cstheme="minorHAnsi"/>
                <w:color w:val="000000"/>
                <w:lang w:eastAsia="en-ZA"/>
              </w:rPr>
              <w:t>-4.33</w:t>
            </w:r>
          </w:p>
        </w:tc>
        <w:tc>
          <w:tcPr>
            <w:tcW w:w="810" w:type="dxa"/>
            <w:noWrap/>
            <w:hideMark/>
          </w:tcPr>
          <w:p w14:paraId="13CECE7B" w14:textId="77777777" w:rsidR="00B23965" w:rsidRPr="003C55B0" w:rsidRDefault="00B23965" w:rsidP="00E136B9">
            <w:pPr>
              <w:spacing w:before="20" w:afterLines="20" w:after="48"/>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lang w:eastAsia="en-ZA"/>
              </w:rPr>
            </w:pPr>
            <w:r w:rsidRPr="003C55B0">
              <w:rPr>
                <w:rFonts w:eastAsia="Times New Roman" w:cstheme="minorHAnsi"/>
                <w:color w:val="000000"/>
                <w:lang w:eastAsia="en-ZA"/>
              </w:rPr>
              <w:t>-4.49</w:t>
            </w:r>
          </w:p>
        </w:tc>
        <w:tc>
          <w:tcPr>
            <w:tcW w:w="1032" w:type="dxa"/>
            <w:noWrap/>
            <w:hideMark/>
          </w:tcPr>
          <w:p w14:paraId="7FD3FCF4" w14:textId="4EF17F99" w:rsidR="00B23965" w:rsidRPr="003C55B0" w:rsidRDefault="00B23965" w:rsidP="00E136B9">
            <w:pPr>
              <w:spacing w:before="20" w:afterLines="20" w:after="48"/>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lang w:eastAsia="en-ZA"/>
              </w:rPr>
            </w:pPr>
            <w:r w:rsidRPr="003C55B0">
              <w:rPr>
                <w:rFonts w:cstheme="minorHAnsi"/>
              </w:rPr>
              <w:t>-24 262</w:t>
            </w:r>
          </w:p>
        </w:tc>
        <w:tc>
          <w:tcPr>
            <w:tcW w:w="1134" w:type="dxa"/>
            <w:noWrap/>
            <w:hideMark/>
          </w:tcPr>
          <w:p w14:paraId="029C064B" w14:textId="50562844" w:rsidR="00B23965" w:rsidRPr="003C55B0" w:rsidRDefault="00B23965" w:rsidP="00E136B9">
            <w:pPr>
              <w:spacing w:before="20" w:afterLines="20" w:after="48"/>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lang w:eastAsia="en-ZA"/>
              </w:rPr>
            </w:pPr>
            <w:r w:rsidRPr="003C55B0">
              <w:rPr>
                <w:rFonts w:cstheme="minorHAnsi"/>
              </w:rPr>
              <w:t>-25 905</w:t>
            </w:r>
          </w:p>
        </w:tc>
        <w:tc>
          <w:tcPr>
            <w:tcW w:w="1134" w:type="dxa"/>
            <w:noWrap/>
            <w:hideMark/>
          </w:tcPr>
          <w:p w14:paraId="36AA2338" w14:textId="645AB97A" w:rsidR="00B23965" w:rsidRPr="003C55B0" w:rsidRDefault="00B23965" w:rsidP="00E136B9">
            <w:pPr>
              <w:spacing w:before="20" w:afterLines="20" w:after="48"/>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lang w:eastAsia="en-ZA"/>
              </w:rPr>
            </w:pPr>
            <w:r w:rsidRPr="003C55B0">
              <w:rPr>
                <w:rFonts w:cstheme="minorHAnsi"/>
              </w:rPr>
              <w:t>-27 450</w:t>
            </w:r>
          </w:p>
        </w:tc>
      </w:tr>
      <w:tr w:rsidR="00180444" w:rsidRPr="003C55B0" w14:paraId="5A7078ED" w14:textId="77777777" w:rsidTr="008165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1" w:type="dxa"/>
            <w:noWrap/>
            <w:hideMark/>
          </w:tcPr>
          <w:p w14:paraId="3B9D2992" w14:textId="77777777" w:rsidR="00B23965" w:rsidRPr="003C55B0" w:rsidRDefault="00B23965" w:rsidP="00E136B9">
            <w:pPr>
              <w:spacing w:beforeLines="0" w:before="20" w:afterLines="20" w:after="48"/>
              <w:ind w:firstLineChars="200" w:firstLine="400"/>
              <w:jc w:val="left"/>
              <w:rPr>
                <w:rFonts w:eastAsia="Times New Roman" w:cstheme="minorHAnsi"/>
                <w:color w:val="000000"/>
                <w:lang w:eastAsia="en-ZA"/>
              </w:rPr>
            </w:pPr>
            <w:r w:rsidRPr="003C55B0">
              <w:rPr>
                <w:rFonts w:eastAsia="Times New Roman" w:cstheme="minorHAnsi"/>
                <w:color w:val="000000"/>
                <w:lang w:eastAsia="en-ZA"/>
              </w:rPr>
              <w:t>Machinery</w:t>
            </w:r>
          </w:p>
        </w:tc>
        <w:tc>
          <w:tcPr>
            <w:tcW w:w="850" w:type="dxa"/>
            <w:noWrap/>
            <w:hideMark/>
          </w:tcPr>
          <w:p w14:paraId="1750A1AE" w14:textId="77777777" w:rsidR="00B23965" w:rsidRPr="003C55B0" w:rsidRDefault="00B23965" w:rsidP="00E136B9">
            <w:pPr>
              <w:spacing w:before="20" w:afterLines="20" w:after="48"/>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lang w:eastAsia="en-ZA"/>
              </w:rPr>
            </w:pPr>
            <w:r w:rsidRPr="003C55B0">
              <w:rPr>
                <w:rFonts w:eastAsia="Times New Roman" w:cstheme="minorHAnsi"/>
                <w:color w:val="000000"/>
                <w:lang w:eastAsia="en-ZA"/>
              </w:rPr>
              <w:t>-0.72</w:t>
            </w:r>
          </w:p>
        </w:tc>
        <w:tc>
          <w:tcPr>
            <w:tcW w:w="851" w:type="dxa"/>
            <w:noWrap/>
            <w:hideMark/>
          </w:tcPr>
          <w:p w14:paraId="0B57494F" w14:textId="77777777" w:rsidR="00B23965" w:rsidRPr="003C55B0" w:rsidRDefault="00B23965" w:rsidP="00E136B9">
            <w:pPr>
              <w:spacing w:before="20" w:afterLines="20" w:after="48"/>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lang w:eastAsia="en-ZA"/>
              </w:rPr>
            </w:pPr>
            <w:r w:rsidRPr="003C55B0">
              <w:rPr>
                <w:rFonts w:eastAsia="Times New Roman" w:cstheme="minorHAnsi"/>
                <w:color w:val="000000"/>
                <w:lang w:eastAsia="en-ZA"/>
              </w:rPr>
              <w:t>-0.82</w:t>
            </w:r>
          </w:p>
        </w:tc>
        <w:tc>
          <w:tcPr>
            <w:tcW w:w="810" w:type="dxa"/>
            <w:noWrap/>
            <w:hideMark/>
          </w:tcPr>
          <w:p w14:paraId="2EA41EE9" w14:textId="77777777" w:rsidR="00B23965" w:rsidRPr="003C55B0" w:rsidRDefault="00B23965" w:rsidP="00E136B9">
            <w:pPr>
              <w:spacing w:before="20" w:afterLines="20" w:after="48"/>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lang w:eastAsia="en-ZA"/>
              </w:rPr>
            </w:pPr>
            <w:r w:rsidRPr="003C55B0">
              <w:rPr>
                <w:rFonts w:eastAsia="Times New Roman" w:cstheme="minorHAnsi"/>
                <w:color w:val="000000"/>
                <w:lang w:eastAsia="en-ZA"/>
              </w:rPr>
              <w:t>-0.94</w:t>
            </w:r>
          </w:p>
        </w:tc>
        <w:tc>
          <w:tcPr>
            <w:tcW w:w="1032" w:type="dxa"/>
            <w:noWrap/>
            <w:hideMark/>
          </w:tcPr>
          <w:p w14:paraId="6942A7DC" w14:textId="656621B7" w:rsidR="00B23965" w:rsidRPr="003C55B0" w:rsidRDefault="00B23965" w:rsidP="00E136B9">
            <w:pPr>
              <w:spacing w:before="20" w:afterLines="20" w:after="48"/>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lang w:eastAsia="en-ZA"/>
              </w:rPr>
            </w:pPr>
            <w:r w:rsidRPr="003C55B0">
              <w:rPr>
                <w:rFonts w:cstheme="minorHAnsi"/>
              </w:rPr>
              <w:t>-2 678</w:t>
            </w:r>
          </w:p>
        </w:tc>
        <w:tc>
          <w:tcPr>
            <w:tcW w:w="1134" w:type="dxa"/>
            <w:noWrap/>
            <w:hideMark/>
          </w:tcPr>
          <w:p w14:paraId="3D2E8D3F" w14:textId="170FE26D" w:rsidR="00B23965" w:rsidRPr="003C55B0" w:rsidRDefault="00B23965" w:rsidP="00E136B9">
            <w:pPr>
              <w:spacing w:before="20" w:afterLines="20" w:after="48"/>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lang w:eastAsia="en-ZA"/>
              </w:rPr>
            </w:pPr>
            <w:r w:rsidRPr="003C55B0">
              <w:rPr>
                <w:rFonts w:cstheme="minorHAnsi"/>
              </w:rPr>
              <w:t>-3 082</w:t>
            </w:r>
          </w:p>
        </w:tc>
        <w:tc>
          <w:tcPr>
            <w:tcW w:w="1134" w:type="dxa"/>
            <w:noWrap/>
            <w:hideMark/>
          </w:tcPr>
          <w:p w14:paraId="3DED7A0F" w14:textId="3B1B7558" w:rsidR="00B23965" w:rsidRPr="003C55B0" w:rsidRDefault="00B23965" w:rsidP="00E136B9">
            <w:pPr>
              <w:spacing w:before="20" w:afterLines="20" w:after="48"/>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lang w:eastAsia="en-ZA"/>
              </w:rPr>
            </w:pPr>
            <w:r w:rsidRPr="003C55B0">
              <w:rPr>
                <w:rFonts w:cstheme="minorHAnsi"/>
              </w:rPr>
              <w:t>-3 536</w:t>
            </w:r>
          </w:p>
        </w:tc>
      </w:tr>
      <w:tr w:rsidR="0081650A" w:rsidRPr="003C55B0" w14:paraId="3E0A0D2B" w14:textId="77777777" w:rsidTr="0081650A">
        <w:tc>
          <w:tcPr>
            <w:cnfStyle w:val="001000000000" w:firstRow="0" w:lastRow="0" w:firstColumn="1" w:lastColumn="0" w:oddVBand="0" w:evenVBand="0" w:oddHBand="0" w:evenHBand="0" w:firstRowFirstColumn="0" w:firstRowLastColumn="0" w:lastRowFirstColumn="0" w:lastRowLastColumn="0"/>
            <w:tcW w:w="3261" w:type="dxa"/>
            <w:noWrap/>
            <w:hideMark/>
          </w:tcPr>
          <w:p w14:paraId="27DBF005" w14:textId="77777777" w:rsidR="00B23965" w:rsidRPr="003C55B0" w:rsidRDefault="00B23965" w:rsidP="00E136B9">
            <w:pPr>
              <w:spacing w:beforeLines="0" w:before="20" w:afterLines="20" w:after="48"/>
              <w:ind w:firstLineChars="200" w:firstLine="400"/>
              <w:jc w:val="left"/>
              <w:rPr>
                <w:rFonts w:eastAsia="Times New Roman" w:cstheme="minorHAnsi"/>
                <w:color w:val="000000"/>
                <w:lang w:eastAsia="en-ZA"/>
              </w:rPr>
            </w:pPr>
            <w:r w:rsidRPr="003C55B0">
              <w:rPr>
                <w:rFonts w:eastAsia="Times New Roman" w:cstheme="minorHAnsi"/>
                <w:color w:val="000000"/>
                <w:lang w:eastAsia="en-ZA"/>
              </w:rPr>
              <w:t>Vehicles</w:t>
            </w:r>
          </w:p>
        </w:tc>
        <w:tc>
          <w:tcPr>
            <w:tcW w:w="850" w:type="dxa"/>
            <w:noWrap/>
            <w:hideMark/>
          </w:tcPr>
          <w:p w14:paraId="3B93B414" w14:textId="77777777" w:rsidR="00B23965" w:rsidRPr="003C55B0" w:rsidRDefault="00B23965" w:rsidP="00E136B9">
            <w:pPr>
              <w:spacing w:before="20" w:afterLines="20" w:after="48"/>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lang w:eastAsia="en-ZA"/>
              </w:rPr>
            </w:pPr>
            <w:r w:rsidRPr="003C55B0">
              <w:rPr>
                <w:rFonts w:eastAsia="Times New Roman" w:cstheme="minorHAnsi"/>
                <w:color w:val="000000"/>
                <w:lang w:eastAsia="en-ZA"/>
              </w:rPr>
              <w:t>0.68</w:t>
            </w:r>
          </w:p>
        </w:tc>
        <w:tc>
          <w:tcPr>
            <w:tcW w:w="851" w:type="dxa"/>
            <w:noWrap/>
            <w:hideMark/>
          </w:tcPr>
          <w:p w14:paraId="2C7028F3" w14:textId="77777777" w:rsidR="00B23965" w:rsidRPr="003C55B0" w:rsidRDefault="00B23965" w:rsidP="00E136B9">
            <w:pPr>
              <w:spacing w:before="20" w:afterLines="20" w:after="48"/>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lang w:eastAsia="en-ZA"/>
              </w:rPr>
            </w:pPr>
            <w:r w:rsidRPr="003C55B0">
              <w:rPr>
                <w:rFonts w:eastAsia="Times New Roman" w:cstheme="minorHAnsi"/>
                <w:color w:val="000000"/>
                <w:lang w:eastAsia="en-ZA"/>
              </w:rPr>
              <w:t>0.55</w:t>
            </w:r>
          </w:p>
        </w:tc>
        <w:tc>
          <w:tcPr>
            <w:tcW w:w="810" w:type="dxa"/>
            <w:noWrap/>
            <w:hideMark/>
          </w:tcPr>
          <w:p w14:paraId="65DFC944" w14:textId="77777777" w:rsidR="00B23965" w:rsidRPr="003C55B0" w:rsidRDefault="00B23965" w:rsidP="00E136B9">
            <w:pPr>
              <w:spacing w:before="20" w:afterLines="20" w:after="48"/>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lang w:eastAsia="en-ZA"/>
              </w:rPr>
            </w:pPr>
            <w:r w:rsidRPr="003C55B0">
              <w:rPr>
                <w:rFonts w:eastAsia="Times New Roman" w:cstheme="minorHAnsi"/>
                <w:color w:val="000000"/>
                <w:lang w:eastAsia="en-ZA"/>
              </w:rPr>
              <w:t>0.34</w:t>
            </w:r>
          </w:p>
        </w:tc>
        <w:tc>
          <w:tcPr>
            <w:tcW w:w="1032" w:type="dxa"/>
            <w:noWrap/>
            <w:hideMark/>
          </w:tcPr>
          <w:p w14:paraId="5539317C" w14:textId="4B56E851" w:rsidR="00B23965" w:rsidRPr="003C55B0" w:rsidRDefault="00B23965" w:rsidP="00E136B9">
            <w:pPr>
              <w:spacing w:before="20" w:afterLines="20" w:after="48"/>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lang w:eastAsia="en-ZA"/>
              </w:rPr>
            </w:pPr>
            <w:r w:rsidRPr="003C55B0">
              <w:rPr>
                <w:rFonts w:cstheme="minorHAnsi"/>
              </w:rPr>
              <w:t>2 414</w:t>
            </w:r>
          </w:p>
        </w:tc>
        <w:tc>
          <w:tcPr>
            <w:tcW w:w="1134" w:type="dxa"/>
            <w:noWrap/>
            <w:hideMark/>
          </w:tcPr>
          <w:p w14:paraId="0E2C3E96" w14:textId="129BC39A" w:rsidR="00B23965" w:rsidRPr="003C55B0" w:rsidRDefault="00B23965" w:rsidP="00E136B9">
            <w:pPr>
              <w:spacing w:before="20" w:afterLines="20" w:after="48"/>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lang w:eastAsia="en-ZA"/>
              </w:rPr>
            </w:pPr>
            <w:r w:rsidRPr="003C55B0">
              <w:rPr>
                <w:rFonts w:cstheme="minorHAnsi"/>
              </w:rPr>
              <w:t>2 110</w:t>
            </w:r>
          </w:p>
        </w:tc>
        <w:tc>
          <w:tcPr>
            <w:tcW w:w="1134" w:type="dxa"/>
            <w:noWrap/>
            <w:hideMark/>
          </w:tcPr>
          <w:p w14:paraId="5269C07B" w14:textId="5E3CEEAA" w:rsidR="00B23965" w:rsidRPr="003C55B0" w:rsidRDefault="00B23965" w:rsidP="00E136B9">
            <w:pPr>
              <w:spacing w:before="20" w:afterLines="20" w:after="48"/>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lang w:eastAsia="en-ZA"/>
              </w:rPr>
            </w:pPr>
            <w:r w:rsidRPr="003C55B0">
              <w:rPr>
                <w:rFonts w:cstheme="minorHAnsi"/>
              </w:rPr>
              <w:t>1 610</w:t>
            </w:r>
          </w:p>
        </w:tc>
      </w:tr>
      <w:tr w:rsidR="00180444" w:rsidRPr="003C55B0" w14:paraId="03ED285F" w14:textId="77777777" w:rsidTr="008165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1" w:type="dxa"/>
            <w:noWrap/>
            <w:hideMark/>
          </w:tcPr>
          <w:p w14:paraId="22A80656" w14:textId="77777777" w:rsidR="00B23965" w:rsidRPr="003C55B0" w:rsidRDefault="00B23965" w:rsidP="00E136B9">
            <w:pPr>
              <w:spacing w:beforeLines="0" w:before="20" w:afterLines="20" w:after="48"/>
              <w:ind w:firstLineChars="200" w:firstLine="400"/>
              <w:jc w:val="left"/>
              <w:rPr>
                <w:rFonts w:eastAsia="Times New Roman" w:cstheme="minorHAnsi"/>
                <w:color w:val="000000"/>
                <w:lang w:eastAsia="en-ZA"/>
              </w:rPr>
            </w:pPr>
            <w:r w:rsidRPr="003C55B0">
              <w:rPr>
                <w:rFonts w:eastAsia="Times New Roman" w:cstheme="minorHAnsi"/>
                <w:color w:val="000000"/>
                <w:lang w:eastAsia="en-ZA"/>
              </w:rPr>
              <w:t>Other manufacturing</w:t>
            </w:r>
          </w:p>
        </w:tc>
        <w:tc>
          <w:tcPr>
            <w:tcW w:w="850" w:type="dxa"/>
            <w:noWrap/>
            <w:hideMark/>
          </w:tcPr>
          <w:p w14:paraId="2307D14F" w14:textId="77777777" w:rsidR="00B23965" w:rsidRPr="003C55B0" w:rsidRDefault="00B23965" w:rsidP="00E136B9">
            <w:pPr>
              <w:spacing w:before="20" w:afterLines="20" w:after="48"/>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lang w:eastAsia="en-ZA"/>
              </w:rPr>
            </w:pPr>
            <w:r w:rsidRPr="003C55B0">
              <w:rPr>
                <w:rFonts w:eastAsia="Times New Roman" w:cstheme="minorHAnsi"/>
                <w:color w:val="000000"/>
                <w:lang w:eastAsia="en-ZA"/>
              </w:rPr>
              <w:t>-2.47</w:t>
            </w:r>
          </w:p>
        </w:tc>
        <w:tc>
          <w:tcPr>
            <w:tcW w:w="851" w:type="dxa"/>
            <w:noWrap/>
            <w:hideMark/>
          </w:tcPr>
          <w:p w14:paraId="7DF582C9" w14:textId="77777777" w:rsidR="00B23965" w:rsidRPr="003C55B0" w:rsidRDefault="00B23965" w:rsidP="00E136B9">
            <w:pPr>
              <w:spacing w:before="20" w:afterLines="20" w:after="48"/>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lang w:eastAsia="en-ZA"/>
              </w:rPr>
            </w:pPr>
            <w:r w:rsidRPr="003C55B0">
              <w:rPr>
                <w:rFonts w:eastAsia="Times New Roman" w:cstheme="minorHAnsi"/>
                <w:color w:val="000000"/>
                <w:lang w:eastAsia="en-ZA"/>
              </w:rPr>
              <w:t>-2.69</w:t>
            </w:r>
          </w:p>
        </w:tc>
        <w:tc>
          <w:tcPr>
            <w:tcW w:w="810" w:type="dxa"/>
            <w:noWrap/>
            <w:hideMark/>
          </w:tcPr>
          <w:p w14:paraId="4EA756F9" w14:textId="77777777" w:rsidR="00B23965" w:rsidRPr="003C55B0" w:rsidRDefault="00B23965" w:rsidP="00E136B9">
            <w:pPr>
              <w:spacing w:before="20" w:afterLines="20" w:after="48"/>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lang w:eastAsia="en-ZA"/>
              </w:rPr>
            </w:pPr>
            <w:r w:rsidRPr="003C55B0">
              <w:rPr>
                <w:rFonts w:eastAsia="Times New Roman" w:cstheme="minorHAnsi"/>
                <w:color w:val="000000"/>
                <w:lang w:eastAsia="en-ZA"/>
              </w:rPr>
              <w:t>-2.95</w:t>
            </w:r>
          </w:p>
        </w:tc>
        <w:tc>
          <w:tcPr>
            <w:tcW w:w="1032" w:type="dxa"/>
            <w:noWrap/>
            <w:hideMark/>
          </w:tcPr>
          <w:p w14:paraId="04C07556" w14:textId="3672A749" w:rsidR="00B23965" w:rsidRPr="003C55B0" w:rsidRDefault="00B23965" w:rsidP="00E136B9">
            <w:pPr>
              <w:spacing w:before="20" w:afterLines="20" w:after="48"/>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lang w:eastAsia="en-ZA"/>
              </w:rPr>
            </w:pPr>
            <w:r w:rsidRPr="003C55B0">
              <w:rPr>
                <w:rFonts w:cstheme="minorHAnsi"/>
              </w:rPr>
              <w:t>-2 970</w:t>
            </w:r>
          </w:p>
        </w:tc>
        <w:tc>
          <w:tcPr>
            <w:tcW w:w="1134" w:type="dxa"/>
            <w:noWrap/>
            <w:hideMark/>
          </w:tcPr>
          <w:p w14:paraId="666226C7" w14:textId="789DE101" w:rsidR="00B23965" w:rsidRPr="003C55B0" w:rsidRDefault="00B23965" w:rsidP="00E136B9">
            <w:pPr>
              <w:spacing w:before="20" w:afterLines="20" w:after="48"/>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lang w:eastAsia="en-ZA"/>
              </w:rPr>
            </w:pPr>
            <w:r w:rsidRPr="003C55B0">
              <w:rPr>
                <w:rFonts w:cstheme="minorHAnsi"/>
              </w:rPr>
              <w:t>-3 452</w:t>
            </w:r>
          </w:p>
        </w:tc>
        <w:tc>
          <w:tcPr>
            <w:tcW w:w="1134" w:type="dxa"/>
            <w:noWrap/>
            <w:hideMark/>
          </w:tcPr>
          <w:p w14:paraId="5E768585" w14:textId="05077EC5" w:rsidR="00B23965" w:rsidRPr="003C55B0" w:rsidRDefault="00B23965" w:rsidP="00E136B9">
            <w:pPr>
              <w:spacing w:before="20" w:afterLines="20" w:after="48"/>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lang w:eastAsia="en-ZA"/>
              </w:rPr>
            </w:pPr>
            <w:r w:rsidRPr="003C55B0">
              <w:rPr>
                <w:rFonts w:cstheme="minorHAnsi"/>
              </w:rPr>
              <w:t>-4 051</w:t>
            </w:r>
          </w:p>
        </w:tc>
      </w:tr>
      <w:tr w:rsidR="0081650A" w:rsidRPr="003C55B0" w14:paraId="3F213AB1" w14:textId="77777777" w:rsidTr="0081650A">
        <w:tc>
          <w:tcPr>
            <w:cnfStyle w:val="001000000000" w:firstRow="0" w:lastRow="0" w:firstColumn="1" w:lastColumn="0" w:oddVBand="0" w:evenVBand="0" w:oddHBand="0" w:evenHBand="0" w:firstRowFirstColumn="0" w:firstRowLastColumn="0" w:lastRowFirstColumn="0" w:lastRowLastColumn="0"/>
            <w:tcW w:w="3261" w:type="dxa"/>
            <w:noWrap/>
            <w:hideMark/>
          </w:tcPr>
          <w:p w14:paraId="3C326AF3" w14:textId="77777777" w:rsidR="00B23965" w:rsidRPr="003C55B0" w:rsidRDefault="00B23965" w:rsidP="00E136B9">
            <w:pPr>
              <w:keepNext/>
              <w:spacing w:beforeLines="0" w:before="20" w:afterLines="20" w:after="48"/>
              <w:ind w:firstLineChars="100" w:firstLine="200"/>
              <w:jc w:val="left"/>
              <w:rPr>
                <w:rFonts w:eastAsia="Times New Roman" w:cstheme="minorHAnsi"/>
                <w:color w:val="000000"/>
                <w:lang w:eastAsia="en-ZA"/>
              </w:rPr>
            </w:pPr>
            <w:r w:rsidRPr="003C55B0">
              <w:rPr>
                <w:rFonts w:eastAsia="Times New Roman" w:cstheme="minorHAnsi"/>
                <w:color w:val="000000"/>
                <w:lang w:eastAsia="en-ZA"/>
              </w:rPr>
              <w:t>Other industry</w:t>
            </w:r>
          </w:p>
        </w:tc>
        <w:tc>
          <w:tcPr>
            <w:tcW w:w="850" w:type="dxa"/>
            <w:noWrap/>
            <w:hideMark/>
          </w:tcPr>
          <w:p w14:paraId="753DCD15" w14:textId="77777777" w:rsidR="00B23965" w:rsidRPr="003C55B0" w:rsidRDefault="00B23965" w:rsidP="00E136B9">
            <w:pPr>
              <w:keepNext/>
              <w:spacing w:before="20" w:afterLines="20" w:after="48"/>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lang w:eastAsia="en-ZA"/>
              </w:rPr>
            </w:pPr>
            <w:r w:rsidRPr="003C55B0">
              <w:rPr>
                <w:rFonts w:eastAsia="Times New Roman" w:cstheme="minorHAnsi"/>
                <w:color w:val="000000"/>
                <w:lang w:eastAsia="en-ZA"/>
              </w:rPr>
              <w:t>3.90</w:t>
            </w:r>
          </w:p>
        </w:tc>
        <w:tc>
          <w:tcPr>
            <w:tcW w:w="851" w:type="dxa"/>
            <w:noWrap/>
            <w:hideMark/>
          </w:tcPr>
          <w:p w14:paraId="5EF1928B" w14:textId="77777777" w:rsidR="00B23965" w:rsidRPr="003C55B0" w:rsidRDefault="00B23965" w:rsidP="00E136B9">
            <w:pPr>
              <w:keepNext/>
              <w:spacing w:before="20" w:afterLines="20" w:after="48"/>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lang w:eastAsia="en-ZA"/>
              </w:rPr>
            </w:pPr>
            <w:r w:rsidRPr="003C55B0">
              <w:rPr>
                <w:rFonts w:eastAsia="Times New Roman" w:cstheme="minorHAnsi"/>
                <w:color w:val="000000"/>
                <w:lang w:eastAsia="en-ZA"/>
              </w:rPr>
              <w:t>4.61</w:t>
            </w:r>
          </w:p>
        </w:tc>
        <w:tc>
          <w:tcPr>
            <w:tcW w:w="810" w:type="dxa"/>
            <w:noWrap/>
            <w:hideMark/>
          </w:tcPr>
          <w:p w14:paraId="748FB855" w14:textId="77777777" w:rsidR="00B23965" w:rsidRPr="003C55B0" w:rsidRDefault="00B23965" w:rsidP="00E136B9">
            <w:pPr>
              <w:keepNext/>
              <w:spacing w:before="20" w:afterLines="20" w:after="48"/>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lang w:eastAsia="en-ZA"/>
              </w:rPr>
            </w:pPr>
            <w:r w:rsidRPr="003C55B0">
              <w:rPr>
                <w:rFonts w:eastAsia="Times New Roman" w:cstheme="minorHAnsi"/>
                <w:color w:val="000000"/>
                <w:lang w:eastAsia="en-ZA"/>
              </w:rPr>
              <w:t>5.62</w:t>
            </w:r>
          </w:p>
        </w:tc>
        <w:tc>
          <w:tcPr>
            <w:tcW w:w="1032" w:type="dxa"/>
            <w:noWrap/>
            <w:hideMark/>
          </w:tcPr>
          <w:p w14:paraId="489F8CEA" w14:textId="3C80A69F" w:rsidR="00B23965" w:rsidRPr="003C55B0" w:rsidRDefault="00B23965" w:rsidP="00E136B9">
            <w:pPr>
              <w:keepNext/>
              <w:spacing w:before="20" w:afterLines="20" w:after="48"/>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lang w:eastAsia="en-ZA"/>
              </w:rPr>
            </w:pPr>
            <w:r w:rsidRPr="003C55B0">
              <w:rPr>
                <w:rFonts w:cstheme="minorHAnsi"/>
              </w:rPr>
              <w:t>48 343</w:t>
            </w:r>
          </w:p>
        </w:tc>
        <w:tc>
          <w:tcPr>
            <w:tcW w:w="1134" w:type="dxa"/>
            <w:noWrap/>
            <w:hideMark/>
          </w:tcPr>
          <w:p w14:paraId="2BEDC68C" w14:textId="40A65E3E" w:rsidR="00B23965" w:rsidRPr="003C55B0" w:rsidRDefault="00B23965" w:rsidP="00E136B9">
            <w:pPr>
              <w:keepNext/>
              <w:spacing w:before="20" w:afterLines="20" w:after="48"/>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lang w:eastAsia="en-ZA"/>
              </w:rPr>
            </w:pPr>
            <w:r w:rsidRPr="003C55B0">
              <w:rPr>
                <w:rFonts w:cstheme="minorHAnsi"/>
              </w:rPr>
              <w:t>48 824</w:t>
            </w:r>
          </w:p>
        </w:tc>
        <w:tc>
          <w:tcPr>
            <w:tcW w:w="1134" w:type="dxa"/>
            <w:noWrap/>
            <w:hideMark/>
          </w:tcPr>
          <w:p w14:paraId="5BE6C505" w14:textId="75D6A8AF" w:rsidR="00B23965" w:rsidRPr="003C55B0" w:rsidRDefault="00B23965" w:rsidP="00E136B9">
            <w:pPr>
              <w:keepNext/>
              <w:spacing w:before="20" w:afterLines="20" w:after="48"/>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lang w:eastAsia="en-ZA"/>
              </w:rPr>
            </w:pPr>
            <w:r w:rsidRPr="003C55B0">
              <w:rPr>
                <w:rFonts w:cstheme="minorHAnsi"/>
              </w:rPr>
              <w:t>48 904</w:t>
            </w:r>
          </w:p>
        </w:tc>
      </w:tr>
      <w:tr w:rsidR="00180444" w:rsidRPr="003C55B0" w14:paraId="5EA11D9D" w14:textId="77777777" w:rsidTr="008165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1" w:type="dxa"/>
            <w:noWrap/>
            <w:hideMark/>
          </w:tcPr>
          <w:p w14:paraId="78D56506" w14:textId="77777777" w:rsidR="00B23965" w:rsidRPr="003C55B0" w:rsidRDefault="00B23965" w:rsidP="00E136B9">
            <w:pPr>
              <w:keepNext/>
              <w:spacing w:beforeLines="0" w:before="20" w:afterLines="20" w:after="48"/>
              <w:ind w:firstLineChars="200" w:firstLine="400"/>
              <w:jc w:val="left"/>
              <w:rPr>
                <w:rFonts w:eastAsia="Times New Roman" w:cstheme="minorHAnsi"/>
                <w:color w:val="000000"/>
                <w:lang w:eastAsia="en-ZA"/>
              </w:rPr>
            </w:pPr>
            <w:r w:rsidRPr="003C55B0">
              <w:rPr>
                <w:rFonts w:eastAsia="Times New Roman" w:cstheme="minorHAnsi"/>
                <w:color w:val="000000"/>
                <w:lang w:eastAsia="en-ZA"/>
              </w:rPr>
              <w:t>Electricity, gas and water</w:t>
            </w:r>
          </w:p>
        </w:tc>
        <w:tc>
          <w:tcPr>
            <w:tcW w:w="850" w:type="dxa"/>
            <w:noWrap/>
            <w:hideMark/>
          </w:tcPr>
          <w:p w14:paraId="2D919762" w14:textId="77777777" w:rsidR="00B23965" w:rsidRPr="003C55B0" w:rsidRDefault="00B23965" w:rsidP="00E136B9">
            <w:pPr>
              <w:keepNext/>
              <w:spacing w:before="20" w:afterLines="20" w:after="48"/>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lang w:eastAsia="en-ZA"/>
              </w:rPr>
            </w:pPr>
            <w:r w:rsidRPr="003C55B0">
              <w:rPr>
                <w:rFonts w:eastAsia="Times New Roman" w:cstheme="minorHAnsi"/>
                <w:color w:val="000000"/>
                <w:lang w:eastAsia="en-ZA"/>
              </w:rPr>
              <w:t>8.06</w:t>
            </w:r>
          </w:p>
        </w:tc>
        <w:tc>
          <w:tcPr>
            <w:tcW w:w="851" w:type="dxa"/>
            <w:noWrap/>
            <w:hideMark/>
          </w:tcPr>
          <w:p w14:paraId="45695C59" w14:textId="77777777" w:rsidR="00B23965" w:rsidRPr="003C55B0" w:rsidRDefault="00B23965" w:rsidP="00E136B9">
            <w:pPr>
              <w:keepNext/>
              <w:spacing w:before="20" w:afterLines="20" w:after="48"/>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lang w:eastAsia="en-ZA"/>
              </w:rPr>
            </w:pPr>
            <w:r w:rsidRPr="003C55B0">
              <w:rPr>
                <w:rFonts w:eastAsia="Times New Roman" w:cstheme="minorHAnsi"/>
                <w:color w:val="000000"/>
                <w:lang w:eastAsia="en-ZA"/>
              </w:rPr>
              <w:t>9.72</w:t>
            </w:r>
          </w:p>
        </w:tc>
        <w:tc>
          <w:tcPr>
            <w:tcW w:w="810" w:type="dxa"/>
            <w:noWrap/>
            <w:hideMark/>
          </w:tcPr>
          <w:p w14:paraId="7608A2B0" w14:textId="77777777" w:rsidR="00B23965" w:rsidRPr="003C55B0" w:rsidRDefault="00B23965" w:rsidP="00E136B9">
            <w:pPr>
              <w:keepNext/>
              <w:spacing w:before="20" w:afterLines="20" w:after="48"/>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lang w:eastAsia="en-ZA"/>
              </w:rPr>
            </w:pPr>
            <w:r w:rsidRPr="003C55B0">
              <w:rPr>
                <w:rFonts w:eastAsia="Times New Roman" w:cstheme="minorHAnsi"/>
                <w:color w:val="000000"/>
                <w:lang w:eastAsia="en-ZA"/>
              </w:rPr>
              <w:t>12.12</w:t>
            </w:r>
          </w:p>
        </w:tc>
        <w:tc>
          <w:tcPr>
            <w:tcW w:w="1032" w:type="dxa"/>
            <w:noWrap/>
            <w:hideMark/>
          </w:tcPr>
          <w:p w14:paraId="44562A68" w14:textId="21053164" w:rsidR="00B23965" w:rsidRPr="003C55B0" w:rsidRDefault="00B23965" w:rsidP="00E136B9">
            <w:pPr>
              <w:keepNext/>
              <w:spacing w:before="20" w:afterLines="20" w:after="48"/>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lang w:eastAsia="en-ZA"/>
              </w:rPr>
            </w:pPr>
            <w:r w:rsidRPr="003C55B0">
              <w:rPr>
                <w:rFonts w:cstheme="minorHAnsi"/>
              </w:rPr>
              <w:t>13 914</w:t>
            </w:r>
          </w:p>
        </w:tc>
        <w:tc>
          <w:tcPr>
            <w:tcW w:w="1134" w:type="dxa"/>
            <w:noWrap/>
            <w:hideMark/>
          </w:tcPr>
          <w:p w14:paraId="38A5A3FC" w14:textId="651532BC" w:rsidR="00B23965" w:rsidRPr="003C55B0" w:rsidRDefault="00B23965" w:rsidP="00E136B9">
            <w:pPr>
              <w:keepNext/>
              <w:spacing w:before="20" w:afterLines="20" w:after="48"/>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lang w:eastAsia="en-ZA"/>
              </w:rPr>
            </w:pPr>
            <w:r w:rsidRPr="003C55B0">
              <w:rPr>
                <w:rFonts w:cstheme="minorHAnsi"/>
              </w:rPr>
              <w:t>16 437</w:t>
            </w:r>
          </w:p>
        </w:tc>
        <w:tc>
          <w:tcPr>
            <w:tcW w:w="1134" w:type="dxa"/>
            <w:noWrap/>
            <w:hideMark/>
          </w:tcPr>
          <w:p w14:paraId="4590C9F9" w14:textId="6317CD1E" w:rsidR="00B23965" w:rsidRPr="003C55B0" w:rsidRDefault="00B23965" w:rsidP="00E136B9">
            <w:pPr>
              <w:keepNext/>
              <w:spacing w:before="20" w:afterLines="20" w:after="48"/>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lang w:eastAsia="en-ZA"/>
              </w:rPr>
            </w:pPr>
            <w:r w:rsidRPr="003C55B0">
              <w:rPr>
                <w:rFonts w:cstheme="minorHAnsi"/>
              </w:rPr>
              <w:t>20 115</w:t>
            </w:r>
          </w:p>
        </w:tc>
      </w:tr>
      <w:tr w:rsidR="0081650A" w:rsidRPr="003C55B0" w14:paraId="2119CAF0" w14:textId="77777777" w:rsidTr="0081650A">
        <w:tc>
          <w:tcPr>
            <w:cnfStyle w:val="001000000000" w:firstRow="0" w:lastRow="0" w:firstColumn="1" w:lastColumn="0" w:oddVBand="0" w:evenVBand="0" w:oddHBand="0" w:evenHBand="0" w:firstRowFirstColumn="0" w:firstRowLastColumn="0" w:lastRowFirstColumn="0" w:lastRowLastColumn="0"/>
            <w:tcW w:w="3261" w:type="dxa"/>
            <w:noWrap/>
            <w:hideMark/>
          </w:tcPr>
          <w:p w14:paraId="65F9E6CD" w14:textId="77777777" w:rsidR="00B23965" w:rsidRPr="003C55B0" w:rsidRDefault="00B23965" w:rsidP="00E136B9">
            <w:pPr>
              <w:spacing w:beforeLines="0" w:before="20" w:afterLines="20" w:after="48"/>
              <w:ind w:firstLineChars="200" w:firstLine="400"/>
              <w:jc w:val="left"/>
              <w:rPr>
                <w:rFonts w:eastAsia="Times New Roman" w:cstheme="minorHAnsi"/>
                <w:color w:val="000000"/>
                <w:lang w:eastAsia="en-ZA"/>
              </w:rPr>
            </w:pPr>
            <w:r w:rsidRPr="003C55B0">
              <w:rPr>
                <w:rFonts w:eastAsia="Times New Roman" w:cstheme="minorHAnsi"/>
                <w:color w:val="000000"/>
                <w:lang w:eastAsia="en-ZA"/>
              </w:rPr>
              <w:t>Construction</w:t>
            </w:r>
          </w:p>
        </w:tc>
        <w:tc>
          <w:tcPr>
            <w:tcW w:w="850" w:type="dxa"/>
            <w:noWrap/>
            <w:hideMark/>
          </w:tcPr>
          <w:p w14:paraId="3F182D59" w14:textId="77777777" w:rsidR="00B23965" w:rsidRPr="003C55B0" w:rsidRDefault="00B23965" w:rsidP="00E136B9">
            <w:pPr>
              <w:spacing w:before="20" w:afterLines="20" w:after="48"/>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lang w:eastAsia="en-ZA"/>
              </w:rPr>
            </w:pPr>
            <w:r w:rsidRPr="003C55B0">
              <w:rPr>
                <w:rFonts w:eastAsia="Times New Roman" w:cstheme="minorHAnsi"/>
                <w:color w:val="000000"/>
                <w:lang w:eastAsia="en-ZA"/>
              </w:rPr>
              <w:t>0.48</w:t>
            </w:r>
          </w:p>
        </w:tc>
        <w:tc>
          <w:tcPr>
            <w:tcW w:w="851" w:type="dxa"/>
            <w:noWrap/>
            <w:hideMark/>
          </w:tcPr>
          <w:p w14:paraId="1D90983C" w14:textId="77777777" w:rsidR="00B23965" w:rsidRPr="003C55B0" w:rsidRDefault="00B23965" w:rsidP="00E136B9">
            <w:pPr>
              <w:spacing w:before="20" w:afterLines="20" w:after="48"/>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lang w:eastAsia="en-ZA"/>
              </w:rPr>
            </w:pPr>
            <w:r w:rsidRPr="003C55B0">
              <w:rPr>
                <w:rFonts w:eastAsia="Times New Roman" w:cstheme="minorHAnsi"/>
                <w:color w:val="000000"/>
                <w:lang w:eastAsia="en-ZA"/>
              </w:rPr>
              <w:t>0.40</w:t>
            </w:r>
          </w:p>
        </w:tc>
        <w:tc>
          <w:tcPr>
            <w:tcW w:w="810" w:type="dxa"/>
            <w:noWrap/>
            <w:hideMark/>
          </w:tcPr>
          <w:p w14:paraId="4F2CF4A9" w14:textId="77777777" w:rsidR="00B23965" w:rsidRPr="003C55B0" w:rsidRDefault="00B23965" w:rsidP="00E136B9">
            <w:pPr>
              <w:spacing w:before="20" w:afterLines="20" w:after="48"/>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lang w:eastAsia="en-ZA"/>
              </w:rPr>
            </w:pPr>
            <w:r w:rsidRPr="003C55B0">
              <w:rPr>
                <w:rFonts w:eastAsia="Times New Roman" w:cstheme="minorHAnsi"/>
                <w:color w:val="000000"/>
                <w:lang w:eastAsia="en-ZA"/>
              </w:rPr>
              <w:t>0.26</w:t>
            </w:r>
          </w:p>
        </w:tc>
        <w:tc>
          <w:tcPr>
            <w:tcW w:w="1032" w:type="dxa"/>
            <w:noWrap/>
            <w:hideMark/>
          </w:tcPr>
          <w:p w14:paraId="0AB2E073" w14:textId="5678125E" w:rsidR="00B23965" w:rsidRPr="003C55B0" w:rsidRDefault="00B23965" w:rsidP="00E136B9">
            <w:pPr>
              <w:spacing w:before="20" w:afterLines="20" w:after="48"/>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lang w:eastAsia="en-ZA"/>
              </w:rPr>
            </w:pPr>
            <w:r w:rsidRPr="003C55B0">
              <w:rPr>
                <w:rFonts w:cstheme="minorHAnsi"/>
              </w:rPr>
              <w:t>34 429</w:t>
            </w:r>
          </w:p>
        </w:tc>
        <w:tc>
          <w:tcPr>
            <w:tcW w:w="1134" w:type="dxa"/>
            <w:noWrap/>
            <w:hideMark/>
          </w:tcPr>
          <w:p w14:paraId="0B594238" w14:textId="6A257AAB" w:rsidR="00B23965" w:rsidRPr="003C55B0" w:rsidRDefault="00B23965" w:rsidP="00E136B9">
            <w:pPr>
              <w:spacing w:before="20" w:afterLines="20" w:after="48"/>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lang w:eastAsia="en-ZA"/>
              </w:rPr>
            </w:pPr>
            <w:r w:rsidRPr="003C55B0">
              <w:rPr>
                <w:rFonts w:cstheme="minorHAnsi"/>
              </w:rPr>
              <w:t>32 387</w:t>
            </w:r>
          </w:p>
        </w:tc>
        <w:tc>
          <w:tcPr>
            <w:tcW w:w="1134" w:type="dxa"/>
            <w:noWrap/>
            <w:hideMark/>
          </w:tcPr>
          <w:p w14:paraId="7A4E18C9" w14:textId="38BCD5BA" w:rsidR="00B23965" w:rsidRPr="003C55B0" w:rsidRDefault="00B23965" w:rsidP="00E136B9">
            <w:pPr>
              <w:spacing w:before="20" w:afterLines="20" w:after="48"/>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lang w:eastAsia="en-ZA"/>
              </w:rPr>
            </w:pPr>
            <w:r w:rsidRPr="003C55B0">
              <w:rPr>
                <w:rFonts w:cstheme="minorHAnsi"/>
              </w:rPr>
              <w:t>28 788</w:t>
            </w:r>
          </w:p>
        </w:tc>
      </w:tr>
      <w:tr w:rsidR="00180444" w:rsidRPr="003C55B0" w14:paraId="0DAE0A89" w14:textId="77777777" w:rsidTr="008165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1" w:type="dxa"/>
            <w:noWrap/>
            <w:hideMark/>
          </w:tcPr>
          <w:p w14:paraId="758B0CA9" w14:textId="77777777" w:rsidR="00B23965" w:rsidRPr="003C55B0" w:rsidRDefault="00B23965" w:rsidP="00E136B9">
            <w:pPr>
              <w:spacing w:beforeLines="0" w:before="20" w:afterLines="20" w:after="48"/>
              <w:ind w:firstLineChars="100" w:firstLine="200"/>
              <w:jc w:val="left"/>
              <w:rPr>
                <w:rFonts w:eastAsia="Times New Roman" w:cstheme="minorHAnsi"/>
                <w:color w:val="000000"/>
                <w:lang w:eastAsia="en-ZA"/>
              </w:rPr>
            </w:pPr>
            <w:r w:rsidRPr="003C55B0">
              <w:rPr>
                <w:rFonts w:eastAsia="Times New Roman" w:cstheme="minorHAnsi"/>
                <w:color w:val="000000"/>
                <w:lang w:eastAsia="en-ZA"/>
              </w:rPr>
              <w:t>Services</w:t>
            </w:r>
          </w:p>
        </w:tc>
        <w:tc>
          <w:tcPr>
            <w:tcW w:w="850" w:type="dxa"/>
            <w:noWrap/>
            <w:hideMark/>
          </w:tcPr>
          <w:p w14:paraId="7271A76D" w14:textId="77777777" w:rsidR="00B23965" w:rsidRPr="003C55B0" w:rsidRDefault="00B23965" w:rsidP="00E136B9">
            <w:pPr>
              <w:spacing w:before="20" w:afterLines="20" w:after="48"/>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lang w:eastAsia="en-ZA"/>
              </w:rPr>
            </w:pPr>
            <w:r w:rsidRPr="003C55B0">
              <w:rPr>
                <w:rFonts w:eastAsia="Times New Roman" w:cstheme="minorHAnsi"/>
                <w:color w:val="000000"/>
                <w:lang w:eastAsia="en-ZA"/>
              </w:rPr>
              <w:t>0.85</w:t>
            </w:r>
          </w:p>
        </w:tc>
        <w:tc>
          <w:tcPr>
            <w:tcW w:w="851" w:type="dxa"/>
            <w:noWrap/>
            <w:hideMark/>
          </w:tcPr>
          <w:p w14:paraId="0D310081" w14:textId="77777777" w:rsidR="00B23965" w:rsidRPr="003C55B0" w:rsidRDefault="00B23965" w:rsidP="00E136B9">
            <w:pPr>
              <w:spacing w:before="20" w:afterLines="20" w:after="48"/>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lang w:eastAsia="en-ZA"/>
              </w:rPr>
            </w:pPr>
            <w:r w:rsidRPr="003C55B0">
              <w:rPr>
                <w:rFonts w:eastAsia="Times New Roman" w:cstheme="minorHAnsi"/>
                <w:color w:val="000000"/>
                <w:lang w:eastAsia="en-ZA"/>
              </w:rPr>
              <w:t>0.74</w:t>
            </w:r>
          </w:p>
        </w:tc>
        <w:tc>
          <w:tcPr>
            <w:tcW w:w="810" w:type="dxa"/>
            <w:noWrap/>
            <w:hideMark/>
          </w:tcPr>
          <w:p w14:paraId="2BED0ABD" w14:textId="77777777" w:rsidR="00B23965" w:rsidRPr="003C55B0" w:rsidRDefault="00B23965" w:rsidP="00E136B9">
            <w:pPr>
              <w:spacing w:before="20" w:afterLines="20" w:after="48"/>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lang w:eastAsia="en-ZA"/>
              </w:rPr>
            </w:pPr>
            <w:r w:rsidRPr="003C55B0">
              <w:rPr>
                <w:rFonts w:eastAsia="Times New Roman" w:cstheme="minorHAnsi"/>
                <w:color w:val="000000"/>
                <w:lang w:eastAsia="en-ZA"/>
              </w:rPr>
              <w:t>0.55</w:t>
            </w:r>
          </w:p>
        </w:tc>
        <w:tc>
          <w:tcPr>
            <w:tcW w:w="1032" w:type="dxa"/>
            <w:noWrap/>
            <w:hideMark/>
          </w:tcPr>
          <w:p w14:paraId="3FC1BF24" w14:textId="63B14D86" w:rsidR="00B23965" w:rsidRPr="003C55B0" w:rsidRDefault="00B23965" w:rsidP="00E136B9">
            <w:pPr>
              <w:spacing w:before="20" w:afterLines="20" w:after="48"/>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lang w:eastAsia="en-ZA"/>
              </w:rPr>
            </w:pPr>
            <w:r w:rsidRPr="003C55B0">
              <w:rPr>
                <w:rFonts w:cstheme="minorHAnsi"/>
              </w:rPr>
              <w:t>408 506</w:t>
            </w:r>
          </w:p>
        </w:tc>
        <w:tc>
          <w:tcPr>
            <w:tcW w:w="1134" w:type="dxa"/>
            <w:noWrap/>
            <w:hideMark/>
          </w:tcPr>
          <w:p w14:paraId="06CE90B0" w14:textId="7AA19228" w:rsidR="00B23965" w:rsidRPr="003C55B0" w:rsidRDefault="00B23965" w:rsidP="00E136B9">
            <w:pPr>
              <w:spacing w:before="20" w:afterLines="20" w:after="48"/>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lang w:eastAsia="en-ZA"/>
              </w:rPr>
            </w:pPr>
            <w:r w:rsidRPr="003C55B0">
              <w:rPr>
                <w:rFonts w:cstheme="minorHAnsi"/>
              </w:rPr>
              <w:t>378 407</w:t>
            </w:r>
          </w:p>
        </w:tc>
        <w:tc>
          <w:tcPr>
            <w:tcW w:w="1134" w:type="dxa"/>
            <w:noWrap/>
            <w:hideMark/>
          </w:tcPr>
          <w:p w14:paraId="3D9163CA" w14:textId="3EBFD034" w:rsidR="00B23965" w:rsidRPr="003C55B0" w:rsidRDefault="00B23965" w:rsidP="00E136B9">
            <w:pPr>
              <w:spacing w:before="20" w:afterLines="20" w:after="48"/>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lang w:eastAsia="en-ZA"/>
              </w:rPr>
            </w:pPr>
            <w:r w:rsidRPr="003C55B0">
              <w:rPr>
                <w:rFonts w:cstheme="minorHAnsi"/>
              </w:rPr>
              <w:t>327 159</w:t>
            </w:r>
          </w:p>
        </w:tc>
      </w:tr>
      <w:tr w:rsidR="0081650A" w:rsidRPr="003C55B0" w14:paraId="337BCDD0" w14:textId="77777777" w:rsidTr="0081650A">
        <w:tc>
          <w:tcPr>
            <w:cnfStyle w:val="001000000000" w:firstRow="0" w:lastRow="0" w:firstColumn="1" w:lastColumn="0" w:oddVBand="0" w:evenVBand="0" w:oddHBand="0" w:evenHBand="0" w:firstRowFirstColumn="0" w:firstRowLastColumn="0" w:lastRowFirstColumn="0" w:lastRowLastColumn="0"/>
            <w:tcW w:w="3261" w:type="dxa"/>
            <w:noWrap/>
            <w:hideMark/>
          </w:tcPr>
          <w:p w14:paraId="68D6EE8D" w14:textId="77777777" w:rsidR="00B23965" w:rsidRPr="003C55B0" w:rsidRDefault="00B23965" w:rsidP="00E136B9">
            <w:pPr>
              <w:spacing w:beforeLines="0" w:before="20" w:afterLines="20" w:after="48"/>
              <w:ind w:firstLineChars="200" w:firstLine="400"/>
              <w:jc w:val="left"/>
              <w:rPr>
                <w:rFonts w:eastAsia="Times New Roman" w:cstheme="minorHAnsi"/>
                <w:color w:val="000000"/>
                <w:lang w:eastAsia="en-ZA"/>
              </w:rPr>
            </w:pPr>
            <w:r w:rsidRPr="003C55B0">
              <w:rPr>
                <w:rFonts w:eastAsia="Times New Roman" w:cstheme="minorHAnsi"/>
                <w:color w:val="000000"/>
                <w:lang w:eastAsia="en-ZA"/>
              </w:rPr>
              <w:t>Trade</w:t>
            </w:r>
          </w:p>
        </w:tc>
        <w:tc>
          <w:tcPr>
            <w:tcW w:w="850" w:type="dxa"/>
            <w:noWrap/>
            <w:hideMark/>
          </w:tcPr>
          <w:p w14:paraId="188A8DB0" w14:textId="77777777" w:rsidR="00B23965" w:rsidRPr="003C55B0" w:rsidRDefault="00B23965" w:rsidP="00E136B9">
            <w:pPr>
              <w:spacing w:before="20" w:afterLines="20" w:after="48"/>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lang w:eastAsia="en-ZA"/>
              </w:rPr>
            </w:pPr>
            <w:r w:rsidRPr="003C55B0">
              <w:rPr>
                <w:rFonts w:eastAsia="Times New Roman" w:cstheme="minorHAnsi"/>
                <w:color w:val="000000"/>
                <w:lang w:eastAsia="en-ZA"/>
              </w:rPr>
              <w:t>0.56</w:t>
            </w:r>
          </w:p>
        </w:tc>
        <w:tc>
          <w:tcPr>
            <w:tcW w:w="851" w:type="dxa"/>
            <w:noWrap/>
            <w:hideMark/>
          </w:tcPr>
          <w:p w14:paraId="166A5316" w14:textId="77777777" w:rsidR="00B23965" w:rsidRPr="003C55B0" w:rsidRDefault="00B23965" w:rsidP="00E136B9">
            <w:pPr>
              <w:spacing w:before="20" w:afterLines="20" w:after="48"/>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lang w:eastAsia="en-ZA"/>
              </w:rPr>
            </w:pPr>
            <w:r w:rsidRPr="003C55B0">
              <w:rPr>
                <w:rFonts w:eastAsia="Times New Roman" w:cstheme="minorHAnsi"/>
                <w:color w:val="000000"/>
                <w:lang w:eastAsia="en-ZA"/>
              </w:rPr>
              <w:t>0.48</w:t>
            </w:r>
          </w:p>
        </w:tc>
        <w:tc>
          <w:tcPr>
            <w:tcW w:w="810" w:type="dxa"/>
            <w:noWrap/>
            <w:hideMark/>
          </w:tcPr>
          <w:p w14:paraId="080224AC" w14:textId="77777777" w:rsidR="00B23965" w:rsidRPr="003C55B0" w:rsidRDefault="00B23965" w:rsidP="00E136B9">
            <w:pPr>
              <w:spacing w:before="20" w:afterLines="20" w:after="48"/>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lang w:eastAsia="en-ZA"/>
              </w:rPr>
            </w:pPr>
            <w:r w:rsidRPr="003C55B0">
              <w:rPr>
                <w:rFonts w:eastAsia="Times New Roman" w:cstheme="minorHAnsi"/>
                <w:color w:val="000000"/>
                <w:lang w:eastAsia="en-ZA"/>
              </w:rPr>
              <w:t>0.31</w:t>
            </w:r>
          </w:p>
        </w:tc>
        <w:tc>
          <w:tcPr>
            <w:tcW w:w="1032" w:type="dxa"/>
            <w:noWrap/>
            <w:hideMark/>
          </w:tcPr>
          <w:p w14:paraId="55459E5E" w14:textId="14418F10" w:rsidR="00B23965" w:rsidRPr="003C55B0" w:rsidRDefault="00B23965" w:rsidP="00E136B9">
            <w:pPr>
              <w:spacing w:before="20" w:afterLines="20" w:after="48"/>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lang w:eastAsia="en-ZA"/>
              </w:rPr>
            </w:pPr>
            <w:r w:rsidRPr="003C55B0">
              <w:rPr>
                <w:rFonts w:cstheme="minorHAnsi"/>
              </w:rPr>
              <w:t>90 021</w:t>
            </w:r>
          </w:p>
        </w:tc>
        <w:tc>
          <w:tcPr>
            <w:tcW w:w="1134" w:type="dxa"/>
            <w:noWrap/>
            <w:hideMark/>
          </w:tcPr>
          <w:p w14:paraId="6AD96BB7" w14:textId="2F9ABEEC" w:rsidR="00B23965" w:rsidRPr="003C55B0" w:rsidRDefault="00B23965" w:rsidP="00E136B9">
            <w:pPr>
              <w:spacing w:before="20" w:afterLines="20" w:after="48"/>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lang w:eastAsia="en-ZA"/>
              </w:rPr>
            </w:pPr>
            <w:r w:rsidRPr="003C55B0">
              <w:rPr>
                <w:rFonts w:cstheme="minorHAnsi"/>
              </w:rPr>
              <w:t>83 333</w:t>
            </w:r>
          </w:p>
        </w:tc>
        <w:tc>
          <w:tcPr>
            <w:tcW w:w="1134" w:type="dxa"/>
            <w:noWrap/>
            <w:hideMark/>
          </w:tcPr>
          <w:p w14:paraId="32063714" w14:textId="0306740E" w:rsidR="00B23965" w:rsidRPr="003C55B0" w:rsidRDefault="00B23965" w:rsidP="00E136B9">
            <w:pPr>
              <w:spacing w:before="20" w:afterLines="20" w:after="48"/>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lang w:eastAsia="en-ZA"/>
              </w:rPr>
            </w:pPr>
            <w:r w:rsidRPr="003C55B0">
              <w:rPr>
                <w:rFonts w:cstheme="minorHAnsi"/>
              </w:rPr>
              <w:t>70 498</w:t>
            </w:r>
          </w:p>
        </w:tc>
      </w:tr>
      <w:tr w:rsidR="00180444" w:rsidRPr="003C55B0" w14:paraId="4DC98A63" w14:textId="77777777" w:rsidTr="008165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1" w:type="dxa"/>
            <w:noWrap/>
            <w:hideMark/>
          </w:tcPr>
          <w:p w14:paraId="2F936C58" w14:textId="77777777" w:rsidR="00B23965" w:rsidRPr="003C55B0" w:rsidRDefault="00B23965" w:rsidP="00E136B9">
            <w:pPr>
              <w:spacing w:beforeLines="0" w:before="20" w:afterLines="20" w:after="48"/>
              <w:ind w:firstLineChars="200" w:firstLine="400"/>
              <w:jc w:val="left"/>
              <w:rPr>
                <w:rFonts w:eastAsia="Times New Roman" w:cstheme="minorHAnsi"/>
                <w:color w:val="000000"/>
                <w:lang w:eastAsia="en-ZA"/>
              </w:rPr>
            </w:pPr>
            <w:r w:rsidRPr="003C55B0">
              <w:rPr>
                <w:rFonts w:eastAsia="Times New Roman" w:cstheme="minorHAnsi"/>
                <w:color w:val="000000"/>
                <w:lang w:eastAsia="en-ZA"/>
              </w:rPr>
              <w:t>Finance and business</w:t>
            </w:r>
          </w:p>
        </w:tc>
        <w:tc>
          <w:tcPr>
            <w:tcW w:w="850" w:type="dxa"/>
            <w:noWrap/>
            <w:hideMark/>
          </w:tcPr>
          <w:p w14:paraId="45B04642" w14:textId="77777777" w:rsidR="00B23965" w:rsidRPr="003C55B0" w:rsidRDefault="00B23965" w:rsidP="00E136B9">
            <w:pPr>
              <w:spacing w:before="20" w:afterLines="20" w:after="48"/>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lang w:eastAsia="en-ZA"/>
              </w:rPr>
            </w:pPr>
            <w:r w:rsidRPr="003C55B0">
              <w:rPr>
                <w:rFonts w:eastAsia="Times New Roman" w:cstheme="minorHAnsi"/>
                <w:color w:val="000000"/>
                <w:lang w:eastAsia="en-ZA"/>
              </w:rPr>
              <w:t>0.74</w:t>
            </w:r>
          </w:p>
        </w:tc>
        <w:tc>
          <w:tcPr>
            <w:tcW w:w="851" w:type="dxa"/>
            <w:noWrap/>
            <w:hideMark/>
          </w:tcPr>
          <w:p w14:paraId="16842719" w14:textId="77777777" w:rsidR="00B23965" w:rsidRPr="003C55B0" w:rsidRDefault="00B23965" w:rsidP="00E136B9">
            <w:pPr>
              <w:spacing w:before="20" w:afterLines="20" w:after="48"/>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lang w:eastAsia="en-ZA"/>
              </w:rPr>
            </w:pPr>
            <w:r w:rsidRPr="003C55B0">
              <w:rPr>
                <w:rFonts w:eastAsia="Times New Roman" w:cstheme="minorHAnsi"/>
                <w:color w:val="000000"/>
                <w:lang w:eastAsia="en-ZA"/>
              </w:rPr>
              <w:t>0.61</w:t>
            </w:r>
          </w:p>
        </w:tc>
        <w:tc>
          <w:tcPr>
            <w:tcW w:w="810" w:type="dxa"/>
            <w:noWrap/>
            <w:hideMark/>
          </w:tcPr>
          <w:p w14:paraId="66DCAABE" w14:textId="77777777" w:rsidR="00B23965" w:rsidRPr="003C55B0" w:rsidRDefault="00B23965" w:rsidP="00E136B9">
            <w:pPr>
              <w:spacing w:before="20" w:afterLines="20" w:after="48"/>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lang w:eastAsia="en-ZA"/>
              </w:rPr>
            </w:pPr>
            <w:r w:rsidRPr="003C55B0">
              <w:rPr>
                <w:rFonts w:eastAsia="Times New Roman" w:cstheme="minorHAnsi"/>
                <w:color w:val="000000"/>
                <w:lang w:eastAsia="en-ZA"/>
              </w:rPr>
              <w:t>0.37</w:t>
            </w:r>
          </w:p>
        </w:tc>
        <w:tc>
          <w:tcPr>
            <w:tcW w:w="1032" w:type="dxa"/>
            <w:noWrap/>
            <w:hideMark/>
          </w:tcPr>
          <w:p w14:paraId="3A8F31DC" w14:textId="5109BB4A" w:rsidR="00B23965" w:rsidRPr="003C55B0" w:rsidRDefault="00B23965" w:rsidP="00E136B9">
            <w:pPr>
              <w:spacing w:before="20" w:afterLines="20" w:after="48"/>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lang w:eastAsia="en-ZA"/>
              </w:rPr>
            </w:pPr>
            <w:r w:rsidRPr="003C55B0">
              <w:rPr>
                <w:rFonts w:cstheme="minorHAnsi"/>
              </w:rPr>
              <w:t>98 476</w:t>
            </w:r>
          </w:p>
        </w:tc>
        <w:tc>
          <w:tcPr>
            <w:tcW w:w="1134" w:type="dxa"/>
            <w:noWrap/>
            <w:hideMark/>
          </w:tcPr>
          <w:p w14:paraId="2278A1E9" w14:textId="55220E65" w:rsidR="00B23965" w:rsidRPr="003C55B0" w:rsidRDefault="00B23965" w:rsidP="00E136B9">
            <w:pPr>
              <w:spacing w:before="20" w:afterLines="20" w:after="48"/>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lang w:eastAsia="en-ZA"/>
              </w:rPr>
            </w:pPr>
            <w:r w:rsidRPr="003C55B0">
              <w:rPr>
                <w:rFonts w:cstheme="minorHAnsi"/>
              </w:rPr>
              <w:t>92 615</w:t>
            </w:r>
          </w:p>
        </w:tc>
        <w:tc>
          <w:tcPr>
            <w:tcW w:w="1134" w:type="dxa"/>
            <w:noWrap/>
            <w:hideMark/>
          </w:tcPr>
          <w:p w14:paraId="08E82B15" w14:textId="0C33A126" w:rsidR="00B23965" w:rsidRPr="003C55B0" w:rsidRDefault="00B23965" w:rsidP="00E136B9">
            <w:pPr>
              <w:spacing w:before="20" w:afterLines="20" w:after="48"/>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lang w:eastAsia="en-ZA"/>
              </w:rPr>
            </w:pPr>
            <w:r w:rsidRPr="003C55B0">
              <w:rPr>
                <w:rFonts w:cstheme="minorHAnsi"/>
              </w:rPr>
              <w:t>82 394</w:t>
            </w:r>
          </w:p>
        </w:tc>
      </w:tr>
      <w:tr w:rsidR="0081650A" w:rsidRPr="003C55B0" w14:paraId="16041C14" w14:textId="77777777" w:rsidTr="0081650A">
        <w:tc>
          <w:tcPr>
            <w:cnfStyle w:val="001000000000" w:firstRow="0" w:lastRow="0" w:firstColumn="1" w:lastColumn="0" w:oddVBand="0" w:evenVBand="0" w:oddHBand="0" w:evenHBand="0" w:firstRowFirstColumn="0" w:firstRowLastColumn="0" w:lastRowFirstColumn="0" w:lastRowLastColumn="0"/>
            <w:tcW w:w="3261" w:type="dxa"/>
            <w:noWrap/>
            <w:hideMark/>
          </w:tcPr>
          <w:p w14:paraId="47CED5ED" w14:textId="71BAB449" w:rsidR="00B23965" w:rsidRPr="003C55B0" w:rsidRDefault="00B23965" w:rsidP="00E136B9">
            <w:pPr>
              <w:spacing w:beforeLines="0" w:before="20" w:afterLines="20" w:after="48"/>
              <w:ind w:firstLineChars="200" w:firstLine="400"/>
              <w:jc w:val="left"/>
              <w:rPr>
                <w:rFonts w:eastAsia="Times New Roman" w:cstheme="minorHAnsi"/>
                <w:color w:val="000000"/>
                <w:lang w:eastAsia="en-ZA"/>
              </w:rPr>
            </w:pPr>
            <w:r w:rsidRPr="003C55B0">
              <w:rPr>
                <w:rFonts w:eastAsia="Times New Roman" w:cstheme="minorHAnsi"/>
                <w:color w:val="000000"/>
                <w:lang w:eastAsia="en-ZA"/>
              </w:rPr>
              <w:t>Transport</w:t>
            </w:r>
            <w:r w:rsidR="0081650A">
              <w:rPr>
                <w:rFonts w:eastAsia="Times New Roman" w:cstheme="minorHAnsi"/>
                <w:color w:val="000000"/>
                <w:lang w:eastAsia="en-ZA"/>
              </w:rPr>
              <w:t xml:space="preserve"> and </w:t>
            </w:r>
            <w:r w:rsidRPr="003C55B0">
              <w:rPr>
                <w:rFonts w:eastAsia="Times New Roman" w:cstheme="minorHAnsi"/>
                <w:color w:val="000000"/>
                <w:lang w:eastAsia="en-ZA"/>
              </w:rPr>
              <w:t>communication</w:t>
            </w:r>
          </w:p>
        </w:tc>
        <w:tc>
          <w:tcPr>
            <w:tcW w:w="850" w:type="dxa"/>
            <w:noWrap/>
            <w:hideMark/>
          </w:tcPr>
          <w:p w14:paraId="64F1B665" w14:textId="77777777" w:rsidR="00B23965" w:rsidRPr="003C55B0" w:rsidRDefault="00B23965" w:rsidP="00E136B9">
            <w:pPr>
              <w:spacing w:before="20" w:afterLines="20" w:after="48"/>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lang w:eastAsia="en-ZA"/>
              </w:rPr>
            </w:pPr>
            <w:r w:rsidRPr="003C55B0">
              <w:rPr>
                <w:rFonts w:eastAsia="Times New Roman" w:cstheme="minorHAnsi"/>
                <w:color w:val="000000"/>
                <w:lang w:eastAsia="en-ZA"/>
              </w:rPr>
              <w:t>1.54</w:t>
            </w:r>
          </w:p>
        </w:tc>
        <w:tc>
          <w:tcPr>
            <w:tcW w:w="851" w:type="dxa"/>
            <w:noWrap/>
            <w:hideMark/>
          </w:tcPr>
          <w:p w14:paraId="27EF1D9B" w14:textId="77777777" w:rsidR="00B23965" w:rsidRPr="003C55B0" w:rsidRDefault="00B23965" w:rsidP="00E136B9">
            <w:pPr>
              <w:spacing w:before="20" w:afterLines="20" w:after="48"/>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lang w:eastAsia="en-ZA"/>
              </w:rPr>
            </w:pPr>
            <w:r w:rsidRPr="003C55B0">
              <w:rPr>
                <w:rFonts w:eastAsia="Times New Roman" w:cstheme="minorHAnsi"/>
                <w:color w:val="000000"/>
                <w:lang w:eastAsia="en-ZA"/>
              </w:rPr>
              <w:t>1.40</w:t>
            </w:r>
          </w:p>
        </w:tc>
        <w:tc>
          <w:tcPr>
            <w:tcW w:w="810" w:type="dxa"/>
            <w:noWrap/>
            <w:hideMark/>
          </w:tcPr>
          <w:p w14:paraId="1B4F7FC7" w14:textId="77777777" w:rsidR="00B23965" w:rsidRPr="003C55B0" w:rsidRDefault="00B23965" w:rsidP="00E136B9">
            <w:pPr>
              <w:spacing w:before="20" w:afterLines="20" w:after="48"/>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lang w:eastAsia="en-ZA"/>
              </w:rPr>
            </w:pPr>
            <w:r w:rsidRPr="003C55B0">
              <w:rPr>
                <w:rFonts w:eastAsia="Times New Roman" w:cstheme="minorHAnsi"/>
                <w:color w:val="000000"/>
                <w:lang w:eastAsia="en-ZA"/>
              </w:rPr>
              <w:t>1.21</w:t>
            </w:r>
          </w:p>
        </w:tc>
        <w:tc>
          <w:tcPr>
            <w:tcW w:w="1032" w:type="dxa"/>
            <w:noWrap/>
            <w:hideMark/>
          </w:tcPr>
          <w:p w14:paraId="53E5BF2C" w14:textId="7BEE840D" w:rsidR="00B23965" w:rsidRPr="003C55B0" w:rsidRDefault="00B23965" w:rsidP="00E136B9">
            <w:pPr>
              <w:spacing w:before="20" w:afterLines="20" w:after="48"/>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lang w:eastAsia="en-ZA"/>
              </w:rPr>
            </w:pPr>
            <w:r w:rsidRPr="003C55B0">
              <w:rPr>
                <w:rFonts w:cstheme="minorHAnsi"/>
              </w:rPr>
              <w:t>30 968</w:t>
            </w:r>
          </w:p>
        </w:tc>
        <w:tc>
          <w:tcPr>
            <w:tcW w:w="1134" w:type="dxa"/>
            <w:noWrap/>
            <w:hideMark/>
          </w:tcPr>
          <w:p w14:paraId="2FE3D892" w14:textId="082470C8" w:rsidR="00B23965" w:rsidRPr="003C55B0" w:rsidRDefault="00B23965" w:rsidP="00E136B9">
            <w:pPr>
              <w:spacing w:before="20" w:afterLines="20" w:after="48"/>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lang w:eastAsia="en-ZA"/>
              </w:rPr>
            </w:pPr>
            <w:r w:rsidRPr="003C55B0">
              <w:rPr>
                <w:rFonts w:cstheme="minorHAnsi"/>
              </w:rPr>
              <w:t>28 818</w:t>
            </w:r>
          </w:p>
        </w:tc>
        <w:tc>
          <w:tcPr>
            <w:tcW w:w="1134" w:type="dxa"/>
            <w:noWrap/>
            <w:hideMark/>
          </w:tcPr>
          <w:p w14:paraId="52F82DDB" w14:textId="29E4FBD8" w:rsidR="00B23965" w:rsidRPr="003C55B0" w:rsidRDefault="00B23965" w:rsidP="00E136B9">
            <w:pPr>
              <w:spacing w:before="20" w:afterLines="20" w:after="48"/>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lang w:eastAsia="en-ZA"/>
              </w:rPr>
            </w:pPr>
            <w:r w:rsidRPr="003C55B0">
              <w:rPr>
                <w:rFonts w:cstheme="minorHAnsi"/>
              </w:rPr>
              <w:t>26 529</w:t>
            </w:r>
          </w:p>
        </w:tc>
      </w:tr>
      <w:tr w:rsidR="00180444" w:rsidRPr="003C55B0" w14:paraId="1E6C208F" w14:textId="77777777" w:rsidTr="008165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1" w:type="dxa"/>
            <w:noWrap/>
            <w:hideMark/>
          </w:tcPr>
          <w:p w14:paraId="36B5E5DC" w14:textId="77777777" w:rsidR="00B23965" w:rsidRPr="003C55B0" w:rsidRDefault="00B23965" w:rsidP="00E136B9">
            <w:pPr>
              <w:spacing w:beforeLines="0" w:before="20" w:afterLines="20" w:after="48"/>
              <w:ind w:firstLineChars="200" w:firstLine="400"/>
              <w:jc w:val="left"/>
              <w:rPr>
                <w:rFonts w:eastAsia="Times New Roman" w:cstheme="minorHAnsi"/>
                <w:color w:val="000000"/>
                <w:lang w:eastAsia="en-ZA"/>
              </w:rPr>
            </w:pPr>
            <w:r w:rsidRPr="003C55B0">
              <w:rPr>
                <w:rFonts w:eastAsia="Times New Roman" w:cstheme="minorHAnsi"/>
                <w:color w:val="000000"/>
                <w:lang w:eastAsia="en-ZA"/>
              </w:rPr>
              <w:t>Government</w:t>
            </w:r>
          </w:p>
        </w:tc>
        <w:tc>
          <w:tcPr>
            <w:tcW w:w="850" w:type="dxa"/>
            <w:noWrap/>
            <w:hideMark/>
          </w:tcPr>
          <w:p w14:paraId="7B400468" w14:textId="77777777" w:rsidR="00B23965" w:rsidRPr="003C55B0" w:rsidRDefault="00B23965" w:rsidP="00E136B9">
            <w:pPr>
              <w:spacing w:before="20" w:afterLines="20" w:after="48"/>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lang w:eastAsia="en-ZA"/>
              </w:rPr>
            </w:pPr>
            <w:r w:rsidRPr="003C55B0">
              <w:rPr>
                <w:rFonts w:eastAsia="Times New Roman" w:cstheme="minorHAnsi"/>
                <w:color w:val="000000"/>
                <w:lang w:eastAsia="en-ZA"/>
              </w:rPr>
              <w:t>0.75</w:t>
            </w:r>
          </w:p>
        </w:tc>
        <w:tc>
          <w:tcPr>
            <w:tcW w:w="851" w:type="dxa"/>
            <w:noWrap/>
            <w:hideMark/>
          </w:tcPr>
          <w:p w14:paraId="61F601AA" w14:textId="77777777" w:rsidR="00B23965" w:rsidRPr="003C55B0" w:rsidRDefault="00B23965" w:rsidP="00E136B9">
            <w:pPr>
              <w:spacing w:before="20" w:afterLines="20" w:after="48"/>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lang w:eastAsia="en-ZA"/>
              </w:rPr>
            </w:pPr>
            <w:r w:rsidRPr="003C55B0">
              <w:rPr>
                <w:rFonts w:eastAsia="Times New Roman" w:cstheme="minorHAnsi"/>
                <w:color w:val="000000"/>
                <w:lang w:eastAsia="en-ZA"/>
              </w:rPr>
              <w:t>0.70</w:t>
            </w:r>
          </w:p>
        </w:tc>
        <w:tc>
          <w:tcPr>
            <w:tcW w:w="810" w:type="dxa"/>
            <w:noWrap/>
            <w:hideMark/>
          </w:tcPr>
          <w:p w14:paraId="35AAC893" w14:textId="77777777" w:rsidR="00B23965" w:rsidRPr="003C55B0" w:rsidRDefault="00B23965" w:rsidP="00E136B9">
            <w:pPr>
              <w:spacing w:before="20" w:afterLines="20" w:after="48"/>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lang w:eastAsia="en-ZA"/>
              </w:rPr>
            </w:pPr>
            <w:r w:rsidRPr="003C55B0">
              <w:rPr>
                <w:rFonts w:eastAsia="Times New Roman" w:cstheme="minorHAnsi"/>
                <w:color w:val="000000"/>
                <w:lang w:eastAsia="en-ZA"/>
              </w:rPr>
              <w:t>0.62</w:t>
            </w:r>
          </w:p>
        </w:tc>
        <w:tc>
          <w:tcPr>
            <w:tcW w:w="1032" w:type="dxa"/>
            <w:noWrap/>
            <w:hideMark/>
          </w:tcPr>
          <w:p w14:paraId="73DD85DE" w14:textId="66EB5F02" w:rsidR="00B23965" w:rsidRPr="003C55B0" w:rsidRDefault="00B23965" w:rsidP="00E136B9">
            <w:pPr>
              <w:spacing w:before="20" w:afterLines="20" w:after="48"/>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lang w:eastAsia="en-ZA"/>
              </w:rPr>
            </w:pPr>
            <w:r w:rsidRPr="003C55B0">
              <w:rPr>
                <w:rFonts w:cstheme="minorHAnsi"/>
              </w:rPr>
              <w:t>23 420</w:t>
            </w:r>
          </w:p>
        </w:tc>
        <w:tc>
          <w:tcPr>
            <w:tcW w:w="1134" w:type="dxa"/>
            <w:noWrap/>
            <w:hideMark/>
          </w:tcPr>
          <w:p w14:paraId="14658705" w14:textId="5B43C5E5" w:rsidR="00B23965" w:rsidRPr="003C55B0" w:rsidRDefault="00B23965" w:rsidP="00E136B9">
            <w:pPr>
              <w:spacing w:before="20" w:afterLines="20" w:after="48"/>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lang w:eastAsia="en-ZA"/>
              </w:rPr>
            </w:pPr>
            <w:r w:rsidRPr="003C55B0">
              <w:rPr>
                <w:rFonts w:cstheme="minorHAnsi"/>
              </w:rPr>
              <w:t>22 196</w:t>
            </w:r>
          </w:p>
        </w:tc>
        <w:tc>
          <w:tcPr>
            <w:tcW w:w="1134" w:type="dxa"/>
            <w:noWrap/>
            <w:hideMark/>
          </w:tcPr>
          <w:p w14:paraId="15F9778D" w14:textId="26A3D74E" w:rsidR="00B23965" w:rsidRPr="003C55B0" w:rsidRDefault="00B23965" w:rsidP="00E136B9">
            <w:pPr>
              <w:spacing w:before="20" w:afterLines="20" w:after="48"/>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lang w:eastAsia="en-ZA"/>
              </w:rPr>
            </w:pPr>
            <w:r w:rsidRPr="003C55B0">
              <w:rPr>
                <w:rFonts w:cstheme="minorHAnsi"/>
              </w:rPr>
              <w:t>20 510</w:t>
            </w:r>
          </w:p>
        </w:tc>
      </w:tr>
      <w:tr w:rsidR="0081650A" w:rsidRPr="003C55B0" w14:paraId="4920A482" w14:textId="77777777" w:rsidTr="0081650A">
        <w:tc>
          <w:tcPr>
            <w:cnfStyle w:val="001000000000" w:firstRow="0" w:lastRow="0" w:firstColumn="1" w:lastColumn="0" w:oddVBand="0" w:evenVBand="0" w:oddHBand="0" w:evenHBand="0" w:firstRowFirstColumn="0" w:firstRowLastColumn="0" w:lastRowFirstColumn="0" w:lastRowLastColumn="0"/>
            <w:tcW w:w="3261" w:type="dxa"/>
            <w:noWrap/>
            <w:hideMark/>
          </w:tcPr>
          <w:p w14:paraId="3529DA9A" w14:textId="77777777" w:rsidR="00B23965" w:rsidRPr="003C55B0" w:rsidRDefault="00B23965" w:rsidP="00E136B9">
            <w:pPr>
              <w:spacing w:beforeLines="0" w:before="20" w:afterLines="20" w:after="48"/>
              <w:ind w:firstLineChars="200" w:firstLine="400"/>
              <w:jc w:val="left"/>
              <w:rPr>
                <w:rFonts w:eastAsia="Times New Roman" w:cstheme="minorHAnsi"/>
                <w:color w:val="000000"/>
                <w:lang w:eastAsia="en-ZA"/>
              </w:rPr>
            </w:pPr>
            <w:r w:rsidRPr="003C55B0">
              <w:rPr>
                <w:rFonts w:eastAsia="Times New Roman" w:cstheme="minorHAnsi"/>
                <w:color w:val="000000"/>
                <w:lang w:eastAsia="en-ZA"/>
              </w:rPr>
              <w:t>Other</w:t>
            </w:r>
          </w:p>
        </w:tc>
        <w:tc>
          <w:tcPr>
            <w:tcW w:w="850" w:type="dxa"/>
            <w:noWrap/>
            <w:hideMark/>
          </w:tcPr>
          <w:p w14:paraId="21B418D1" w14:textId="77777777" w:rsidR="00B23965" w:rsidRPr="003C55B0" w:rsidRDefault="00B23965" w:rsidP="00E136B9">
            <w:pPr>
              <w:spacing w:before="20" w:afterLines="20" w:after="48"/>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lang w:eastAsia="en-ZA"/>
              </w:rPr>
            </w:pPr>
            <w:r w:rsidRPr="003C55B0">
              <w:rPr>
                <w:rFonts w:eastAsia="Times New Roman" w:cstheme="minorHAnsi"/>
                <w:color w:val="000000"/>
                <w:lang w:eastAsia="en-ZA"/>
              </w:rPr>
              <w:t>0.83</w:t>
            </w:r>
          </w:p>
        </w:tc>
        <w:tc>
          <w:tcPr>
            <w:tcW w:w="851" w:type="dxa"/>
            <w:noWrap/>
            <w:hideMark/>
          </w:tcPr>
          <w:p w14:paraId="1528DFB9" w14:textId="77777777" w:rsidR="00B23965" w:rsidRPr="003C55B0" w:rsidRDefault="00B23965" w:rsidP="00E136B9">
            <w:pPr>
              <w:spacing w:before="20" w:afterLines="20" w:after="48"/>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lang w:eastAsia="en-ZA"/>
              </w:rPr>
            </w:pPr>
            <w:r w:rsidRPr="003C55B0">
              <w:rPr>
                <w:rFonts w:eastAsia="Times New Roman" w:cstheme="minorHAnsi"/>
                <w:color w:val="000000"/>
                <w:lang w:eastAsia="en-ZA"/>
              </w:rPr>
              <w:t>0.69</w:t>
            </w:r>
          </w:p>
        </w:tc>
        <w:tc>
          <w:tcPr>
            <w:tcW w:w="810" w:type="dxa"/>
            <w:noWrap/>
            <w:hideMark/>
          </w:tcPr>
          <w:p w14:paraId="5C1B6EDB" w14:textId="77777777" w:rsidR="00B23965" w:rsidRPr="003C55B0" w:rsidRDefault="00B23965" w:rsidP="00E136B9">
            <w:pPr>
              <w:spacing w:before="20" w:afterLines="20" w:after="48"/>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lang w:eastAsia="en-ZA"/>
              </w:rPr>
            </w:pPr>
            <w:r w:rsidRPr="003C55B0">
              <w:rPr>
                <w:rFonts w:eastAsia="Times New Roman" w:cstheme="minorHAnsi"/>
                <w:color w:val="000000"/>
                <w:lang w:eastAsia="en-ZA"/>
              </w:rPr>
              <w:t>0.44</w:t>
            </w:r>
          </w:p>
        </w:tc>
        <w:tc>
          <w:tcPr>
            <w:tcW w:w="1032" w:type="dxa"/>
            <w:noWrap/>
            <w:hideMark/>
          </w:tcPr>
          <w:p w14:paraId="2378BFAC" w14:textId="4A65DD36" w:rsidR="00B23965" w:rsidRPr="003C55B0" w:rsidRDefault="00B23965" w:rsidP="00E136B9">
            <w:pPr>
              <w:spacing w:before="20" w:afterLines="20" w:after="48"/>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lang w:eastAsia="en-ZA"/>
              </w:rPr>
            </w:pPr>
            <w:r w:rsidRPr="003C55B0">
              <w:rPr>
                <w:rFonts w:cstheme="minorHAnsi"/>
              </w:rPr>
              <w:t>168 751</w:t>
            </w:r>
          </w:p>
        </w:tc>
        <w:tc>
          <w:tcPr>
            <w:tcW w:w="1134" w:type="dxa"/>
            <w:noWrap/>
            <w:hideMark/>
          </w:tcPr>
          <w:p w14:paraId="6A5DE37A" w14:textId="10F95147" w:rsidR="00B23965" w:rsidRPr="003C55B0" w:rsidRDefault="00B23965" w:rsidP="00E136B9">
            <w:pPr>
              <w:spacing w:before="20" w:afterLines="20" w:after="48"/>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lang w:eastAsia="en-ZA"/>
              </w:rPr>
            </w:pPr>
            <w:r w:rsidRPr="003C55B0">
              <w:rPr>
                <w:rFonts w:cstheme="minorHAnsi"/>
              </w:rPr>
              <w:t>154 993</w:t>
            </w:r>
          </w:p>
        </w:tc>
        <w:tc>
          <w:tcPr>
            <w:tcW w:w="1134" w:type="dxa"/>
            <w:noWrap/>
            <w:hideMark/>
          </w:tcPr>
          <w:p w14:paraId="2EECAFCA" w14:textId="571FEB1D" w:rsidR="00B23965" w:rsidRPr="00D6776E" w:rsidRDefault="00B23965" w:rsidP="00E136B9">
            <w:pPr>
              <w:pStyle w:val="ListParagraph"/>
              <w:numPr>
                <w:ilvl w:val="0"/>
                <w:numId w:val="28"/>
              </w:numPr>
              <w:spacing w:before="20" w:afterLines="20" w:after="48"/>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lang w:eastAsia="en-ZA"/>
              </w:rPr>
            </w:pPr>
            <w:r w:rsidRPr="00D6776E">
              <w:rPr>
                <w:rFonts w:cstheme="minorHAnsi"/>
              </w:rPr>
              <w:t>6</w:t>
            </w:r>
          </w:p>
        </w:tc>
      </w:tr>
    </w:tbl>
    <w:p w14:paraId="3CD7F552" w14:textId="77777777" w:rsidR="00D6776E" w:rsidRPr="0035219A" w:rsidRDefault="00D6776E" w:rsidP="00D6776E">
      <w:pPr>
        <w:pStyle w:val="Caption"/>
        <w:spacing w:before="0" w:after="0"/>
        <w:jc w:val="both"/>
        <w:rPr>
          <w:b w:val="0"/>
          <w:bCs/>
          <w:szCs w:val="16"/>
        </w:rPr>
      </w:pPr>
      <w:r w:rsidRPr="0035219A">
        <w:rPr>
          <w:b w:val="0"/>
          <w:bCs/>
          <w:szCs w:val="16"/>
        </w:rPr>
        <w:t>Source: SATIMGE</w:t>
      </w:r>
    </w:p>
    <w:p w14:paraId="7B95175A" w14:textId="395CEED1" w:rsidR="00F0156B" w:rsidRPr="00D6776E" w:rsidRDefault="005A0C74" w:rsidP="00D6776E">
      <w:pPr>
        <w:pStyle w:val="Heading1"/>
        <w:numPr>
          <w:ilvl w:val="0"/>
          <w:numId w:val="2"/>
        </w:numPr>
        <w:spacing w:line="276" w:lineRule="auto"/>
      </w:pPr>
      <w:r w:rsidRPr="00D6776E">
        <w:t>discussioN</w:t>
      </w:r>
      <w:r w:rsidR="008328A2" w:rsidRPr="00D6776E">
        <w:t xml:space="preserve"> </w:t>
      </w:r>
      <w:r w:rsidR="00335D6C" w:rsidRPr="00D6776E">
        <w:t>and further work</w:t>
      </w:r>
    </w:p>
    <w:p w14:paraId="6E2AC39A" w14:textId="5110C850" w:rsidR="00E4507D" w:rsidRDefault="009E3163" w:rsidP="00A51039">
      <w:r w:rsidRPr="00036161">
        <w:t xml:space="preserve">Merven et al. (2020) </w:t>
      </w:r>
      <w:r>
        <w:t>presented an approach to modelling long term household consumption in the eSAGE model using a Coub-Douglas functional form, with some advantages compared to the</w:t>
      </w:r>
      <w:r w:rsidR="00EB55A0">
        <w:t xml:space="preserve"> linear expenditure syst</w:t>
      </w:r>
      <w:r>
        <w:t>em, but the approach is not able to capture technical change that could occur in the private transport sector if EVs were to become cost competitive. This paper presented a possible approach to passing information about technical change taking place in the private transport sector</w:t>
      </w:r>
      <w:r w:rsidR="00904948">
        <w:t>,</w:t>
      </w:r>
      <w:r>
        <w:t xml:space="preserve"> as observed in the energy model</w:t>
      </w:r>
      <w:r w:rsidR="00904948">
        <w:t>,</w:t>
      </w:r>
      <w:r>
        <w:t xml:space="preserve"> to the CGE model in SATIMGE. The approach proposed also addresses linkages going from the CGE back to SATIM in terms of the specification of the vehicle-km demand projection (required by SATIM), which takes into account household income changes, private transportation </w:t>
      </w:r>
      <w:r w:rsidR="00D55451">
        <w:t>prices</w:t>
      </w:r>
      <w:r>
        <w:t xml:space="preserve">, budget constraints and other behavioural aspects such as </w:t>
      </w:r>
      <w:r w:rsidR="00904948">
        <w:t>r</w:t>
      </w:r>
      <w:r>
        <w:t xml:space="preserve">ebound. </w:t>
      </w:r>
      <w:r w:rsidR="00C074B3">
        <w:t>The</w:t>
      </w:r>
      <w:r w:rsidR="00C35A95">
        <w:t xml:space="preserve"> finding from this model development is that it improves the comparability between the eSAGE and SATIM in terms of how energy demand evolves over time.</w:t>
      </w:r>
      <w:r w:rsidR="00E4507D">
        <w:t xml:space="preserve"> The change in methodology suggests that</w:t>
      </w:r>
      <w:r w:rsidR="00904948">
        <w:t>,</w:t>
      </w:r>
      <w:r w:rsidR="00E4507D">
        <w:t xml:space="preserve"> particularly </w:t>
      </w:r>
      <w:r w:rsidR="00904948">
        <w:t>with regard to</w:t>
      </w:r>
      <w:r w:rsidR="00E4507D">
        <w:t xml:space="preserve"> households</w:t>
      </w:r>
      <w:r w:rsidR="00904948">
        <w:t>,</w:t>
      </w:r>
      <w:r w:rsidR="00E4507D">
        <w:t xml:space="preserve"> shifting towards an end-use approach for energy commodities </w:t>
      </w:r>
      <w:r w:rsidR="00904948">
        <w:t xml:space="preserve">might </w:t>
      </w:r>
      <w:r w:rsidR="00E4507D">
        <w:t xml:space="preserve">be </w:t>
      </w:r>
      <w:r w:rsidR="00C074B3">
        <w:t>useful and</w:t>
      </w:r>
      <w:r>
        <w:t xml:space="preserve"> could be applied to other end-uses where energy efficiency and fuel switching would occur</w:t>
      </w:r>
      <w:r w:rsidR="00D55451">
        <w:t>,</w:t>
      </w:r>
      <w:r>
        <w:t xml:space="preserve"> such as water</w:t>
      </w:r>
      <w:r w:rsidR="00904948">
        <w:t>-</w:t>
      </w:r>
      <w:r>
        <w:t xml:space="preserve"> and space</w:t>
      </w:r>
      <w:r w:rsidR="00904948">
        <w:t>-</w:t>
      </w:r>
      <w:r>
        <w:t>heating.</w:t>
      </w:r>
    </w:p>
    <w:p w14:paraId="5685864E" w14:textId="66F8FCA1" w:rsidR="00136D7A" w:rsidRDefault="00A51039" w:rsidP="00A51039">
      <w:r>
        <w:t xml:space="preserve">A shortcoming of the private transport commodity </w:t>
      </w:r>
      <w:r w:rsidR="00E4507D">
        <w:t xml:space="preserve">included in the eSAGE model </w:t>
      </w:r>
      <w:r>
        <w:t xml:space="preserve">is that it accounts </w:t>
      </w:r>
      <w:r w:rsidR="00904948">
        <w:t xml:space="preserve">only </w:t>
      </w:r>
      <w:r>
        <w:t xml:space="preserve">for fuel use associated with </w:t>
      </w:r>
      <w:r w:rsidR="00E4507D">
        <w:t>private transport</w:t>
      </w:r>
      <w:r>
        <w:t>. Private transport</w:t>
      </w:r>
      <w:r w:rsidR="00904948">
        <w:t>,</w:t>
      </w:r>
      <w:r>
        <w:t xml:space="preserve"> however</w:t>
      </w:r>
      <w:r w:rsidR="00D55451">
        <w:t>,</w:t>
      </w:r>
      <w:r>
        <w:t xml:space="preserve"> also includes costs associated with the maintenance and purchasing of vehicles. This is not included in the new activity and commodity and is still modelled as before</w:t>
      </w:r>
      <w:r w:rsidR="00904948">
        <w:t>,</w:t>
      </w:r>
      <w:r>
        <w:t xml:space="preserve"> as constant shares of household expenditure. Future work would be to a) add the full private transport vector; b) creat</w:t>
      </w:r>
      <w:r w:rsidR="00904948">
        <w:t>e</w:t>
      </w:r>
      <w:r>
        <w:t xml:space="preserve"> nested functions such that transport demand is a single commodity consumed by households but that can be provided by the private or public sector.</w:t>
      </w:r>
    </w:p>
    <w:p w14:paraId="3D47C7C7" w14:textId="79009024" w:rsidR="00E4507D" w:rsidRDefault="00EC5EE6" w:rsidP="00A51039">
      <w:r>
        <w:t xml:space="preserve">The paper also considered the impact of EV adoption in South Africa. The results show that shifting from </w:t>
      </w:r>
      <w:r w:rsidR="00904948">
        <w:t xml:space="preserve">vehicles using </w:t>
      </w:r>
      <w:r>
        <w:t xml:space="preserve">fossil fuel technologies to </w:t>
      </w:r>
      <w:r w:rsidR="009E3163">
        <w:t>EVs</w:t>
      </w:r>
      <w:r>
        <w:t xml:space="preserve"> </w:t>
      </w:r>
      <w:r w:rsidR="00904948">
        <w:t>would be</w:t>
      </w:r>
      <w:r>
        <w:t xml:space="preserve"> beneficial for emissions reductions without being harmful to economic growth over the long-term. The impact on the economy is</w:t>
      </w:r>
      <w:r w:rsidR="00904948">
        <w:t>,</w:t>
      </w:r>
      <w:r>
        <w:t xml:space="preserve"> however</w:t>
      </w:r>
      <w:r w:rsidR="00904948">
        <w:t>v</w:t>
      </w:r>
      <w:r>
        <w:t xml:space="preserve"> dependent on the behavioural response to fuel economy improvements. Further research is required to better understand this in the case of South Africa.</w:t>
      </w:r>
    </w:p>
    <w:p w14:paraId="071E4E01" w14:textId="740320BB" w:rsidR="00F0156B" w:rsidRDefault="14C45E8B" w:rsidP="00C16CBE">
      <w:pPr>
        <w:pStyle w:val="Heading1"/>
        <w:numPr>
          <w:ilvl w:val="0"/>
          <w:numId w:val="0"/>
        </w:numPr>
        <w:spacing w:line="276" w:lineRule="auto"/>
      </w:pPr>
      <w:r>
        <w:t>REferences</w:t>
      </w:r>
    </w:p>
    <w:p w14:paraId="0C316D43" w14:textId="0C60B872" w:rsidR="001D56CF" w:rsidRDefault="001D56CF" w:rsidP="00FA0917">
      <w:pPr>
        <w:spacing w:before="120"/>
        <w:ind w:left="284" w:hanging="284"/>
      </w:pPr>
      <w:bookmarkStart w:id="16" w:name="_Hlk36461623"/>
      <w:r>
        <w:t xml:space="preserve">Ahjum F., Merven B., Stone A. and Caetano T. 2018. Road transport vehicles in South Africa towards 2050: Factors influencing technology choice and implications for fuel supply. </w:t>
      </w:r>
      <w:r w:rsidRPr="00E136B9">
        <w:rPr>
          <w:i/>
        </w:rPr>
        <w:t>Journal of Energy in Southern Africa</w:t>
      </w:r>
      <w:r w:rsidR="00904948">
        <w:rPr>
          <w:i/>
        </w:rPr>
        <w:t xml:space="preserve"> 29(3): 33-50</w:t>
      </w:r>
      <w:r>
        <w:t>. https://doi.org/10.17159/2413-3051/2018/v29i3a5596</w:t>
      </w:r>
      <w:r w:rsidR="00384CC3">
        <w:t>.</w:t>
      </w:r>
    </w:p>
    <w:p w14:paraId="77D4B8ED" w14:textId="25A6A53F" w:rsidR="00477CBE" w:rsidRDefault="00477CBE" w:rsidP="00FA0917">
      <w:pPr>
        <w:spacing w:before="120"/>
        <w:ind w:left="284" w:hanging="284"/>
      </w:pPr>
      <w:r w:rsidRPr="00165899">
        <w:t>Ahjum F., Hartley F. and Merven B. 2019. An assessment of the GHG mitigation potential of land transport pathways presented in the Green Transport Strategy for South Africa and their economy-wide impact. University of Cape Town</w:t>
      </w:r>
      <w:r>
        <w:t>, Cape Town,</w:t>
      </w:r>
      <w:r w:rsidRPr="00165899">
        <w:t xml:space="preserve"> South Africa</w:t>
      </w:r>
      <w:r>
        <w:t>.</w:t>
      </w:r>
    </w:p>
    <w:p w14:paraId="561037A9" w14:textId="7E12B2EB" w:rsidR="00A51039" w:rsidRDefault="00A51039" w:rsidP="00FA0917">
      <w:pPr>
        <w:spacing w:before="120"/>
        <w:ind w:left="284" w:hanging="284"/>
      </w:pPr>
      <w:r>
        <w:t xml:space="preserve">Arndt, C., Davies, R., Gabriel, S., Makrelov, K., Merven, B., Hartley, F. and Thurlow, J. 2016. A sequential approach to integrated energy modelling in South Africa. </w:t>
      </w:r>
      <w:r w:rsidRPr="00E136B9">
        <w:rPr>
          <w:i/>
        </w:rPr>
        <w:t xml:space="preserve"> Applied Energy </w:t>
      </w:r>
      <w:r>
        <w:t>161: 591-599.</w:t>
      </w:r>
    </w:p>
    <w:p w14:paraId="5AE56B7D" w14:textId="736D65AC" w:rsidR="004712F5" w:rsidRDefault="004712F5" w:rsidP="00FA0917">
      <w:pPr>
        <w:spacing w:before="120"/>
        <w:ind w:left="284" w:hanging="284"/>
      </w:pPr>
      <w:r>
        <w:t>Bataille, C., Jaccard, M., Nyboer, J., Rivers, N. 2006. Toward</w:t>
      </w:r>
      <w:r w:rsidR="00904948">
        <w:t>s general equilibrium in a technology-rich model with empirically estimated behavioral par</w:t>
      </w:r>
      <w:r>
        <w:t xml:space="preserve">ameters. </w:t>
      </w:r>
      <w:r w:rsidRPr="00E136B9">
        <w:rPr>
          <w:i/>
        </w:rPr>
        <w:t xml:space="preserve">The Energy Journal </w:t>
      </w:r>
      <w:r w:rsidR="004B0BF3">
        <w:rPr>
          <w:i/>
        </w:rPr>
        <w:t xml:space="preserve">27: </w:t>
      </w:r>
      <w:r w:rsidRPr="00E136B9">
        <w:rPr>
          <w:i/>
        </w:rPr>
        <w:t>Special Issue: Hybrid</w:t>
      </w:r>
      <w:r w:rsidR="004B0BF3" w:rsidRPr="00904948">
        <w:rPr>
          <w:i/>
        </w:rPr>
        <w:t xml:space="preserve"> modeling of energy-environment poli</w:t>
      </w:r>
      <w:r w:rsidRPr="00E136B9">
        <w:rPr>
          <w:i/>
        </w:rPr>
        <w:t>cies: Reconcilin</w:t>
      </w:r>
      <w:r w:rsidR="004B0BF3" w:rsidRPr="00904948">
        <w:rPr>
          <w:i/>
        </w:rPr>
        <w:t>g bottom-up and top-do</w:t>
      </w:r>
      <w:r w:rsidRPr="00E136B9">
        <w:rPr>
          <w:i/>
        </w:rPr>
        <w:t>wn</w:t>
      </w:r>
      <w:r w:rsidR="004B0BF3">
        <w:t xml:space="preserve">: </w:t>
      </w:r>
      <w:r>
        <w:t>93-112.</w:t>
      </w:r>
    </w:p>
    <w:p w14:paraId="4F2F219B" w14:textId="5CFB2E3B" w:rsidR="00C825A0" w:rsidRDefault="00C825A0" w:rsidP="00FA0917">
      <w:pPr>
        <w:spacing w:before="120"/>
        <w:ind w:left="284" w:hanging="284"/>
      </w:pPr>
      <w:r w:rsidRPr="00C825A0">
        <w:t>BNEF [Bloomberg NEF]. 2019. Electric</w:t>
      </w:r>
      <w:r w:rsidR="004B0BF3" w:rsidRPr="00C825A0">
        <w:t xml:space="preserve"> vehicle outlo</w:t>
      </w:r>
      <w:r w:rsidRPr="00C825A0">
        <w:t xml:space="preserve">ok 2019. Online: </w:t>
      </w:r>
      <w:hyperlink r:id="rId31" w:history="1">
        <w:r w:rsidRPr="00202C2E">
          <w:rPr>
            <w:rStyle w:val="Hyperlink"/>
          </w:rPr>
          <w:t>https://about.bnef.com/electric-vehicle-outlook/</w:t>
        </w:r>
      </w:hyperlink>
      <w:r>
        <w:t xml:space="preserve"> Accessed [30/03/2020]</w:t>
      </w:r>
      <w:r w:rsidR="00384CC3">
        <w:t>.</w:t>
      </w:r>
    </w:p>
    <w:p w14:paraId="53F94F41" w14:textId="46E26481" w:rsidR="004712F5" w:rsidRPr="004712F5" w:rsidRDefault="004712F5" w:rsidP="00FA0917">
      <w:pPr>
        <w:spacing w:before="120"/>
        <w:ind w:left="284" w:hanging="284"/>
        <w:rPr>
          <w:b/>
          <w:bCs/>
        </w:rPr>
      </w:pPr>
      <w:r>
        <w:t xml:space="preserve">Boshoff, W. H. 2012. Gasoline, diesel fuel and jet fuel demand in South Africa. </w:t>
      </w:r>
      <w:r w:rsidRPr="00E136B9">
        <w:rPr>
          <w:i/>
        </w:rPr>
        <w:t>Studies in Economics and Econometrics</w:t>
      </w:r>
      <w:r>
        <w:t xml:space="preserve"> 36(1): 43 – 78.</w:t>
      </w:r>
    </w:p>
    <w:p w14:paraId="2E59729A" w14:textId="2E21482C" w:rsidR="004712F5" w:rsidRDefault="004712F5" w:rsidP="00FA0917">
      <w:pPr>
        <w:spacing w:before="120"/>
        <w:ind w:left="284" w:hanging="284"/>
      </w:pPr>
      <w:r>
        <w:t xml:space="preserve">Crassous, R., Hourcade, J. C., and Sassi, O. 2006. Endogenous structural change and climate targets modeling experiments with Imaclim-R. </w:t>
      </w:r>
      <w:r w:rsidRPr="00E136B9">
        <w:rPr>
          <w:i/>
        </w:rPr>
        <w:t>The Energy Journal</w:t>
      </w:r>
      <w:r w:rsidR="004B0BF3">
        <w:rPr>
          <w:i/>
        </w:rPr>
        <w:t xml:space="preserve">: </w:t>
      </w:r>
      <w:r>
        <w:t xml:space="preserve"> </w:t>
      </w:r>
      <w:r w:rsidRPr="00E136B9">
        <w:rPr>
          <w:i/>
        </w:rPr>
        <w:t xml:space="preserve">Endogenous </w:t>
      </w:r>
      <w:r w:rsidR="004B0BF3" w:rsidRPr="00E136B9">
        <w:rPr>
          <w:i/>
        </w:rPr>
        <w:t>technological change</w:t>
      </w:r>
      <w:r w:rsidRPr="00E136B9">
        <w:rPr>
          <w:i/>
        </w:rPr>
        <w:t>. Special</w:t>
      </w:r>
      <w:r w:rsidR="004B0BF3" w:rsidRPr="00E136B9">
        <w:rPr>
          <w:i/>
        </w:rPr>
        <w:t xml:space="preserve"> i</w:t>
      </w:r>
      <w:r w:rsidRPr="00E136B9">
        <w:rPr>
          <w:i/>
        </w:rPr>
        <w:t>ssue 1</w:t>
      </w:r>
      <w:r w:rsidRPr="004712F5">
        <w:t>:259-276</w:t>
      </w:r>
      <w:r>
        <w:t>.</w:t>
      </w:r>
    </w:p>
    <w:p w14:paraId="388E4FC5" w14:textId="5374C60B" w:rsidR="004712F5" w:rsidRDefault="004712F5" w:rsidP="00FA0917">
      <w:pPr>
        <w:spacing w:before="120"/>
        <w:ind w:left="284" w:hanging="284"/>
      </w:pPr>
      <w:r>
        <w:t xml:space="preserve">Creutzig, F. 2015.  Evolving Narratives of Low-Carbon Futures in Transportation. </w:t>
      </w:r>
      <w:r w:rsidRPr="00E136B9">
        <w:rPr>
          <w:i/>
        </w:rPr>
        <w:t>Transport Review</w:t>
      </w:r>
      <w:r>
        <w:t xml:space="preserve">s </w:t>
      </w:r>
      <w:r w:rsidR="004B0BF3">
        <w:t xml:space="preserve">36(3): 341-360. </w:t>
      </w:r>
      <w:r>
        <w:t xml:space="preserve"> http://dx.doi.org/10.1080/01441647.2015.1079277</w:t>
      </w:r>
      <w:r w:rsidR="00384CC3">
        <w:t>.</w:t>
      </w:r>
    </w:p>
    <w:p w14:paraId="4D0D4ACB" w14:textId="371EE828" w:rsidR="005E0605" w:rsidRDefault="005E0605" w:rsidP="00FA0917">
      <w:pPr>
        <w:spacing w:before="120"/>
        <w:ind w:left="284" w:hanging="284"/>
      </w:pPr>
      <w:r w:rsidRPr="005E0605">
        <w:t>Deonarain</w:t>
      </w:r>
      <w:r>
        <w:t xml:space="preserve">, B. 2018. </w:t>
      </w:r>
      <w:r w:rsidRPr="005E0605">
        <w:t>Improving vehicle technologies for sustainable development in South Africa</w:t>
      </w:r>
      <w:r>
        <w:t xml:space="preserve">. </w:t>
      </w:r>
      <w:r w:rsidR="00A30B3A" w:rsidRPr="00E136B9">
        <w:rPr>
          <w:i/>
        </w:rPr>
        <w:t>T</w:t>
      </w:r>
      <w:r w:rsidR="004B0BF3" w:rsidRPr="00E136B9">
        <w:rPr>
          <w:i/>
        </w:rPr>
        <w:t>ips Policy Brief</w:t>
      </w:r>
      <w:r w:rsidR="00A30B3A" w:rsidRPr="00A30B3A">
        <w:t>: 3/2018</w:t>
      </w:r>
      <w:r w:rsidR="00A30B3A">
        <w:t>.</w:t>
      </w:r>
    </w:p>
    <w:p w14:paraId="63F9C1B2" w14:textId="0E1CD16D" w:rsidR="004712F5" w:rsidRDefault="004712F5" w:rsidP="00FA0917">
      <w:pPr>
        <w:spacing w:before="120"/>
        <w:ind w:left="284" w:hanging="284"/>
      </w:pPr>
      <w:r>
        <w:t>Gillingham, K., Kotchen, M., Rapson, D. et al.</w:t>
      </w:r>
      <w:r w:rsidR="004B0BF3">
        <w:t xml:space="preserve"> 2013.</w:t>
      </w:r>
      <w:r>
        <w:t xml:space="preserve"> The rebound effect is overplayed. </w:t>
      </w:r>
      <w:r w:rsidRPr="00E136B9">
        <w:rPr>
          <w:i/>
        </w:rPr>
        <w:t xml:space="preserve">Nature </w:t>
      </w:r>
      <w:r>
        <w:t>493</w:t>
      </w:r>
      <w:r w:rsidR="004B0BF3">
        <w:t>:</w:t>
      </w:r>
      <w:r>
        <w:t xml:space="preserve"> 475–476. https://doi.org/10.1038/493475a</w:t>
      </w:r>
      <w:r w:rsidR="00384CC3">
        <w:t>.</w:t>
      </w:r>
    </w:p>
    <w:p w14:paraId="112AD1A1" w14:textId="029AF09C" w:rsidR="004712F5" w:rsidRDefault="004712F5" w:rsidP="00FA0917">
      <w:pPr>
        <w:spacing w:before="120"/>
        <w:ind w:left="284" w:hanging="284"/>
      </w:pPr>
      <w:r>
        <w:t>Horne M., Jaccard M.</w:t>
      </w:r>
      <w:r w:rsidR="004B0BF3">
        <w:t>and</w:t>
      </w:r>
      <w:r>
        <w:t xml:space="preserve"> Tiedemann K., 2005. Improving behavioral realism in hybrid energy-economy models using discrete choice studies of personal transportation decisions.</w:t>
      </w:r>
      <w:r w:rsidRPr="00E136B9">
        <w:rPr>
          <w:i/>
        </w:rPr>
        <w:t xml:space="preserve"> Energy Economics</w:t>
      </w:r>
      <w:r>
        <w:t xml:space="preserve"> 27:59-77</w:t>
      </w:r>
      <w:r w:rsidR="00384CC3">
        <w:t>.</w:t>
      </w:r>
    </w:p>
    <w:p w14:paraId="36969BDE" w14:textId="0D0D3205" w:rsidR="00A51039" w:rsidRDefault="00A51039" w:rsidP="00FA0917">
      <w:pPr>
        <w:spacing w:before="120"/>
        <w:ind w:left="284" w:hanging="284"/>
      </w:pPr>
      <w:r>
        <w:t xml:space="preserve">IEA [International Energy Agency]. 2019. Global EV </w:t>
      </w:r>
      <w:r w:rsidR="004B0BF3">
        <w:t>outlook</w:t>
      </w:r>
      <w:r>
        <w:t>. Technology report, May 2019. Available https://www.iea.org/reports/global-ev-outlook-2019 [Accessed: 26/03/2020]</w:t>
      </w:r>
      <w:r w:rsidR="00384CC3">
        <w:t>.</w:t>
      </w:r>
    </w:p>
    <w:p w14:paraId="4AE65FB3" w14:textId="6078671B" w:rsidR="00A51039" w:rsidRDefault="00A51039" w:rsidP="00FA0917">
      <w:pPr>
        <w:spacing w:before="120"/>
        <w:ind w:left="284" w:hanging="284"/>
      </w:pPr>
      <w:r>
        <w:t xml:space="preserve">IMF [International Monetary Fund]. 2018. </w:t>
      </w:r>
      <w:r w:rsidRPr="00E136B9">
        <w:rPr>
          <w:i/>
        </w:rPr>
        <w:t>World economic outlook. Challenges to steady growth</w:t>
      </w:r>
      <w:r>
        <w:t>. October 2018.</w:t>
      </w:r>
    </w:p>
    <w:p w14:paraId="71BEC520" w14:textId="38591A2A" w:rsidR="004712F5" w:rsidRDefault="004712F5" w:rsidP="00FA0917">
      <w:pPr>
        <w:spacing w:before="120"/>
        <w:ind w:left="284" w:hanging="284"/>
      </w:pPr>
      <w:r>
        <w:t>Jaccard, M.</w:t>
      </w:r>
      <w:r w:rsidR="00384CC3">
        <w:t xml:space="preserve"> 2009.</w:t>
      </w:r>
      <w:r>
        <w:t xml:space="preserve"> Combining top down and bottom up in energy economy models. </w:t>
      </w:r>
      <w:r w:rsidR="004B0BF3">
        <w:t>I</w:t>
      </w:r>
      <w:r>
        <w:t>n: Evans, J, and Hunt, L.C.</w:t>
      </w:r>
      <w:r w:rsidR="004B0BF3">
        <w:t xml:space="preserve"> (eds)</w:t>
      </w:r>
      <w:r w:rsidRPr="00E136B9">
        <w:rPr>
          <w:i/>
        </w:rPr>
        <w:t xml:space="preserve"> International </w:t>
      </w:r>
      <w:r w:rsidR="004B0BF3" w:rsidRPr="004B0BF3">
        <w:rPr>
          <w:i/>
        </w:rPr>
        <w:t>handbook on the economics of ener</w:t>
      </w:r>
      <w:r w:rsidRPr="00E136B9">
        <w:rPr>
          <w:i/>
        </w:rPr>
        <w:t>gy</w:t>
      </w:r>
      <w:r w:rsidR="004B0BF3">
        <w:rPr>
          <w:i/>
        </w:rPr>
        <w:t xml:space="preserve">: </w:t>
      </w:r>
      <w:r w:rsidR="004B0BF3">
        <w:t>Ch. 13.</w:t>
      </w:r>
      <w:r>
        <w:t xml:space="preserve"> Edward Elgar, Cheltenham/Northampton</w:t>
      </w:r>
      <w:r w:rsidR="00384CC3">
        <w:t>.</w:t>
      </w:r>
    </w:p>
    <w:p w14:paraId="257C6782" w14:textId="4D4D8B8F" w:rsidR="00C825A0" w:rsidRDefault="00C825A0" w:rsidP="00FA0917">
      <w:pPr>
        <w:spacing w:before="120"/>
        <w:ind w:left="284" w:hanging="284"/>
      </w:pPr>
      <w:r w:rsidRPr="00C825A0">
        <w:t xml:space="preserve">Kumalo K. 2019. Electric </w:t>
      </w:r>
      <w:r w:rsidR="004B0BF3">
        <w:t>v</w:t>
      </w:r>
      <w:r w:rsidR="004B0BF3" w:rsidRPr="00C825A0">
        <w:t>ehicles</w:t>
      </w:r>
      <w:r w:rsidRPr="00C825A0">
        <w:t xml:space="preserve">: Market </w:t>
      </w:r>
      <w:r w:rsidR="004B0BF3" w:rsidRPr="00C825A0">
        <w:t>intelligence rep</w:t>
      </w:r>
      <w:r w:rsidRPr="00C825A0">
        <w:t>ort 2019. GreenCape. South Africa. Online: https://www.greencape.co.za/assets/Uploads/ELECTRIC-VEHICLES-MARKET-INTELLIGENCE-REPORT-WEB4.pdf</w:t>
      </w:r>
      <w:r>
        <w:t>.</w:t>
      </w:r>
    </w:p>
    <w:p w14:paraId="63BA4DBF" w14:textId="0B659739" w:rsidR="00AC15FB" w:rsidRDefault="00AC15FB" w:rsidP="00FA0917">
      <w:pPr>
        <w:spacing w:before="120"/>
        <w:ind w:left="284" w:hanging="284"/>
      </w:pPr>
      <w:r w:rsidRPr="00AC15FB">
        <w:t>McCall</w:t>
      </w:r>
      <w:r>
        <w:t>, B.</w:t>
      </w:r>
      <w:r w:rsidRPr="00AC15FB">
        <w:t>, Burton</w:t>
      </w:r>
      <w:r>
        <w:t>, J.</w:t>
      </w:r>
      <w:r w:rsidRPr="00AC15FB">
        <w:t>, Marquard</w:t>
      </w:r>
      <w:r>
        <w:t>, A.</w:t>
      </w:r>
      <w:r w:rsidRPr="00AC15FB">
        <w:t>, Hartley</w:t>
      </w:r>
      <w:r>
        <w:t>, F.</w:t>
      </w:r>
      <w:r w:rsidRPr="00AC15FB">
        <w:t>, Ahjum</w:t>
      </w:r>
      <w:r>
        <w:t>, F.</w:t>
      </w:r>
      <w:r w:rsidRPr="00AC15FB">
        <w:t>, Ireland</w:t>
      </w:r>
      <w:r>
        <w:t xml:space="preserve">, G. and </w:t>
      </w:r>
      <w:r w:rsidRPr="00AC15FB">
        <w:t>Merven</w:t>
      </w:r>
      <w:r>
        <w:t xml:space="preserve">, B. 2019. </w:t>
      </w:r>
      <w:r w:rsidRPr="00AC15FB">
        <w:t>Least cost integrated resource planning and cost-optimal climate change mitigation policy — Alternatives for the South African electricity system</w:t>
      </w:r>
      <w:r>
        <w:t xml:space="preserve">. </w:t>
      </w:r>
      <w:r w:rsidR="005C027C" w:rsidRPr="005C027C">
        <w:t>SA-TIED</w:t>
      </w:r>
      <w:r w:rsidR="005C027C">
        <w:t xml:space="preserve"> working paper </w:t>
      </w:r>
      <w:r w:rsidR="005C027C" w:rsidRPr="005C027C">
        <w:t>29</w:t>
      </w:r>
      <w:r w:rsidR="00384CC3">
        <w:t>.</w:t>
      </w:r>
    </w:p>
    <w:p w14:paraId="223CB123" w14:textId="01DF0472" w:rsidR="00A51039" w:rsidRDefault="00A51039" w:rsidP="00FA0917">
      <w:pPr>
        <w:spacing w:before="120"/>
        <w:ind w:left="284" w:hanging="284"/>
      </w:pPr>
      <w:r>
        <w:t>Merven, B., Hartley, F. and Ahjum, F. 2019. Road freight and energy in South Africa. SA-TIED working paper 60.</w:t>
      </w:r>
    </w:p>
    <w:p w14:paraId="735408A7" w14:textId="1F41A822" w:rsidR="009A2483" w:rsidRDefault="009A2483" w:rsidP="00FA0917">
      <w:pPr>
        <w:spacing w:before="120"/>
        <w:ind w:left="284" w:hanging="284"/>
      </w:pPr>
      <w:r>
        <w:t>Merven, B., Hartley, F., Mccall, B.,Burton,B., and Schers,J. 2019. Improved representation of coal supply for the power sector for South Africa. SA-TIED working paper</w:t>
      </w:r>
      <w:r w:rsidR="005C027C">
        <w:t xml:space="preserve"> </w:t>
      </w:r>
      <w:r>
        <w:t>84.</w:t>
      </w:r>
    </w:p>
    <w:p w14:paraId="5DB78B8A" w14:textId="46EA1DBC" w:rsidR="00DE4BEA" w:rsidRDefault="00DE4BEA" w:rsidP="00FA0917">
      <w:pPr>
        <w:spacing w:before="120"/>
        <w:ind w:left="284" w:hanging="284"/>
      </w:pPr>
      <w:r>
        <w:t xml:space="preserve">Merven, B., Hartley, F. and Schers, J. 2020. </w:t>
      </w:r>
      <w:r w:rsidRPr="00DE4BEA">
        <w:t>Long term modelling of household demand and its implications for energy planning</w:t>
      </w:r>
      <w:r>
        <w:t>. SA-TIED working paper 99.</w:t>
      </w:r>
    </w:p>
    <w:p w14:paraId="0D6461BD" w14:textId="32EFBFAC" w:rsidR="00A51039" w:rsidRDefault="00A51039" w:rsidP="00FA0917">
      <w:pPr>
        <w:spacing w:before="120"/>
        <w:ind w:left="284" w:hanging="284"/>
      </w:pPr>
      <w:r>
        <w:t xml:space="preserve">National Treasury. 2018. </w:t>
      </w:r>
      <w:r w:rsidRPr="00E136B9">
        <w:rPr>
          <w:i/>
        </w:rPr>
        <w:t>Medium term budget policy statement</w:t>
      </w:r>
      <w:r>
        <w:t>. Republic of South Africa.</w:t>
      </w:r>
    </w:p>
    <w:p w14:paraId="4950EF95" w14:textId="3298F157" w:rsidR="004712F5" w:rsidRDefault="004712F5" w:rsidP="00FA0917">
      <w:pPr>
        <w:spacing w:before="120"/>
        <w:ind w:left="284" w:hanging="284"/>
      </w:pPr>
      <w:r>
        <w:t>Ó Broin, E.</w:t>
      </w:r>
      <w:r w:rsidR="00C35A95">
        <w:t xml:space="preserve"> and</w:t>
      </w:r>
      <w:r>
        <w:t xml:space="preserve"> Guivarch, C. 2017. Transport infrastructure costs in low-carbon pathways. </w:t>
      </w:r>
      <w:r w:rsidRPr="00E136B9">
        <w:rPr>
          <w:i/>
        </w:rPr>
        <w:t>Transportation Research Part D: Transport and Environment</w:t>
      </w:r>
      <w:r>
        <w:t xml:space="preserve"> (55):389-403. </w:t>
      </w:r>
    </w:p>
    <w:p w14:paraId="7ED4B5BB" w14:textId="306F77DD" w:rsidR="001D56CF" w:rsidRDefault="001D56CF" w:rsidP="00FA0917">
      <w:pPr>
        <w:spacing w:before="120"/>
        <w:ind w:left="284" w:hanging="284"/>
      </w:pPr>
      <w:r>
        <w:t xml:space="preserve">Posada F. 2018. South Africa’s </w:t>
      </w:r>
      <w:r w:rsidR="004B0BF3">
        <w:t>new passenger vehi</w:t>
      </w:r>
      <w:r>
        <w:t xml:space="preserve">cle </w:t>
      </w:r>
      <w:r w:rsidR="004B0BF3">
        <w:t>CO</w:t>
      </w:r>
      <w:r w:rsidR="004B0BF3" w:rsidRPr="00E136B9">
        <w:rPr>
          <w:vertAlign w:val="subscript"/>
        </w:rPr>
        <w:t>2</w:t>
      </w:r>
      <w:r w:rsidR="004B0BF3">
        <w:t xml:space="preserve"> emission standar</w:t>
      </w:r>
      <w:r>
        <w:t xml:space="preserve">ds: Baseline </w:t>
      </w:r>
      <w:r w:rsidR="004B0BF3">
        <w:t>determination and benefits as</w:t>
      </w:r>
      <w:r>
        <w:t xml:space="preserve">sessment. International Council on Clean Transportation (ICCT). USA. Online: </w:t>
      </w:r>
      <w:r w:rsidRPr="00FA0917">
        <w:t>https://www.theicct.org/sites/default/files/publications/South-Africa-PV-emission-stds_ICCT-White-Paper_17012018_vF.pdf</w:t>
      </w:r>
      <w:r w:rsidR="00384CC3">
        <w:t>.</w:t>
      </w:r>
    </w:p>
    <w:p w14:paraId="4D10F624" w14:textId="04009F94" w:rsidR="001256E3" w:rsidRDefault="001256E3" w:rsidP="00FA0917">
      <w:pPr>
        <w:spacing w:before="120"/>
        <w:ind w:left="284" w:hanging="284"/>
      </w:pPr>
      <w:r w:rsidRPr="001256E3">
        <w:t>Ricardo-AEA. 2012. Road vehicle cost and efficiency calculation framework 2010-2050. Report#ED57444. United Kingdom</w:t>
      </w:r>
    </w:p>
    <w:p w14:paraId="081C7CF3" w14:textId="7D840717" w:rsidR="004712F5" w:rsidRDefault="004712F5" w:rsidP="00FA0917">
      <w:pPr>
        <w:spacing w:before="120"/>
        <w:ind w:left="284" w:hanging="284"/>
      </w:pPr>
      <w:r>
        <w:t>Schäfer, A. 2012. Introducing behavioural change in transportation into energy/economy/environment models. Policy Research Working Paper 6234, World Bank, Washington DC.</w:t>
      </w:r>
    </w:p>
    <w:p w14:paraId="62D0FEEB" w14:textId="06D07449" w:rsidR="004712F5" w:rsidRDefault="004712F5" w:rsidP="00FA0917">
      <w:pPr>
        <w:spacing w:before="120"/>
        <w:ind w:left="284" w:hanging="284"/>
      </w:pPr>
      <w:r>
        <w:t xml:space="preserve">Seebauer, S. 2018. The psychology of rebound effects: Explaining energy efficiency rebound behaviours with electric vehicles and building insulation in Austria. </w:t>
      </w:r>
      <w:r w:rsidRPr="00E136B9">
        <w:rPr>
          <w:i/>
        </w:rPr>
        <w:t>Energy Research &amp; Social Science</w:t>
      </w:r>
      <w:r>
        <w:t xml:space="preserve"> 46:311-320.</w:t>
      </w:r>
    </w:p>
    <w:p w14:paraId="6EC42230" w14:textId="79BAAA92" w:rsidR="001D56CF" w:rsidRDefault="001D56CF" w:rsidP="00FA0917">
      <w:pPr>
        <w:spacing w:before="120"/>
        <w:ind w:left="284" w:hanging="284"/>
      </w:pPr>
      <w:r>
        <w:t xml:space="preserve">StatsSA [Statistics South Africa]. 2014. </w:t>
      </w:r>
      <w:r w:rsidRPr="00E136B9">
        <w:rPr>
          <w:i/>
        </w:rPr>
        <w:t>National</w:t>
      </w:r>
      <w:r w:rsidR="004B0BF3" w:rsidRPr="00E136B9">
        <w:rPr>
          <w:i/>
        </w:rPr>
        <w:t xml:space="preserve"> household travel surv</w:t>
      </w:r>
      <w:r w:rsidRPr="00E136B9">
        <w:rPr>
          <w:i/>
        </w:rPr>
        <w:t>ey</w:t>
      </w:r>
      <w:r>
        <w:t>. South Africa</w:t>
      </w:r>
      <w:r w:rsidR="00C42CB3">
        <w:t>.</w:t>
      </w:r>
      <w:r>
        <w:t xml:space="preserve"> Online. http://www.statssa.gov.za/publications/P0320/P03202013.pdf</w:t>
      </w:r>
      <w:r w:rsidR="00384CC3">
        <w:t>.</w:t>
      </w:r>
    </w:p>
    <w:p w14:paraId="29E344F1" w14:textId="3F562A48" w:rsidR="00C42CB3" w:rsidRDefault="001D56CF" w:rsidP="00C42CB3">
      <w:pPr>
        <w:spacing w:before="120"/>
        <w:ind w:left="284" w:hanging="284"/>
        <w:rPr>
          <w:shd w:val="clear" w:color="auto" w:fill="FFFFFF"/>
        </w:rPr>
      </w:pPr>
      <w:r>
        <w:t xml:space="preserve">StatsSA [Statistics South Africa]. 2019. </w:t>
      </w:r>
      <w:r w:rsidRPr="00E136B9">
        <w:rPr>
          <w:i/>
        </w:rPr>
        <w:t xml:space="preserve">General </w:t>
      </w:r>
      <w:r w:rsidR="00C42CB3" w:rsidRPr="00E136B9">
        <w:rPr>
          <w:i/>
        </w:rPr>
        <w:t>household sur</w:t>
      </w:r>
      <w:r w:rsidRPr="00E136B9">
        <w:rPr>
          <w:i/>
        </w:rPr>
        <w:t>vey</w:t>
      </w:r>
      <w:r>
        <w:t>, 2018. South Africa.  Online: http://www.statssa.gov.za/publications/P0318/P03182018.pdf</w:t>
      </w:r>
      <w:r w:rsidR="00384CC3">
        <w:t>.</w:t>
      </w:r>
    </w:p>
    <w:p w14:paraId="1C8E4641" w14:textId="24AC81E7" w:rsidR="00D86572" w:rsidRDefault="00D86572">
      <w:pPr>
        <w:spacing w:before="120"/>
        <w:ind w:left="284" w:hanging="284"/>
      </w:pPr>
      <w:r>
        <w:rPr>
          <w:shd w:val="clear" w:color="auto" w:fill="FFFFFF"/>
        </w:rPr>
        <w:t>Stone, A., Merven, B. And Senatla, 2013, M., Exploring pathways to a hydrogen fuel cell transition in the South African road transport sector: A pre-study.</w:t>
      </w:r>
      <w:r>
        <w:t xml:space="preserve"> </w:t>
      </w:r>
      <w:r w:rsidR="00C42CB3">
        <w:t>In:</w:t>
      </w:r>
      <w:r w:rsidR="00C42CB3" w:rsidRPr="00E136B9">
        <w:rPr>
          <w:i/>
        </w:rPr>
        <w:t xml:space="preserve"> </w:t>
      </w:r>
      <w:r w:rsidRPr="00E136B9">
        <w:rPr>
          <w:i/>
        </w:rPr>
        <w:t>South Africa and the</w:t>
      </w:r>
      <w:r w:rsidR="00C42CB3" w:rsidRPr="00C42CB3">
        <w:rPr>
          <w:i/>
        </w:rPr>
        <w:t xml:space="preserve"> global hydrogen eco</w:t>
      </w:r>
      <w:r w:rsidRPr="00E136B9">
        <w:rPr>
          <w:i/>
        </w:rPr>
        <w:t>nomy: The</w:t>
      </w:r>
      <w:r w:rsidR="00C42CB3" w:rsidRPr="00C42CB3">
        <w:rPr>
          <w:i/>
        </w:rPr>
        <w:t xml:space="preserve"> strategic role of platinum group me</w:t>
      </w:r>
      <w:r w:rsidRPr="00E136B9">
        <w:rPr>
          <w:i/>
        </w:rPr>
        <w:t>tals</w:t>
      </w:r>
      <w:r w:rsidR="00C42CB3">
        <w:rPr>
          <w:i/>
        </w:rPr>
        <w:t>:</w:t>
      </w:r>
      <w:r>
        <w:t xml:space="preserve"> Ch</w:t>
      </w:r>
      <w:r w:rsidR="00C42CB3">
        <w:t>.</w:t>
      </w:r>
      <w:r>
        <w:t xml:space="preserve"> 5. </w:t>
      </w:r>
      <w:r w:rsidRPr="00D86572">
        <w:t>Mapungubwe Institute for Strategic Ref</w:t>
      </w:r>
      <w:r>
        <w:t>l</w:t>
      </w:r>
      <w:r w:rsidRPr="00D86572">
        <w:t>ection, Johannesburg.</w:t>
      </w:r>
    </w:p>
    <w:p w14:paraId="5F0647DB" w14:textId="67CBA3D4" w:rsidR="00A51039" w:rsidRDefault="00A51039" w:rsidP="00FA0917">
      <w:pPr>
        <w:spacing w:before="120"/>
        <w:ind w:left="284" w:hanging="284"/>
      </w:pPr>
      <w:r>
        <w:t>UNEP [United Nations Environmental Programme].</w:t>
      </w:r>
      <w:r w:rsidR="00C42CB3">
        <w:t xml:space="preserve"> </w:t>
      </w:r>
      <w:r>
        <w:t>2016. Obtaining long-term forecasts of the key drivers of greenhouse gas emissions in South Africa. UNEP-DTU Partnership/ERC/FIRM. Copenhagen: United Nations Environment Programme.</w:t>
      </w:r>
    </w:p>
    <w:p w14:paraId="10E9C44B" w14:textId="0900434D" w:rsidR="004712F5" w:rsidRDefault="00C42CB3" w:rsidP="00FA0917">
      <w:pPr>
        <w:spacing w:before="120"/>
        <w:ind w:left="284" w:hanging="284"/>
      </w:pPr>
      <w:r>
        <w:rPr>
          <w:lang w:val="es-ES"/>
        </w:rPr>
        <w:t>V</w:t>
      </w:r>
      <w:r w:rsidRPr="0035219A">
        <w:rPr>
          <w:lang w:val="es-ES"/>
        </w:rPr>
        <w:t xml:space="preserve">an </w:t>
      </w:r>
      <w:r w:rsidR="00A51039" w:rsidRPr="0035219A">
        <w:rPr>
          <w:lang w:val="es-ES"/>
        </w:rPr>
        <w:t xml:space="preserve">Seventer, D., Hartley, F., Gabriel, S. &amp; Davies, R. 2016. </w:t>
      </w:r>
      <w:r w:rsidR="00A51039">
        <w:t xml:space="preserve">A 2012 </w:t>
      </w:r>
      <w:r>
        <w:t>social accounting mat</w:t>
      </w:r>
      <w:r w:rsidR="00A51039">
        <w:t>rix (SAM) for South Africa. WIDER Working Paper 2016/26. Helsinki: UNU-WIDER.</w:t>
      </w:r>
    </w:p>
    <w:p w14:paraId="35577E6C" w14:textId="38D77425" w:rsidR="004712F5" w:rsidRDefault="004712F5" w:rsidP="00FA0917">
      <w:pPr>
        <w:spacing w:before="120"/>
        <w:ind w:left="284" w:hanging="284"/>
      </w:pPr>
      <w:r>
        <w:t>Waisman, H., Guivarch, C., Grazi, F.</w:t>
      </w:r>
      <w:r w:rsidR="00C42CB3">
        <w:t xml:space="preserve"> and</w:t>
      </w:r>
      <w:r>
        <w:t xml:space="preserve"> Hourcade, JC. 2012. The IMACLIM-R model: </w:t>
      </w:r>
      <w:r w:rsidR="00C42CB3">
        <w:t>I</w:t>
      </w:r>
      <w:r>
        <w:t xml:space="preserve">nfrastructures, technical inertia and the costs of low carbon futures under imperfect foresight. </w:t>
      </w:r>
      <w:r w:rsidRPr="00E136B9">
        <w:rPr>
          <w:i/>
        </w:rPr>
        <w:t xml:space="preserve">Climatic Change </w:t>
      </w:r>
      <w:r>
        <w:t>114: 101–120</w:t>
      </w:r>
      <w:r w:rsidR="00C42CB3">
        <w:t>.</w:t>
      </w:r>
      <w:r>
        <w:t xml:space="preserve"> DOI 10.1007/s10584-011-0387-z</w:t>
      </w:r>
      <w:r w:rsidR="00384CC3">
        <w:t>.</w:t>
      </w:r>
    </w:p>
    <w:p w14:paraId="3CD46419" w14:textId="6CA00B33" w:rsidR="004712F5" w:rsidRDefault="004712F5" w:rsidP="00FA0917">
      <w:pPr>
        <w:spacing w:before="120"/>
        <w:ind w:left="284" w:hanging="284"/>
      </w:pPr>
      <w:r>
        <w:t xml:space="preserve">Waisman H-D, Guivarch, C., Lecocq, F. 2013. The transportation sector and low-carbon growth pathways: modelling urban, infrastructure, and spatial determinants of mobility, </w:t>
      </w:r>
      <w:r w:rsidRPr="00E136B9">
        <w:rPr>
          <w:i/>
        </w:rPr>
        <w:t>Climate Policy</w:t>
      </w:r>
      <w:r>
        <w:t xml:space="preserve"> 13:sup01</w:t>
      </w:r>
      <w:r w:rsidR="00C42CB3">
        <w:t>:</w:t>
      </w:r>
      <w:r>
        <w:t xml:space="preserve"> 106-129</w:t>
      </w:r>
      <w:r w:rsidR="00C42CB3">
        <w:t>.</w:t>
      </w:r>
      <w:r>
        <w:t xml:space="preserve"> DOI: 10.1080/14693062.2012.735916</w:t>
      </w:r>
      <w:r w:rsidR="00384CC3">
        <w:t>.</w:t>
      </w:r>
    </w:p>
    <w:p w14:paraId="71BF3FA3" w14:textId="77777777" w:rsidR="003C55B0" w:rsidRDefault="003C55B0">
      <w:pPr>
        <w:spacing w:after="0"/>
        <w:jc w:val="left"/>
        <w:rPr>
          <w:rFonts w:cs="Arial"/>
          <w:b/>
          <w:color w:val="538135" w:themeColor="accent6" w:themeShade="BF"/>
        </w:rPr>
      </w:pPr>
      <w:r>
        <w:br w:type="page"/>
      </w:r>
    </w:p>
    <w:bookmarkEnd w:id="16"/>
    <w:p w14:paraId="3A6CC675" w14:textId="21EF3B36" w:rsidR="00F0156B" w:rsidRDefault="39DD7A4E" w:rsidP="00B83AFC">
      <w:pPr>
        <w:pStyle w:val="Acknowledgementsheading"/>
        <w:pBdr>
          <w:bottom w:val="single" w:sz="4" w:space="1" w:color="auto"/>
        </w:pBdr>
      </w:pPr>
      <w:r>
        <w:t>About the authors</w:t>
      </w:r>
    </w:p>
    <w:p w14:paraId="1BB77BE2" w14:textId="45CAB2C6" w:rsidR="00F0156B" w:rsidRPr="00A91D7D" w:rsidRDefault="00913CBE" w:rsidP="00913CBE">
      <w:pPr>
        <w:pStyle w:val="Acknowledgementsheading"/>
        <w:pBdr>
          <w:bottom w:val="none" w:sz="0" w:space="0" w:color="auto"/>
        </w:pBdr>
        <w:rPr>
          <w:b w:val="0"/>
          <w:color w:val="auto"/>
        </w:rPr>
      </w:pPr>
      <w:r w:rsidRPr="00913CBE">
        <w:rPr>
          <w:b w:val="0"/>
          <w:color w:val="auto"/>
        </w:rPr>
        <w:t>Bruno Merven leads the Energy Systems Research Group at the University of Cape Town. Faaiqa Hartley and Fadiel Ahjum are researchers within the group and Jules Schers is a visiting researcher from Expertise France. All are involved in the development and maintenance of the Group’s energy, economic and linked energy-economic model.</w:t>
      </w:r>
    </w:p>
    <w:sectPr w:rsidR="00F0156B" w:rsidRPr="00A91D7D">
      <w:headerReference w:type="default" r:id="rId32"/>
      <w:footerReference w:type="default" r:id="rId33"/>
      <w:pgSz w:w="11906" w:h="16838"/>
      <w:pgMar w:top="1701" w:right="1418" w:bottom="1440" w:left="1418" w:header="720" w:footer="720" w:gutter="0"/>
      <w:cols w:space="720"/>
      <w:formProt w:val="0"/>
      <w:docGrid w:linePitch="360" w:charSpace="409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 w:author="Editor" w:date="2020-04-05T14:16:00Z" w:initials="T">
    <w:p w14:paraId="72A8B3C8" w14:textId="1519AEC2" w:rsidR="004B0BF3" w:rsidRDefault="004B0BF3">
      <w:pPr>
        <w:pStyle w:val="CommentText"/>
      </w:pPr>
      <w:r>
        <w:rPr>
          <w:rStyle w:val="CommentReference"/>
        </w:rPr>
        <w:annotationRef/>
      </w:r>
      <w:r>
        <w:t>Seems clearer and more correct to add in the “related” bit. Should one not mention at this first occurrence what sort of emissions you are referring to? GHG? CO2?</w:t>
      </w:r>
    </w:p>
  </w:comment>
  <w:comment w:id="3" w:author="Editor" w:date="2020-04-02T11:50:00Z" w:initials="T">
    <w:p w14:paraId="73D3F2A1" w14:textId="12A7958D" w:rsidR="004B0BF3" w:rsidRDefault="004B0BF3">
      <w:pPr>
        <w:pStyle w:val="CommentText"/>
      </w:pPr>
      <w:r>
        <w:rPr>
          <w:rStyle w:val="CommentReference"/>
        </w:rPr>
        <w:annotationRef/>
      </w:r>
      <w:r>
        <w:t>They are exactly equal size? Joint-second to something else?</w:t>
      </w:r>
    </w:p>
  </w:comment>
  <w:comment w:id="4" w:author="Editor" w:date="2020-04-01T15:22:00Z" w:initials="T">
    <w:p w14:paraId="3176377F" w14:textId="13A74C68" w:rsidR="004B0BF3" w:rsidRDefault="004B0BF3">
      <w:pPr>
        <w:pStyle w:val="CommentText"/>
      </w:pPr>
      <w:r>
        <w:rPr>
          <w:rStyle w:val="CommentReference"/>
        </w:rPr>
        <w:annotationRef/>
      </w:r>
      <w:r>
        <w:t>Do you mean: increase the use of electric vehicles in private transport? Otherwise I don’t understand. And why your next sentence is about EVs</w:t>
      </w:r>
    </w:p>
  </w:comment>
  <w:comment w:id="5" w:author="Editor" w:date="2020-04-01T15:35:00Z" w:initials="T">
    <w:p w14:paraId="61691BA1" w14:textId="7CAF76B9" w:rsidR="004B0BF3" w:rsidRDefault="004B0BF3">
      <w:pPr>
        <w:pStyle w:val="CommentText"/>
      </w:pPr>
      <w:r>
        <w:rPr>
          <w:rStyle w:val="CommentReference"/>
        </w:rPr>
        <w:annotationRef/>
      </w:r>
      <w:r>
        <w:t>Give source</w:t>
      </w:r>
    </w:p>
  </w:comment>
  <w:comment w:id="6" w:author="Editor" w:date="2020-04-01T15:36:00Z" w:initials="T">
    <w:p w14:paraId="4FC47398" w14:textId="15D5B788" w:rsidR="004B0BF3" w:rsidRDefault="004B0BF3">
      <w:pPr>
        <w:pStyle w:val="CommentText"/>
      </w:pPr>
      <w:r>
        <w:rPr>
          <w:rStyle w:val="CommentReference"/>
        </w:rPr>
        <w:annotationRef/>
      </w:r>
      <w:r>
        <w:t>Give source</w:t>
      </w:r>
    </w:p>
  </w:comment>
  <w:comment w:id="7" w:author="Editor" w:date="2020-04-01T15:39:00Z" w:initials="T">
    <w:p w14:paraId="3D52DA6E" w14:textId="10062211" w:rsidR="004B0BF3" w:rsidRDefault="004B0BF3">
      <w:pPr>
        <w:pStyle w:val="CommentText"/>
      </w:pPr>
      <w:r>
        <w:rPr>
          <w:rStyle w:val="CommentReference"/>
        </w:rPr>
        <w:annotationRef/>
      </w:r>
      <w:r>
        <w:t>You use the hyphen later in the para, so I’m using it here too, as it seems useful.</w:t>
      </w:r>
    </w:p>
  </w:comment>
  <w:comment w:id="8" w:author="Editor" w:date="2020-04-02T12:01:00Z" w:initials="T">
    <w:p w14:paraId="78485F14" w14:textId="149CCC0D" w:rsidR="004B0BF3" w:rsidRDefault="004B0BF3">
      <w:pPr>
        <w:pStyle w:val="CommentText"/>
      </w:pPr>
      <w:r>
        <w:rPr>
          <w:rStyle w:val="CommentReference"/>
        </w:rPr>
        <w:annotationRef/>
      </w:r>
      <w:r>
        <w:t>Would this be a better word, given that “other liquid fuels” is not a product?</w:t>
      </w:r>
    </w:p>
  </w:comment>
  <w:comment w:id="11" w:author="Editor" w:date="2020-04-02T12:11:00Z" w:initials="T">
    <w:p w14:paraId="004EF898" w14:textId="03C82BD5" w:rsidR="004B0BF3" w:rsidRDefault="004B0BF3">
      <w:pPr>
        <w:pStyle w:val="CommentText"/>
      </w:pPr>
      <w:r>
        <w:rPr>
          <w:rStyle w:val="CommentReference"/>
        </w:rPr>
        <w:annotationRef/>
      </w:r>
      <w:r>
        <w:t>? otherwise no grammatical sense to the sentence.</w:t>
      </w:r>
    </w:p>
  </w:comment>
  <w:comment w:id="12" w:author="Editor" w:date="2020-04-02T12:12:00Z" w:initials="T">
    <w:p w14:paraId="31462EB8" w14:textId="155204DF" w:rsidR="004B0BF3" w:rsidRDefault="004B0BF3">
      <w:pPr>
        <w:pStyle w:val="CommentText"/>
      </w:pPr>
      <w:r>
        <w:rPr>
          <w:rStyle w:val="CommentReference"/>
        </w:rPr>
        <w:annotationRef/>
      </w:r>
      <w:r>
        <w:t>I’m wondering why these equations are not numbered?</w:t>
      </w:r>
    </w:p>
  </w:comment>
  <w:comment w:id="13" w:author="Editor" w:date="2020-04-02T12:14:00Z" w:initials="T">
    <w:p w14:paraId="1CEB0D8A" w14:textId="1ED36EC5" w:rsidR="004B0BF3" w:rsidRDefault="004B0BF3">
      <w:pPr>
        <w:pStyle w:val="CommentText"/>
      </w:pPr>
      <w:r>
        <w:rPr>
          <w:rStyle w:val="CommentReference"/>
        </w:rPr>
        <w:annotationRef/>
      </w:r>
      <w:r>
        <w:t>Not “drive” presumably?</w:t>
      </w:r>
    </w:p>
  </w:comment>
  <w:comment w:id="15" w:author="Editor" w:date="2020-04-04T16:10:00Z" w:initials="T">
    <w:p w14:paraId="5EA1E08B" w14:textId="151424D1" w:rsidR="004B0BF3" w:rsidRDefault="004B0BF3">
      <w:pPr>
        <w:pStyle w:val="CommentText"/>
      </w:pPr>
      <w:r>
        <w:rPr>
          <w:rStyle w:val="CommentReference"/>
        </w:rPr>
        <w:annotationRef/>
      </w:r>
      <w:r>
        <w:t>Correct?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2A8B3C8" w15:done="0"/>
  <w15:commentEx w15:paraId="73D3F2A1" w15:done="0"/>
  <w15:commentEx w15:paraId="3176377F" w15:done="0"/>
  <w15:commentEx w15:paraId="61691BA1" w15:done="0"/>
  <w15:commentEx w15:paraId="4FC47398" w15:done="0"/>
  <w15:commentEx w15:paraId="3D52DA6E" w15:done="0"/>
  <w15:commentEx w15:paraId="78485F14" w15:done="0"/>
  <w15:commentEx w15:paraId="004EF898" w15:done="0"/>
  <w15:commentEx w15:paraId="31462EB8" w15:done="0"/>
  <w15:commentEx w15:paraId="1CEB0D8A" w15:done="0"/>
  <w15:commentEx w15:paraId="5EA1E08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2A8B3C8" w16cid:durableId="223466C0"/>
  <w16cid:commentId w16cid:paraId="73D3F2A1" w16cid:durableId="22304FF4"/>
  <w16cid:commentId w16cid:paraId="3176377F" w16cid:durableId="222F302F"/>
  <w16cid:commentId w16cid:paraId="61691BA1" w16cid:durableId="222F3350"/>
  <w16cid:commentId w16cid:paraId="4FC47398" w16cid:durableId="222F3392"/>
  <w16cid:commentId w16cid:paraId="3D52DA6E" w16cid:durableId="222F3424"/>
  <w16cid:commentId w16cid:paraId="78485F14" w16cid:durableId="2230528F"/>
  <w16cid:commentId w16cid:paraId="004EF898" w16cid:durableId="2230550A"/>
  <w16cid:commentId w16cid:paraId="31462EB8" w16cid:durableId="22305538"/>
  <w16cid:commentId w16cid:paraId="1CEB0D8A" w16cid:durableId="223055A3"/>
  <w16cid:commentId w16cid:paraId="5EA1E08B" w16cid:durableId="2233301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47A9AD" w14:textId="77777777" w:rsidR="00DA28B2" w:rsidRDefault="00DA28B2">
      <w:pPr>
        <w:spacing w:after="0"/>
      </w:pPr>
      <w:r>
        <w:separator/>
      </w:r>
    </w:p>
  </w:endnote>
  <w:endnote w:type="continuationSeparator" w:id="0">
    <w:p w14:paraId="2E514B0B" w14:textId="77777777" w:rsidR="00DA28B2" w:rsidRDefault="00DA28B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AR PL SungtiL GB">
    <w:panose1 w:val="00000000000000000000"/>
    <w:charset w:val="00"/>
    <w:family w:val="roman"/>
    <w:notTrueType/>
    <w:pitch w:val="default"/>
  </w:font>
  <w:font w:name="Lohit Devanagari">
    <w:altName w:val="Cambria"/>
    <w:panose1 w:val="00000000000000000000"/>
    <w:charset w:val="00"/>
    <w:family w:val="roman"/>
    <w:notTrueType/>
    <w:pitch w:val="default"/>
  </w:font>
  <w:font w:name="BryantPro-Regular">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023"/>
      <w:gridCol w:w="3023"/>
      <w:gridCol w:w="3023"/>
    </w:tblGrid>
    <w:tr w:rsidR="004B0BF3" w14:paraId="0F33C626" w14:textId="77777777" w:rsidTr="78E5F4A3">
      <w:tc>
        <w:tcPr>
          <w:tcW w:w="3023" w:type="dxa"/>
        </w:tcPr>
        <w:p w14:paraId="6BD12F64" w14:textId="4008894A" w:rsidR="004B0BF3" w:rsidRDefault="004B0BF3" w:rsidP="78E5F4A3">
          <w:pPr>
            <w:pStyle w:val="Header"/>
            <w:ind w:left="-115"/>
            <w:jc w:val="left"/>
          </w:pPr>
        </w:p>
      </w:tc>
      <w:tc>
        <w:tcPr>
          <w:tcW w:w="3023" w:type="dxa"/>
        </w:tcPr>
        <w:p w14:paraId="051BD7E7" w14:textId="55C20BC3" w:rsidR="004B0BF3" w:rsidRDefault="004B0BF3" w:rsidP="78E5F4A3">
          <w:pPr>
            <w:pStyle w:val="Header"/>
            <w:jc w:val="center"/>
          </w:pPr>
          <w:r>
            <w:rPr>
              <w:noProof/>
            </w:rPr>
            <w:t>1</w:t>
          </w:r>
        </w:p>
      </w:tc>
      <w:tc>
        <w:tcPr>
          <w:tcW w:w="3023" w:type="dxa"/>
        </w:tcPr>
        <w:p w14:paraId="1765EC2B" w14:textId="278072A1" w:rsidR="004B0BF3" w:rsidRDefault="004B0BF3" w:rsidP="78E5F4A3">
          <w:pPr>
            <w:pStyle w:val="Header"/>
            <w:ind w:right="-115"/>
            <w:jc w:val="right"/>
          </w:pPr>
        </w:p>
      </w:tc>
    </w:tr>
  </w:tbl>
  <w:p w14:paraId="3377322D" w14:textId="52574049" w:rsidR="004B0BF3" w:rsidRDefault="004B0BF3" w:rsidP="78E5F4A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61D779" w14:textId="2257DCBE" w:rsidR="004B0BF3" w:rsidRPr="0035219A" w:rsidRDefault="004B0BF3" w:rsidP="0035219A">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0376A4" w14:textId="77777777" w:rsidR="00DA28B2" w:rsidRDefault="00DA28B2">
      <w:pPr>
        <w:spacing w:after="0"/>
      </w:pPr>
      <w:r>
        <w:separator/>
      </w:r>
    </w:p>
  </w:footnote>
  <w:footnote w:type="continuationSeparator" w:id="0">
    <w:p w14:paraId="018D7908" w14:textId="77777777" w:rsidR="00DA28B2" w:rsidRDefault="00DA28B2">
      <w:pPr>
        <w:spacing w:after="0"/>
      </w:pPr>
      <w:r>
        <w:continuationSeparator/>
      </w:r>
    </w:p>
  </w:footnote>
  <w:footnote w:id="1">
    <w:p w14:paraId="430B0986" w14:textId="100D00C4" w:rsidR="004B0BF3" w:rsidRPr="003C5007" w:rsidRDefault="004B0BF3" w:rsidP="0035219A">
      <w:pPr>
        <w:pStyle w:val="FootnoteText"/>
        <w:tabs>
          <w:tab w:val="left" w:pos="360"/>
        </w:tabs>
        <w:ind w:left="360" w:hanging="360"/>
      </w:pPr>
      <w:r w:rsidRPr="003C5007">
        <w:rPr>
          <w:rStyle w:val="FootnoteReference"/>
        </w:rPr>
        <w:footnoteRef/>
      </w:r>
      <w:r>
        <w:tab/>
      </w:r>
      <w:r w:rsidRPr="003C5007">
        <w:t>An example of a household end is the use demand for heat. This can be met using different technologies which use different fuels including coal, electricity or natural gas.</w:t>
      </w:r>
    </w:p>
  </w:footnote>
  <w:footnote w:id="2">
    <w:p w14:paraId="6896FF93" w14:textId="49A39E11" w:rsidR="004B0BF3" w:rsidRPr="003C5007" w:rsidRDefault="004B0BF3" w:rsidP="0035219A">
      <w:pPr>
        <w:pStyle w:val="FootnoteText"/>
        <w:tabs>
          <w:tab w:val="left" w:pos="360"/>
        </w:tabs>
        <w:ind w:left="360" w:hanging="360"/>
      </w:pPr>
      <w:r w:rsidRPr="003C5007">
        <w:rPr>
          <w:rStyle w:val="FootnoteReference"/>
        </w:rPr>
        <w:footnoteRef/>
      </w:r>
      <w:r>
        <w:tab/>
      </w:r>
      <w:r w:rsidRPr="003C5007">
        <w:t>The 2012 energy balance from the Department of Energy (DoE) is used as the starting point for the energy balance used in SATIM and to hybridize the SAM. The DoE energy balance is enhanced with more accurate primary data which is either missing from or miscategorised in the official energy balance.</w:t>
      </w:r>
    </w:p>
  </w:footnote>
  <w:footnote w:id="3">
    <w:p w14:paraId="70BAE92D" w14:textId="15AD6FF1" w:rsidR="004B0BF3" w:rsidRDefault="004B0BF3">
      <w:pPr>
        <w:pStyle w:val="FootnoteText"/>
      </w:pPr>
      <w:r>
        <w:rPr>
          <w:rStyle w:val="FootnoteReference"/>
        </w:rPr>
        <w:footnoteRef/>
      </w:r>
      <w:r>
        <w:tab/>
        <w:t>Note that the import vs domestic refining result is sensitive to a wide range of other assumptions, which are not the focus of this current paper. These include assumed cost for the EURO IV upgrade, the global refinery margins, etc. However, if products were not imported, crude oil would have to be imported instead, as South Africa currently does not have known sizeable economically accessible crude reserves.</w:t>
      </w:r>
    </w:p>
  </w:footnote>
  <w:footnote w:id="4">
    <w:p w14:paraId="032F7C87" w14:textId="5A255E01" w:rsidR="004B0BF3" w:rsidRDefault="004B0BF3">
      <w:pPr>
        <w:pStyle w:val="FootnoteText"/>
      </w:pPr>
      <w:r>
        <w:rPr>
          <w:rStyle w:val="FootnoteReference"/>
        </w:rPr>
        <w:footnoteRef/>
      </w:r>
      <w:r>
        <w:tab/>
        <w:t xml:space="preserve">Note that the consumption of liquid fuels by households in Figure 15 is lower than that is shown in figure 12. This is because, in Figure 12, Passpriv also includes fuel purchases for use in cars by other agents than domestic households (e.g. companies, foreign tourists, and government.) The share of consumption of fuels by households is estimated to be around 80% of consumption of cars, based on the energy-calibrated SAM.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40496C" w14:textId="6ABC357B" w:rsidR="004B0BF3" w:rsidRDefault="004B0BF3">
    <w:r>
      <w:rPr>
        <w:noProof/>
        <w:lang w:val="en-GB" w:eastAsia="en-GB"/>
      </w:rPr>
      <mc:AlternateContent>
        <mc:Choice Requires="wps">
          <w:drawing>
            <wp:anchor distT="0" distB="0" distL="114300" distR="112395" simplePos="0" relativeHeight="2" behindDoc="1" locked="0" layoutInCell="1" allowOverlap="1" wp14:anchorId="305048D4" wp14:editId="46485C6D">
              <wp:simplePos x="0" y="0"/>
              <wp:positionH relativeFrom="column">
                <wp:posOffset>-909955</wp:posOffset>
              </wp:positionH>
              <wp:positionV relativeFrom="paragraph">
                <wp:posOffset>-466725</wp:posOffset>
              </wp:positionV>
              <wp:extent cx="7593330" cy="2487930"/>
              <wp:effectExtent l="0" t="0" r="9525" b="9525"/>
              <wp:wrapNone/>
              <wp:docPr id="1" name="Rectangle 40"/>
              <wp:cNvGraphicFramePr/>
              <a:graphic xmlns:a="http://schemas.openxmlformats.org/drawingml/2006/main">
                <a:graphicData uri="http://schemas.microsoft.com/office/word/2010/wordprocessingShape">
                  <wps:wsp>
                    <wps:cNvSpPr/>
                    <wps:spPr>
                      <a:xfrm>
                        <a:off x="0" y="0"/>
                        <a:ext cx="7592760" cy="2487240"/>
                      </a:xfrm>
                      <a:prstGeom prst="rect">
                        <a:avLst/>
                      </a:prstGeom>
                      <a:solidFill>
                        <a:srgbClr val="789B48"/>
                      </a:solidFill>
                      <a:ln>
                        <a:noFill/>
                      </a:ln>
                    </wps:spPr>
                    <wps:style>
                      <a:lnRef idx="0">
                        <a:scrgbClr r="0" g="0" b="0"/>
                      </a:lnRef>
                      <a:fillRef idx="0">
                        <a:scrgbClr r="0" g="0" b="0"/>
                      </a:fillRef>
                      <a:effectRef idx="0">
                        <a:scrgbClr r="0" g="0" b="0"/>
                      </a:effectRef>
                      <a:fontRef idx="minor"/>
                    </wps:style>
                    <wps:bodyPr/>
                  </wps:wsp>
                </a:graphicData>
              </a:graphic>
            </wp:anchor>
          </w:drawing>
        </mc:Choice>
        <mc:Fallback>
          <w:pict>
            <v:rect w14:anchorId="57CB564B" id="Rectangle 40" o:spid="_x0000_s1026" style="position:absolute;margin-left:-71.65pt;margin-top:-36.75pt;width:597.9pt;height:195.9pt;z-index:-503316478;visibility:visible;mso-wrap-style:square;mso-wrap-distance-left:9pt;mso-wrap-distance-top:0;mso-wrap-distance-right:8.85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" fillcolor="#789b48" stroked="f"/>
          </w:pict>
        </mc:Fallback>
      </mc:AlternateContent>
    </w:r>
    <w:r>
      <w:rPr>
        <w:noProof/>
        <w:lang w:val="en-GB" w:eastAsia="en-GB"/>
      </w:rPr>
      <mc:AlternateContent>
        <mc:Choice Requires="wps">
          <w:drawing>
            <wp:anchor distT="0" distB="0" distL="114300" distR="114300" simplePos="0" relativeHeight="5" behindDoc="1" locked="0" layoutInCell="1" allowOverlap="1" wp14:anchorId="03D14AB6" wp14:editId="07777777">
              <wp:simplePos x="0" y="0"/>
              <wp:positionH relativeFrom="column">
                <wp:posOffset>530225</wp:posOffset>
              </wp:positionH>
              <wp:positionV relativeFrom="paragraph">
                <wp:posOffset>111125</wp:posOffset>
              </wp:positionV>
              <wp:extent cx="4472940" cy="807720"/>
              <wp:effectExtent l="0" t="0" r="0" b="0"/>
              <wp:wrapNone/>
              <wp:docPr id="2" name="Text Box 8"/>
              <wp:cNvGraphicFramePr/>
              <a:graphic xmlns:a="http://schemas.openxmlformats.org/drawingml/2006/main">
                <a:graphicData uri="http://schemas.microsoft.com/office/word/2010/wordprocessingShape">
                  <wps:wsp>
                    <wps:cNvSpPr/>
                    <wps:spPr>
                      <a:xfrm>
                        <a:off x="0" y="0"/>
                        <a:ext cx="4472280" cy="807120"/>
                      </a:xfrm>
                      <a:prstGeom prst="rect">
                        <a:avLst/>
                      </a:prstGeom>
                      <a:noFill/>
                      <a:ln w="6480">
                        <a:noFill/>
                      </a:ln>
                    </wps:spPr>
                    <wps:style>
                      <a:lnRef idx="0">
                        <a:scrgbClr r="0" g="0" b="0"/>
                      </a:lnRef>
                      <a:fillRef idx="0">
                        <a:scrgbClr r="0" g="0" b="0"/>
                      </a:fillRef>
                      <a:effectRef idx="0">
                        <a:scrgbClr r="0" g="0" b="0"/>
                      </a:effectRef>
                      <a:fontRef idx="minor"/>
                    </wps:style>
                    <wps:txbx>
                      <w:txbxContent>
                        <w:p w14:paraId="70527CC8" w14:textId="77777777" w:rsidR="004B0BF3" w:rsidRDefault="004B0BF3">
                          <w:pPr>
                            <w:pStyle w:val="FrameContents"/>
                            <w:jc w:val="left"/>
                            <w:rPr>
                              <w:rFonts w:ascii="Cambria" w:hAnsi="Cambria"/>
                              <w:color w:val="FFFFFF" w:themeColor="background1"/>
                              <w:sz w:val="48"/>
                            </w:rPr>
                          </w:pPr>
                          <w:r>
                            <w:rPr>
                              <w:rFonts w:ascii="Cambria" w:hAnsi="Cambria"/>
                              <w:color w:val="FFFFFF" w:themeColor="background1"/>
                              <w:sz w:val="48"/>
                            </w:rPr>
                            <w:t>Towards Inclusive Economic Development in Southern Africa</w:t>
                          </w:r>
                        </w:p>
                      </w:txbxContent>
                    </wps:txbx>
                    <wps:bodyPr>
                      <a:prstTxWarp prst="textNoShape">
                        <a:avLst/>
                      </a:prstTxWarp>
                      <a:noAutofit/>
                    </wps:bodyPr>
                  </wps:wsp>
                </a:graphicData>
              </a:graphic>
            </wp:anchor>
          </w:drawing>
        </mc:Choice>
        <mc:Fallback>
          <w:pict>
            <v:rect w14:anchorId="03D14AB6" id="Text Box 8" o:spid="_x0000_s1026" style="position:absolute;left:0;text-align:left;margin-left:41.75pt;margin-top:8.75pt;width:352.2pt;height:63.6pt;z-index:-503316475;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" filled="f" stroked="f" strokeweight=".18mm">
              <v:textbox>
                <w:txbxContent>
                  <w:p w14:paraId="70527CC8" w14:textId="77777777" w:rsidR="004B0BF3" w:rsidRDefault="004B0BF3">
                    <w:pPr>
                      <w:pStyle w:val="FrameContents"/>
                      <w:jc w:val="left"/>
                      <w:rPr>
                        <w:rFonts w:ascii="Cambria" w:hAnsi="Cambria"/>
                        <w:color w:val="FFFFFF" w:themeColor="background1"/>
                        <w:sz w:val="48"/>
                      </w:rPr>
                    </w:pPr>
                    <w:r>
                      <w:rPr>
                        <w:rFonts w:ascii="Cambria" w:hAnsi="Cambria"/>
                        <w:color w:val="FFFFFF" w:themeColor="background1"/>
                        <w:sz w:val="48"/>
                      </w:rPr>
                      <w:t>Towards Inclusive Economic Development in Southern Africa</w:t>
                    </w:r>
                  </w:p>
                </w:txbxContent>
              </v:textbox>
            </v:rect>
          </w:pict>
        </mc:Fallback>
      </mc:AlternateContent>
    </w:r>
    <w:r>
      <w:rPr>
        <w:noProof/>
        <w:lang w:val="en-GB" w:eastAsia="en-GB"/>
      </w:rPr>
      <w:drawing>
        <wp:anchor distT="0" distB="0" distL="114300" distR="114300" simplePos="0" relativeHeight="6" behindDoc="0" locked="0" layoutInCell="1" allowOverlap="1" wp14:anchorId="0518073E" wp14:editId="07777777">
          <wp:simplePos x="0" y="0"/>
          <wp:positionH relativeFrom="column">
            <wp:posOffset>-231775</wp:posOffset>
          </wp:positionH>
          <wp:positionV relativeFrom="paragraph">
            <wp:posOffset>144145</wp:posOffset>
          </wp:positionV>
          <wp:extent cx="582295" cy="955675"/>
          <wp:effectExtent l="0" t="0" r="0" b="0"/>
          <wp:wrapTight wrapText="bothSides">
            <wp:wrapPolygon edited="0">
              <wp:start x="1768" y="276"/>
              <wp:lineTo x="1297" y="1136"/>
              <wp:lineTo x="1297" y="20841"/>
              <wp:lineTo x="19767" y="20841"/>
              <wp:lineTo x="19767" y="1422"/>
              <wp:lineTo x="19295" y="276"/>
              <wp:lineTo x="1768" y="276"/>
            </wp:wrapPolygon>
          </wp:wrapTight>
          <wp:docPr id="4"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3"/>
                  <pic:cNvPicPr>
                    <a:picLocks noChangeAspect="1" noChangeArrowheads="1"/>
                  </pic:cNvPicPr>
                </pic:nvPicPr>
                <pic:blipFill>
                  <a:blip r:embed="rId1"/>
                  <a:stretch>
                    <a:fillRect/>
                  </a:stretch>
                </pic:blipFill>
                <pic:spPr bwMode="auto">
                  <a:xfrm>
                    <a:off x="0" y="0"/>
                    <a:ext cx="582295" cy="955675"/>
                  </a:xfrm>
                  <a:prstGeom prst="rect">
                    <a:avLst/>
                  </a:prstGeom>
                </pic:spPr>
              </pic:pic>
            </a:graphicData>
          </a:graphic>
        </wp:anchor>
      </w:drawing>
    </w:r>
  </w:p>
  <w:p w14:paraId="44EAFD9C" w14:textId="114F91EB" w:rsidR="004B0BF3" w:rsidRDefault="004B0BF3"/>
  <w:p w14:paraId="4B94D5A5" w14:textId="77777777" w:rsidR="004B0BF3" w:rsidRDefault="004B0BF3">
    <w:r>
      <w:tab/>
    </w:r>
  </w:p>
  <w:p w14:paraId="3DEEC669" w14:textId="77777777" w:rsidR="004B0BF3" w:rsidRDefault="004B0BF3"/>
  <w:p w14:paraId="3656B9AB" w14:textId="77777777" w:rsidR="004B0BF3" w:rsidRDefault="004B0BF3"/>
  <w:p w14:paraId="45FB0818" w14:textId="32CF761B" w:rsidR="004B0BF3" w:rsidRDefault="004B0BF3"/>
  <w:p w14:paraId="5E5C47F0" w14:textId="515CAC70" w:rsidR="004B0BF3" w:rsidRDefault="004B0BF3">
    <w:r>
      <w:rPr>
        <w:noProof/>
        <w:lang w:val="en-GB" w:eastAsia="en-GB"/>
      </w:rPr>
      <mc:AlternateContent>
        <mc:Choice Requires="wps">
          <w:drawing>
            <wp:anchor distT="0" distB="0" distL="114300" distR="114300" simplePos="0" relativeHeight="251659264" behindDoc="0" locked="0" layoutInCell="1" allowOverlap="1" wp14:anchorId="4EB7A6CF" wp14:editId="68B9C00A">
              <wp:simplePos x="0" y="0"/>
              <wp:positionH relativeFrom="column">
                <wp:posOffset>3509819</wp:posOffset>
              </wp:positionH>
              <wp:positionV relativeFrom="paragraph">
                <wp:posOffset>64596</wp:posOffset>
              </wp:positionV>
              <wp:extent cx="2811780" cy="288290"/>
              <wp:effectExtent l="0" t="0" r="0" b="0"/>
              <wp:wrapNone/>
              <wp:docPr id="25" name="Text Box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11780" cy="2882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C6E8CCA" w14:textId="4B3A7FAC" w:rsidR="004B0BF3" w:rsidRPr="00A20AF8" w:rsidRDefault="004B0BF3" w:rsidP="00EA50D3">
                          <w:pPr>
                            <w:rPr>
                              <w:rFonts w:ascii="Arial" w:hAnsi="Arial" w:cs="Arial"/>
                            </w:rPr>
                          </w:pPr>
                          <w:r>
                            <w:rPr>
                              <w:rFonts w:ascii="Arial" w:hAnsi="Arial" w:cs="Arial"/>
                            </w:rPr>
                            <w:t>SA-TIED | Working Paper # | March 2020</w:t>
                          </w:r>
                        </w:p>
                        <w:p w14:paraId="581BED95" w14:textId="77777777" w:rsidR="004B0BF3" w:rsidRPr="008C7E01" w:rsidRDefault="00DA28B2" w:rsidP="00EA50D3">
                          <w:pPr>
                            <w:rPr>
                              <w:color w:val="FFFFFF" w:themeColor="background1"/>
                            </w:rPr>
                          </w:pPr>
                          <w:sdt>
                            <w:sdtPr>
                              <w:rPr>
                                <w:rFonts w:ascii="Cambria Math" w:hAnsi="Cambria Math"/>
                                <w:i/>
                                <w:color w:val="FFFFFF" w:themeColor="background1"/>
                              </w:rPr>
                              <w:id w:val="580263417"/>
                              <w:temporary/>
                              <w:showingPlcHdr/>
                              <w:equation/>
                            </w:sdtPr>
                            <w:sdtEndPr/>
                            <w:sdtContent>
                              <m:oMathPara>
                                <m:oMathParaPr>
                                  <m:jc m:val="left"/>
                                </m:oMathParaPr>
                                <m:oMath>
                                  <m:r>
                                    <m:rPr>
                                      <m:sty m:val="p"/>
                                    </m:rPr>
                                    <w:rPr>
                                      <w:rFonts w:ascii="Cambria Math" w:hAnsi="Cambria Math"/>
                                    </w:rPr>
                                    <m:t>Type equation here.</m:t>
                                  </m:r>
                                </m:oMath>
                              </m:oMathPara>
                            </w:sdtContent>
                          </w:sdt>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EB7A6CF" id="_x0000_t202" coordsize="21600,21600" o:spt="202" path="m,l,21600r21600,l21600,xe">
              <v:stroke joinstyle="miter"/>
              <v:path gradientshapeok="t" o:connecttype="rect"/>
            </v:shapetype>
            <v:shape id="Text Box 44" o:spid="_x0000_s1027" type="#_x0000_t202" style="position:absolute;left:0;text-align:left;margin-left:276.35pt;margin-top:5.1pt;width:221.4pt;height:22.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" filled="f" stroked="f">
              <v:textbox>
                <w:txbxContent>
                  <w:p w14:paraId="1C6E8CCA" w14:textId="4B3A7FAC" w:rsidR="004B0BF3" w:rsidRPr="00A20AF8" w:rsidRDefault="004B0BF3" w:rsidP="00EA50D3">
                    <w:pPr>
                      <w:rPr>
                        <w:rFonts w:ascii="Arial" w:hAnsi="Arial" w:cs="Arial"/>
                      </w:rPr>
                    </w:pPr>
                    <w:r>
                      <w:rPr>
                        <w:rFonts w:ascii="Arial" w:hAnsi="Arial" w:cs="Arial"/>
                      </w:rPr>
                      <w:t>SA-TIED | Working Paper # | March 2020</w:t>
                    </w:r>
                  </w:p>
                  <w:p w14:paraId="581BED95" w14:textId="77777777" w:rsidR="004B0BF3" w:rsidRPr="008C7E01" w:rsidRDefault="00711A0A" w:rsidP="00EA50D3">
                    <w:pPr>
                      <w:rPr>
                        <w:color w:val="FFFFFF" w:themeColor="background1"/>
                      </w:rPr>
                    </w:pPr>
                    <w:sdt>
                      <w:sdtPr>
                        <w:rPr>
                          <w:rFonts w:ascii="Cambria Math" w:hAnsi="Cambria Math"/>
                          <w:i/>
                          <w:color w:val="FFFFFF" w:themeColor="background1"/>
                        </w:rPr>
                        <w:id w:val="580263417"/>
                        <w:temporary/>
                        <w:showingPlcHdr/>
                        <w:equation/>
                      </w:sdtPr>
                      <w:sdtEndPr/>
                      <w:sdtContent>
                        <m:oMathPara>
                          <m:oMathParaPr>
                            <m:jc m:val="left"/>
                          </m:oMathParaPr>
                          <m:oMath>
                            <m:r>
                              <m:rPr>
                                <m:sty m:val="p"/>
                              </m:rPr>
                              <w:rPr>
                                <w:rFonts w:ascii="Cambria Math" w:hAnsi="Cambria Math"/>
                              </w:rPr>
                              <m:t>Type equation here.</m:t>
                            </m:r>
                          </m:oMath>
                        </m:oMathPara>
                      </w:sdtContent>
                    </w:sdt>
                  </w:p>
                </w:txbxContent>
              </v:textbox>
            </v:shape>
          </w:pict>
        </mc:Fallback>
      </mc:AlternateContent>
    </w:r>
    <w:r>
      <w:rPr>
        <w:noProof/>
        <w:lang w:val="en-GB" w:eastAsia="en-GB"/>
      </w:rPr>
      <mc:AlternateContent>
        <mc:Choice Requires="wps">
          <w:drawing>
            <wp:anchor distT="0" distB="0" distL="114300" distR="114300" simplePos="0" relativeHeight="3" behindDoc="1" locked="0" layoutInCell="1" allowOverlap="1" wp14:anchorId="01D36530" wp14:editId="5955C3E5">
              <wp:simplePos x="0" y="0"/>
              <wp:positionH relativeFrom="column">
                <wp:posOffset>3552190</wp:posOffset>
              </wp:positionH>
              <wp:positionV relativeFrom="paragraph">
                <wp:posOffset>88900</wp:posOffset>
              </wp:positionV>
              <wp:extent cx="2813685" cy="290195"/>
              <wp:effectExtent l="0" t="0" r="0" b="0"/>
              <wp:wrapNone/>
              <wp:docPr id="5" name="Text Box 44"/>
              <wp:cNvGraphicFramePr/>
              <a:graphic xmlns:a="http://schemas.openxmlformats.org/drawingml/2006/main">
                <a:graphicData uri="http://schemas.microsoft.com/office/word/2010/wordprocessingShape">
                  <wps:wsp>
                    <wps:cNvSpPr/>
                    <wps:spPr>
                      <a:xfrm>
                        <a:off x="0" y="0"/>
                        <a:ext cx="2813040" cy="289440"/>
                      </a:xfrm>
                      <a:prstGeom prst="rect">
                        <a:avLst/>
                      </a:prstGeom>
                      <a:noFill/>
                      <a:ln>
                        <a:noFill/>
                      </a:ln>
                    </wps:spPr>
                    <wps:style>
                      <a:lnRef idx="0">
                        <a:scrgbClr r="0" g="0" b="0"/>
                      </a:lnRef>
                      <a:fillRef idx="0">
                        <a:scrgbClr r="0" g="0" b="0"/>
                      </a:fillRef>
                      <a:effectRef idx="0">
                        <a:scrgbClr r="0" g="0" b="0"/>
                      </a:effectRef>
                      <a:fontRef idx="minor"/>
                    </wps:style>
                    <wps:txbx>
                      <w:txbxContent>
                        <w:p w14:paraId="7142C697" w14:textId="0099D5D7" w:rsidR="004B0BF3" w:rsidRDefault="004B0BF3">
                          <w:pPr>
                            <w:pStyle w:val="FrameContents"/>
                            <w:rPr>
                              <w:rFonts w:ascii="Arial" w:hAnsi="Arial" w:cs="Arial"/>
                            </w:rPr>
                          </w:pPr>
                          <w:r>
                            <w:rPr>
                              <w:rFonts w:ascii="Arial" w:hAnsi="Arial" w:cs="Arial"/>
                              <w:color w:val="000000"/>
                            </w:rPr>
                            <w:t xml:space="preserve">SA-TIED | Working Paper # | </w:t>
                          </w:r>
                          <w:r w:rsidRPr="00BF4DC0">
                            <w:rPr>
                              <w:rFonts w:ascii="Arial" w:hAnsi="Arial" w:cs="Arial"/>
                              <w:color w:val="000000"/>
                              <w:highlight w:val="yellow"/>
                            </w:rPr>
                            <w:t>xx</w:t>
                          </w:r>
                          <w:r>
                            <w:rPr>
                              <w:rFonts w:ascii="Arial" w:hAnsi="Arial" w:cs="Arial"/>
                              <w:color w:val="000000"/>
                            </w:rPr>
                            <w:t>x 2020</w:t>
                          </w:r>
                        </w:p>
                        <w:sdt>
                          <w:sdtPr>
                            <w:id w:val="1447718276"/>
                            <w:temporary/>
                            <w:equation/>
                          </w:sdtPr>
                          <w:sdtEndPr/>
                          <w:sdtContent>
                            <w:p w14:paraId="3CB92B69" w14:textId="77777777" w:rsidR="004B0BF3" w:rsidRDefault="004B0BF3">
                              <w:pPr>
                                <w:pStyle w:val="FrameContents"/>
                                <w:rPr>
                                  <w:color w:val="FFFFFF" w:themeColor="background1"/>
                                </w:rPr>
                              </w:pPr>
                              <m:oMath>
                                <m:r>
                                  <m:rPr>
                                    <m:sty m:val="p"/>
                                  </m:rPr>
                                  <w:rPr>
                                    <w:rFonts w:ascii="Cambria Math" w:hAnsi="Cambria Math"/>
                                  </w:rPr>
                                  <m:t>Typeequationhere.</m:t>
                                </m:r>
                              </m:oMath>
                            </w:p>
                          </w:sdtContent>
                        </w:sdt>
                      </w:txbxContent>
                    </wps:txbx>
                    <wps:bodyPr>
                      <a:noAutofit/>
                    </wps:bodyPr>
                  </wps:wsp>
                </a:graphicData>
              </a:graphic>
            </wp:anchor>
          </w:drawing>
        </mc:Choice>
        <mc:Fallback>
          <w:pict>
            <v:rect w14:anchorId="01D36530" id="_x0000_s1028" style="position:absolute;left:0;text-align:left;margin-left:279.7pt;margin-top:7pt;width:221.55pt;height:22.85pt;z-index:-503316477;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" filled="f" stroked="f">
              <v:textbox>
                <w:txbxContent>
                  <w:p w14:paraId="7142C697" w14:textId="0099D5D7" w:rsidR="004B0BF3" w:rsidRDefault="004B0BF3">
                    <w:pPr>
                      <w:pStyle w:val="FrameContents"/>
                      <w:rPr>
                        <w:rFonts w:ascii="Arial" w:hAnsi="Arial" w:cs="Arial"/>
                      </w:rPr>
                    </w:pPr>
                    <w:r>
                      <w:rPr>
                        <w:rFonts w:ascii="Arial" w:hAnsi="Arial" w:cs="Arial"/>
                        <w:color w:val="000000"/>
                      </w:rPr>
                      <w:t xml:space="preserve">SA-TIED | Working Paper # | </w:t>
                    </w:r>
                    <w:r w:rsidRPr="00BF4DC0">
                      <w:rPr>
                        <w:rFonts w:ascii="Arial" w:hAnsi="Arial" w:cs="Arial"/>
                        <w:color w:val="000000"/>
                        <w:highlight w:val="yellow"/>
                      </w:rPr>
                      <w:t>xx</w:t>
                    </w:r>
                    <w:r>
                      <w:rPr>
                        <w:rFonts w:ascii="Arial" w:hAnsi="Arial" w:cs="Arial"/>
                        <w:color w:val="000000"/>
                      </w:rPr>
                      <w:t>x 2020</w:t>
                    </w:r>
                  </w:p>
                  <w:sdt>
                    <w:sdtPr>
                      <w:id w:val="1447718276"/>
                      <w:temporary/>
                      <w:equation/>
                    </w:sdtPr>
                    <w:sdtEndPr/>
                    <w:sdtContent>
                      <w:p w14:paraId="3CB92B69" w14:textId="77777777" w:rsidR="004B0BF3" w:rsidRDefault="004B0BF3">
                        <w:pPr>
                          <w:pStyle w:val="FrameContents"/>
                          <w:rPr>
                            <w:color w:val="FFFFFF" w:themeColor="background1"/>
                          </w:rPr>
                        </w:pPr>
                        <m:oMath>
                          <m:r>
                            <m:rPr>
                              <m:sty m:val="p"/>
                            </m:rPr>
                            <w:rPr>
                              <w:rFonts w:ascii="Cambria Math" w:hAnsi="Cambria Math"/>
                            </w:rPr>
                            <m:t>Typeequationhere.</m:t>
                          </m:r>
                        </m:oMath>
                      </w:p>
                    </w:sdtContent>
                  </w:sdt>
                </w:txbxContent>
              </v:textbox>
            </v:rect>
          </w:pict>
        </mc:Fallback>
      </mc:AlternateContent>
    </w:r>
    <w:r>
      <w:rPr>
        <w:noProof/>
        <w:lang w:val="en-GB" w:eastAsia="en-GB"/>
      </w:rPr>
      <mc:AlternateContent>
        <mc:Choice Requires="wps">
          <w:drawing>
            <wp:anchor distT="0" distB="0" distL="114300" distR="112395" simplePos="0" relativeHeight="4" behindDoc="1" locked="0" layoutInCell="1" allowOverlap="1" wp14:anchorId="3E4C0086" wp14:editId="07777777">
              <wp:simplePos x="0" y="0"/>
              <wp:positionH relativeFrom="column">
                <wp:posOffset>-929005</wp:posOffset>
              </wp:positionH>
              <wp:positionV relativeFrom="paragraph">
                <wp:posOffset>34290</wp:posOffset>
              </wp:positionV>
              <wp:extent cx="7612380" cy="344805"/>
              <wp:effectExtent l="0" t="0" r="9525" b="0"/>
              <wp:wrapNone/>
              <wp:docPr id="7" name="Rectangle 42"/>
              <wp:cNvGraphicFramePr/>
              <a:graphic xmlns:a="http://schemas.openxmlformats.org/drawingml/2006/main">
                <a:graphicData uri="http://schemas.microsoft.com/office/word/2010/wordprocessingShape">
                  <wps:wsp>
                    <wps:cNvSpPr/>
                    <wps:spPr>
                      <a:xfrm>
                        <a:off x="0" y="0"/>
                        <a:ext cx="7611840" cy="344160"/>
                      </a:xfrm>
                      <a:prstGeom prst="rect">
                        <a:avLst/>
                      </a:prstGeom>
                      <a:solidFill>
                        <a:srgbClr val="435464"/>
                      </a:solidFill>
                      <a:ln>
                        <a:noFill/>
                      </a:ln>
                    </wps:spPr>
                    <wps:style>
                      <a:lnRef idx="0">
                        <a:scrgbClr r="0" g="0" b="0"/>
                      </a:lnRef>
                      <a:fillRef idx="0">
                        <a:scrgbClr r="0" g="0" b="0"/>
                      </a:fillRef>
                      <a:effectRef idx="0">
                        <a:scrgbClr r="0" g="0" b="0"/>
                      </a:effectRef>
                      <a:fontRef idx="minor"/>
                    </wps:style>
                    <wps:bodyPr/>
                  </wps:wsp>
                </a:graphicData>
              </a:graphic>
            </wp:anchor>
          </w:drawing>
        </mc:Choice>
        <mc:Fallback>
          <w:pict>
            <v:rect w14:anchorId="06B05800" id="Rectangle 42" o:spid="_x0000_s1026" style="position:absolute;margin-left:-73.15pt;margin-top:2.7pt;width:599.4pt;height:27.15pt;z-index:-503316476;visibility:visible;mso-wrap-style:square;mso-wrap-distance-left:9pt;mso-wrap-distance-top:0;mso-wrap-distance-right:8.85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" fillcolor="#435464" stroked="f"/>
          </w:pict>
        </mc:Fallback>
      </mc:AlternateContent>
    </w:r>
  </w:p>
  <w:p w14:paraId="049F31CB" w14:textId="5FFEA1A0" w:rsidR="004B0BF3" w:rsidRDefault="004B0BF3"/>
  <w:p w14:paraId="53128261" w14:textId="63284E1E" w:rsidR="004B0BF3" w:rsidRDefault="004B0BF3">
    <w:r>
      <w:tab/>
    </w:r>
  </w:p>
  <w:p w14:paraId="62486C05" w14:textId="77777777" w:rsidR="004B0BF3" w:rsidRDefault="004B0BF3"/>
  <w:p w14:paraId="4101652C" w14:textId="77777777" w:rsidR="004B0BF3" w:rsidRDefault="004B0BF3"/>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99C43A" w14:textId="6EA1CBBE" w:rsidR="004B0BF3" w:rsidRPr="00180444" w:rsidRDefault="00180444" w:rsidP="00E136B9">
    <w:pPr>
      <w:pStyle w:val="Header"/>
      <w:tabs>
        <w:tab w:val="clear" w:pos="9781"/>
        <w:tab w:val="right" w:pos="9070"/>
      </w:tabs>
      <w:jc w:val="left"/>
    </w:pPr>
    <w:r w:rsidRPr="00E136B9">
      <w:rPr>
        <w:b w:val="0"/>
      </w:rPr>
      <w:t>Private transport and the socio-economic impacts of electric vehicles in Afric</w:t>
    </w:r>
    <w:r w:rsidR="004B0BF3" w:rsidRPr="00E136B9">
      <w:rPr>
        <w:b w:val="0"/>
        <w:noProof/>
      </w:rPr>
      <mc:AlternateContent>
        <mc:Choice Requires="wps">
          <w:drawing>
            <wp:anchor distT="0" distB="0" distL="114300" distR="114300" simplePos="0" relativeHeight="10" behindDoc="1" locked="0" layoutInCell="1" allowOverlap="1" wp14:anchorId="5C769440" wp14:editId="6C60DD8F">
              <wp:simplePos x="0" y="0"/>
              <wp:positionH relativeFrom="column">
                <wp:posOffset>-1150620</wp:posOffset>
              </wp:positionH>
              <wp:positionV relativeFrom="paragraph">
                <wp:posOffset>-487680</wp:posOffset>
              </wp:positionV>
              <wp:extent cx="7832090" cy="901700"/>
              <wp:effectExtent l="0" t="0" r="0" b="0"/>
              <wp:wrapNone/>
              <wp:docPr id="10" name="Rectangle 40"/>
              <wp:cNvGraphicFramePr/>
              <a:graphic xmlns:a="http://schemas.openxmlformats.org/drawingml/2006/main">
                <a:graphicData uri="http://schemas.microsoft.com/office/word/2010/wordprocessingShape">
                  <wps:wsp>
                    <wps:cNvSpPr/>
                    <wps:spPr>
                      <a:xfrm>
                        <a:off x="0" y="0"/>
                        <a:ext cx="7831440" cy="901080"/>
                      </a:xfrm>
                      <a:prstGeom prst="rect">
                        <a:avLst/>
                      </a:prstGeom>
                      <a:solidFill>
                        <a:schemeClr val="accent6">
                          <a:lumMod val="60000"/>
                          <a:lumOff val="40000"/>
                        </a:schemeClr>
                      </a:solidFill>
                      <a:ln>
                        <a:noFill/>
                      </a:ln>
                    </wps:spPr>
                    <wps:style>
                      <a:lnRef idx="0">
                        <a:scrgbClr r="0" g="0" b="0"/>
                      </a:lnRef>
                      <a:fillRef idx="0">
                        <a:scrgbClr r="0" g="0" b="0"/>
                      </a:fillRef>
                      <a:effectRef idx="0">
                        <a:scrgbClr r="0" g="0" b="0"/>
                      </a:effectRef>
                      <a:fontRef idx="minor"/>
                    </wps:style>
                    <wps:txbx>
                      <w:txbxContent>
                        <w:p w14:paraId="2CAC630E" w14:textId="77777777" w:rsidR="004B0BF3" w:rsidRPr="0035219A" w:rsidRDefault="004B0BF3" w:rsidP="0035219A">
                          <w:pPr>
                            <w:tabs>
                              <w:tab w:val="right" w:pos="10800"/>
                            </w:tabs>
                            <w:jc w:val="center"/>
                          </w:pPr>
                        </w:p>
                      </w:txbxContent>
                    </wps:txbx>
                    <wps:bodyPr/>
                  </wps:wsp>
                </a:graphicData>
              </a:graphic>
            </wp:anchor>
          </w:drawing>
        </mc:Choice>
        <mc:Fallback>
          <w:pict>
            <v:rect w14:anchorId="5C769440" id="Rectangle 40" o:spid="_x0000_s1029" style="position:absolute;left:0;text-align:left;margin-left:-90.6pt;margin-top:-38.4pt;width:616.7pt;height:71pt;z-index:-50331647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" fillcolor="#a8d08d [1945]" stroked="f">
              <v:textbox>
                <w:txbxContent>
                  <w:p w14:paraId="2CAC630E" w14:textId="77777777" w:rsidR="004B0BF3" w:rsidRPr="0035219A" w:rsidRDefault="004B0BF3" w:rsidP="0035219A">
                    <w:pPr>
                      <w:tabs>
                        <w:tab w:val="right" w:pos="10800"/>
                      </w:tabs>
                      <w:jc w:val="center"/>
                    </w:pPr>
                  </w:p>
                </w:txbxContent>
              </v:textbox>
            </v:rect>
          </w:pict>
        </mc:Fallback>
      </mc:AlternateContent>
    </w:r>
    <w:r w:rsidR="004B0BF3" w:rsidRPr="00E136B9">
      <w:rPr>
        <w:b w:val="0"/>
        <w:noProof/>
      </w:rPr>
      <w:drawing>
        <wp:anchor distT="0" distB="2540" distL="114300" distR="114300" simplePos="0" relativeHeight="13" behindDoc="1" locked="0" layoutInCell="1" allowOverlap="1" wp14:anchorId="1991A0B1" wp14:editId="07777777">
          <wp:simplePos x="0" y="0"/>
          <wp:positionH relativeFrom="column">
            <wp:posOffset>-33655</wp:posOffset>
          </wp:positionH>
          <wp:positionV relativeFrom="paragraph">
            <wp:posOffset>-396240</wp:posOffset>
          </wp:positionV>
          <wp:extent cx="381000" cy="626110"/>
          <wp:effectExtent l="0" t="0" r="0" b="0"/>
          <wp:wrapNone/>
          <wp:docPr id="23"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42"/>
                  <pic:cNvPicPr>
                    <a:picLocks noChangeAspect="1" noChangeArrowheads="1"/>
                  </pic:cNvPicPr>
                </pic:nvPicPr>
                <pic:blipFill>
                  <a:blip r:embed="rId1"/>
                  <a:stretch>
                    <a:fillRect/>
                  </a:stretch>
                </pic:blipFill>
                <pic:spPr bwMode="auto">
                  <a:xfrm>
                    <a:off x="0" y="0"/>
                    <a:ext cx="381000" cy="626110"/>
                  </a:xfrm>
                  <a:prstGeom prst="rect">
                    <a:avLst/>
                  </a:prstGeom>
                </pic:spPr>
              </pic:pic>
            </a:graphicData>
          </a:graphic>
        </wp:anchor>
      </w:drawing>
    </w:r>
    <w:r>
      <w:t xml:space="preserve">a </w:t>
    </w:r>
    <w:r>
      <w:tab/>
    </w:r>
    <w:r>
      <w:rPr>
        <w:noProof/>
      </w:rPr>
      <w:t>1</w:t>
    </w:r>
    <w:r w:rsidR="004B0BF3" w:rsidRPr="00180444">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47EEEBF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21AEF4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C414B33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FFCE213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A64E77F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B1C45D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1AC080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BDA4B0F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EFB6A2F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40ACC9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7A02E3"/>
    <w:multiLevelType w:val="multilevel"/>
    <w:tmpl w:val="CB7AA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56D6534"/>
    <w:multiLevelType w:val="hybridMultilevel"/>
    <w:tmpl w:val="A1ACB30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2" w15:restartNumberingAfterBreak="0">
    <w:nsid w:val="0AC66EC6"/>
    <w:multiLevelType w:val="multilevel"/>
    <w:tmpl w:val="C2F246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0EF92929"/>
    <w:multiLevelType w:val="multilevel"/>
    <w:tmpl w:val="860CFBDE"/>
    <w:lvl w:ilvl="0">
      <w:start w:val="1"/>
      <w:numFmt w:val="decimal"/>
      <w:lvlText w:val="%1."/>
      <w:lvlJc w:val="left"/>
      <w:pPr>
        <w:ind w:left="720" w:hanging="360"/>
      </w:pPr>
      <w:rPr>
        <w:rFonts w:hint="default"/>
      </w:rPr>
    </w:lvl>
    <w:lvl w:ilvl="1">
      <w:start w:val="3"/>
      <w:numFmt w:val="decimal"/>
      <w:isLgl/>
      <w:lvlText w:val="%1.%2"/>
      <w:lvlJc w:val="left"/>
      <w:pPr>
        <w:ind w:left="855" w:hanging="49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4" w15:restartNumberingAfterBreak="0">
    <w:nsid w:val="12C07AE5"/>
    <w:multiLevelType w:val="hybridMultilevel"/>
    <w:tmpl w:val="E76CA28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5" w15:restartNumberingAfterBreak="0">
    <w:nsid w:val="1B1939C6"/>
    <w:multiLevelType w:val="multilevel"/>
    <w:tmpl w:val="5AE8D46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none"/>
      <w:suff w:val="nothing"/>
      <w:lvlText w:val=""/>
      <w:lvlJc w:val="left"/>
      <w:pPr>
        <w:ind w:left="0" w:firstLine="0"/>
      </w:pPr>
    </w:lvl>
    <w:lvl w:ilvl="3">
      <w:start w:val="1"/>
      <w:numFmt w:val="decimal"/>
      <w:pStyle w:val="Heading4"/>
      <w:lvlText w:val="%1.%2.%4"/>
      <w:lvlJc w:val="left"/>
      <w:pPr>
        <w:ind w:left="864" w:hanging="864"/>
      </w:pPr>
    </w:lvl>
    <w:lvl w:ilvl="4">
      <w:start w:val="1"/>
      <w:numFmt w:val="decimal"/>
      <w:pStyle w:val="Heading5"/>
      <w:lvlText w:val="%1.%2.%4.%5"/>
      <w:lvlJc w:val="left"/>
      <w:pPr>
        <w:ind w:left="1008" w:hanging="1008"/>
      </w:pPr>
    </w:lvl>
    <w:lvl w:ilvl="5">
      <w:start w:val="1"/>
      <w:numFmt w:val="decimal"/>
      <w:pStyle w:val="Heading6"/>
      <w:lvlText w:val="%1.%2.%4.%5.%6"/>
      <w:lvlJc w:val="left"/>
      <w:pPr>
        <w:ind w:left="1152" w:hanging="1152"/>
      </w:pPr>
    </w:lvl>
    <w:lvl w:ilvl="6">
      <w:start w:val="1"/>
      <w:numFmt w:val="decimal"/>
      <w:pStyle w:val="Heading7"/>
      <w:lvlText w:val="%1.%2.%4.%5.%6.%7"/>
      <w:lvlJc w:val="left"/>
      <w:pPr>
        <w:ind w:left="1296" w:hanging="1296"/>
      </w:pPr>
    </w:lvl>
    <w:lvl w:ilvl="7">
      <w:start w:val="1"/>
      <w:numFmt w:val="none"/>
      <w:suff w:val="nothing"/>
      <w:lvlText w:val=""/>
      <w:lvlJc w:val="left"/>
      <w:pPr>
        <w:ind w:left="0" w:firstLine="0"/>
      </w:pPr>
    </w:lvl>
    <w:lvl w:ilvl="8">
      <w:start w:val="1"/>
      <w:numFmt w:val="decimal"/>
      <w:pStyle w:val="Heading9"/>
      <w:lvlText w:val="%1.%2.%4.%5.%6.%7.%9"/>
      <w:lvlJc w:val="left"/>
      <w:pPr>
        <w:ind w:left="1584" w:hanging="1584"/>
      </w:pPr>
    </w:lvl>
  </w:abstractNum>
  <w:abstractNum w:abstractNumId="16" w15:restartNumberingAfterBreak="0">
    <w:nsid w:val="3EC248F1"/>
    <w:multiLevelType w:val="hybridMultilevel"/>
    <w:tmpl w:val="487E65D2"/>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7" w15:restartNumberingAfterBreak="0">
    <w:nsid w:val="3EE356AF"/>
    <w:multiLevelType w:val="hybridMultilevel"/>
    <w:tmpl w:val="6568D4EE"/>
    <w:lvl w:ilvl="0" w:tplc="1C090001">
      <w:start w:val="1"/>
      <w:numFmt w:val="bullet"/>
      <w:lvlText w:val=""/>
      <w:lvlJc w:val="left"/>
      <w:pPr>
        <w:ind w:left="720" w:hanging="360"/>
      </w:pPr>
      <w:rPr>
        <w:rFonts w:ascii="Symbol" w:hAnsi="Symbol" w:hint="default"/>
      </w:rPr>
    </w:lvl>
    <w:lvl w:ilvl="1" w:tplc="5F0826BE">
      <w:numFmt w:val="bullet"/>
      <w:lvlText w:val="-"/>
      <w:lvlJc w:val="left"/>
      <w:pPr>
        <w:ind w:left="1644" w:hanging="564"/>
      </w:pPr>
      <w:rPr>
        <w:rFonts w:ascii="Calibri" w:eastAsiaTheme="minorHAnsi" w:hAnsi="Calibri" w:cs="Calibri"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8" w15:restartNumberingAfterBreak="0">
    <w:nsid w:val="40B93967"/>
    <w:multiLevelType w:val="hybridMultilevel"/>
    <w:tmpl w:val="CD084AD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9" w15:restartNumberingAfterBreak="0">
    <w:nsid w:val="4DC9634B"/>
    <w:multiLevelType w:val="multilevel"/>
    <w:tmpl w:val="0F7E9B88"/>
    <w:lvl w:ilvl="0">
      <w:start w:val="1"/>
      <w:numFmt w:val="bullet"/>
      <w:lvlText w:val=""/>
      <w:lvlJc w:val="left"/>
      <w:pPr>
        <w:ind w:left="720" w:hanging="360"/>
      </w:pPr>
      <w:rPr>
        <w:rFonts w:ascii="Symbol" w:hAnsi="Symbol" w:hint="default"/>
        <w:sz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5A50697E"/>
    <w:multiLevelType w:val="multilevel"/>
    <w:tmpl w:val="B956BB4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1" w15:restartNumberingAfterBreak="0">
    <w:nsid w:val="6B817FA2"/>
    <w:multiLevelType w:val="multilevel"/>
    <w:tmpl w:val="89C2709C"/>
    <w:lvl w:ilvl="0">
      <w:start w:val="1"/>
      <w:numFmt w:val="bullet"/>
      <w:lvlText w:val=""/>
      <w:lvlJc w:val="left"/>
      <w:pPr>
        <w:ind w:left="720" w:hanging="360"/>
      </w:pPr>
      <w:rPr>
        <w:rFonts w:ascii="Symbol" w:hAnsi="Symbol" w:hint="default"/>
        <w:sz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7E8A4F81"/>
    <w:multiLevelType w:val="hybridMultilevel"/>
    <w:tmpl w:val="B7BADE36"/>
    <w:lvl w:ilvl="0" w:tplc="E410DB8A">
      <w:start w:val="131"/>
      <w:numFmt w:val="decimal"/>
      <w:lvlText w:val="%1"/>
      <w:lvlJc w:val="left"/>
      <w:pPr>
        <w:ind w:left="720" w:hanging="360"/>
      </w:pPr>
      <w:rPr>
        <w:rFonts w:eastAsiaTheme="minorHAnsi" w:hint="default"/>
        <w:color w:val="auto"/>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abstractNumId w:val="15"/>
  </w:num>
  <w:num w:numId="2">
    <w:abstractNumId w:val="20"/>
  </w:num>
  <w:num w:numId="3">
    <w:abstractNumId w:val="14"/>
  </w:num>
  <w:num w:numId="4">
    <w:abstractNumId w:val="15"/>
  </w:num>
  <w:num w:numId="5">
    <w:abstractNumId w:val="15"/>
  </w:num>
  <w:num w:numId="6">
    <w:abstractNumId w:val="15"/>
  </w:num>
  <w:num w:numId="7">
    <w:abstractNumId w:val="15"/>
  </w:num>
  <w:num w:numId="8">
    <w:abstractNumId w:val="15"/>
  </w:num>
  <w:num w:numId="9">
    <w:abstractNumId w:val="17"/>
  </w:num>
  <w:num w:numId="10">
    <w:abstractNumId w:val="11"/>
  </w:num>
  <w:num w:numId="11">
    <w:abstractNumId w:val="16"/>
  </w:num>
  <w:num w:numId="12">
    <w:abstractNumId w:val="15"/>
  </w:num>
  <w:num w:numId="13">
    <w:abstractNumId w:val="15"/>
  </w:num>
  <w:num w:numId="14">
    <w:abstractNumId w:val="13"/>
  </w:num>
  <w:num w:numId="15">
    <w:abstractNumId w:val="15"/>
  </w:num>
  <w:num w:numId="16">
    <w:abstractNumId w:val="15"/>
  </w:num>
  <w:num w:numId="17">
    <w:abstractNumId w:val="15"/>
  </w:num>
  <w:num w:numId="18">
    <w:abstractNumId w:val="15"/>
  </w:num>
  <w:num w:numId="19">
    <w:abstractNumId w:val="15"/>
  </w:num>
  <w:num w:numId="20">
    <w:abstractNumId w:val="15"/>
  </w:num>
  <w:num w:numId="21">
    <w:abstractNumId w:val="15"/>
  </w:num>
  <w:num w:numId="22">
    <w:abstractNumId w:val="15"/>
  </w:num>
  <w:num w:numId="23">
    <w:abstractNumId w:val="15"/>
  </w:num>
  <w:num w:numId="24">
    <w:abstractNumId w:val="15"/>
  </w:num>
  <w:num w:numId="25">
    <w:abstractNumId w:val="10"/>
  </w:num>
  <w:num w:numId="26">
    <w:abstractNumId w:val="18"/>
  </w:num>
  <w:num w:numId="27">
    <w:abstractNumId w:val="12"/>
  </w:num>
  <w:num w:numId="28">
    <w:abstractNumId w:val="22"/>
  </w:num>
  <w:num w:numId="29">
    <w:abstractNumId w:val="15"/>
  </w:num>
  <w:num w:numId="30">
    <w:abstractNumId w:val="9"/>
  </w:num>
  <w:num w:numId="31">
    <w:abstractNumId w:val="7"/>
  </w:num>
  <w:num w:numId="32">
    <w:abstractNumId w:val="6"/>
  </w:num>
  <w:num w:numId="33">
    <w:abstractNumId w:val="5"/>
  </w:num>
  <w:num w:numId="34">
    <w:abstractNumId w:val="4"/>
  </w:num>
  <w:num w:numId="35">
    <w:abstractNumId w:val="8"/>
  </w:num>
  <w:num w:numId="36">
    <w:abstractNumId w:val="3"/>
  </w:num>
  <w:num w:numId="37">
    <w:abstractNumId w:val="2"/>
  </w:num>
  <w:num w:numId="38">
    <w:abstractNumId w:val="1"/>
  </w:num>
  <w:num w:numId="39">
    <w:abstractNumId w:val="0"/>
  </w:num>
  <w:num w:numId="40">
    <w:abstractNumId w:val="21"/>
  </w:num>
  <w:num w:numId="41">
    <w:abstractNumId w:val="1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Editor">
    <w15:presenceInfo w15:providerId="None" w15:userId="Edito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5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2BFDC72"/>
    <w:rsid w:val="000016A1"/>
    <w:rsid w:val="0000351B"/>
    <w:rsid w:val="0001737F"/>
    <w:rsid w:val="0001748C"/>
    <w:rsid w:val="00022A06"/>
    <w:rsid w:val="00025A14"/>
    <w:rsid w:val="0002682E"/>
    <w:rsid w:val="00026D85"/>
    <w:rsid w:val="000312FB"/>
    <w:rsid w:val="0003347E"/>
    <w:rsid w:val="00033859"/>
    <w:rsid w:val="00036161"/>
    <w:rsid w:val="00036376"/>
    <w:rsid w:val="00037AB4"/>
    <w:rsid w:val="00042024"/>
    <w:rsid w:val="00042239"/>
    <w:rsid w:val="00042B6D"/>
    <w:rsid w:val="00044D4B"/>
    <w:rsid w:val="000527A0"/>
    <w:rsid w:val="00057B66"/>
    <w:rsid w:val="0006096A"/>
    <w:rsid w:val="00063C9A"/>
    <w:rsid w:val="00066AA5"/>
    <w:rsid w:val="000678BC"/>
    <w:rsid w:val="00071262"/>
    <w:rsid w:val="00081AC5"/>
    <w:rsid w:val="00086A28"/>
    <w:rsid w:val="00093014"/>
    <w:rsid w:val="00094E1D"/>
    <w:rsid w:val="000A34FD"/>
    <w:rsid w:val="000A3905"/>
    <w:rsid w:val="000A416D"/>
    <w:rsid w:val="000B06B1"/>
    <w:rsid w:val="000B089E"/>
    <w:rsid w:val="000B17C1"/>
    <w:rsid w:val="000D0087"/>
    <w:rsid w:val="000D0C8E"/>
    <w:rsid w:val="000D5369"/>
    <w:rsid w:val="000D593E"/>
    <w:rsid w:val="000E01D8"/>
    <w:rsid w:val="000E31A1"/>
    <w:rsid w:val="000E370D"/>
    <w:rsid w:val="000F2CFC"/>
    <w:rsid w:val="000F7A9A"/>
    <w:rsid w:val="001028DC"/>
    <w:rsid w:val="00102C6D"/>
    <w:rsid w:val="00103A9C"/>
    <w:rsid w:val="00107E22"/>
    <w:rsid w:val="0011395E"/>
    <w:rsid w:val="00121C11"/>
    <w:rsid w:val="00122AC6"/>
    <w:rsid w:val="001256E3"/>
    <w:rsid w:val="00125DB4"/>
    <w:rsid w:val="001307F9"/>
    <w:rsid w:val="00131A16"/>
    <w:rsid w:val="00132306"/>
    <w:rsid w:val="001350ED"/>
    <w:rsid w:val="00136029"/>
    <w:rsid w:val="00136D7A"/>
    <w:rsid w:val="0014243B"/>
    <w:rsid w:val="0014500A"/>
    <w:rsid w:val="0015657F"/>
    <w:rsid w:val="00162D86"/>
    <w:rsid w:val="00165899"/>
    <w:rsid w:val="00166F5E"/>
    <w:rsid w:val="00167AD3"/>
    <w:rsid w:val="0017051E"/>
    <w:rsid w:val="00171CC8"/>
    <w:rsid w:val="00175C92"/>
    <w:rsid w:val="001761AC"/>
    <w:rsid w:val="00177390"/>
    <w:rsid w:val="00180444"/>
    <w:rsid w:val="00193652"/>
    <w:rsid w:val="00195AA0"/>
    <w:rsid w:val="00196113"/>
    <w:rsid w:val="001B0D40"/>
    <w:rsid w:val="001B2117"/>
    <w:rsid w:val="001B4475"/>
    <w:rsid w:val="001B5F7B"/>
    <w:rsid w:val="001C1DBB"/>
    <w:rsid w:val="001C20EC"/>
    <w:rsid w:val="001C30C6"/>
    <w:rsid w:val="001C39E4"/>
    <w:rsid w:val="001C4416"/>
    <w:rsid w:val="001C548B"/>
    <w:rsid w:val="001C62E1"/>
    <w:rsid w:val="001C6304"/>
    <w:rsid w:val="001D15AF"/>
    <w:rsid w:val="001D4331"/>
    <w:rsid w:val="001D56CF"/>
    <w:rsid w:val="001D7AFD"/>
    <w:rsid w:val="001F1601"/>
    <w:rsid w:val="001F61DD"/>
    <w:rsid w:val="0020095B"/>
    <w:rsid w:val="002030E4"/>
    <w:rsid w:val="0020371E"/>
    <w:rsid w:val="00206E5D"/>
    <w:rsid w:val="00214E21"/>
    <w:rsid w:val="00215F7E"/>
    <w:rsid w:val="00222400"/>
    <w:rsid w:val="00222EF1"/>
    <w:rsid w:val="002269F5"/>
    <w:rsid w:val="00237DA0"/>
    <w:rsid w:val="0024228C"/>
    <w:rsid w:val="00243AC9"/>
    <w:rsid w:val="0024729D"/>
    <w:rsid w:val="002473BD"/>
    <w:rsid w:val="0026679D"/>
    <w:rsid w:val="00267198"/>
    <w:rsid w:val="002700E5"/>
    <w:rsid w:val="0028592A"/>
    <w:rsid w:val="002912A7"/>
    <w:rsid w:val="002951DB"/>
    <w:rsid w:val="0029602C"/>
    <w:rsid w:val="002A2ABA"/>
    <w:rsid w:val="002A5157"/>
    <w:rsid w:val="002B014C"/>
    <w:rsid w:val="002B1EA8"/>
    <w:rsid w:val="002B5932"/>
    <w:rsid w:val="002B61D8"/>
    <w:rsid w:val="002C569E"/>
    <w:rsid w:val="002C6DB5"/>
    <w:rsid w:val="002C7B94"/>
    <w:rsid w:val="002D59AB"/>
    <w:rsid w:val="002D7548"/>
    <w:rsid w:val="002E075E"/>
    <w:rsid w:val="002E1999"/>
    <w:rsid w:val="002E6CF6"/>
    <w:rsid w:val="002E79F8"/>
    <w:rsid w:val="002F4D43"/>
    <w:rsid w:val="00307349"/>
    <w:rsid w:val="003107A8"/>
    <w:rsid w:val="00310A2E"/>
    <w:rsid w:val="00311E05"/>
    <w:rsid w:val="003123AD"/>
    <w:rsid w:val="003157FE"/>
    <w:rsid w:val="00317678"/>
    <w:rsid w:val="0032018A"/>
    <w:rsid w:val="00321C5A"/>
    <w:rsid w:val="00324065"/>
    <w:rsid w:val="00324926"/>
    <w:rsid w:val="00330692"/>
    <w:rsid w:val="003320CC"/>
    <w:rsid w:val="00335D6C"/>
    <w:rsid w:val="003367CC"/>
    <w:rsid w:val="00342C5E"/>
    <w:rsid w:val="00345740"/>
    <w:rsid w:val="00350E6E"/>
    <w:rsid w:val="0035219A"/>
    <w:rsid w:val="003534D5"/>
    <w:rsid w:val="003635D8"/>
    <w:rsid w:val="00373A4D"/>
    <w:rsid w:val="00384CC3"/>
    <w:rsid w:val="003916C6"/>
    <w:rsid w:val="003A0CF2"/>
    <w:rsid w:val="003A15FA"/>
    <w:rsid w:val="003A1EA4"/>
    <w:rsid w:val="003B5114"/>
    <w:rsid w:val="003C5007"/>
    <w:rsid w:val="003C55B0"/>
    <w:rsid w:val="003C66F5"/>
    <w:rsid w:val="003C6868"/>
    <w:rsid w:val="003C6B7B"/>
    <w:rsid w:val="003D113C"/>
    <w:rsid w:val="003D6A82"/>
    <w:rsid w:val="003E2D67"/>
    <w:rsid w:val="003E59CE"/>
    <w:rsid w:val="003F04D3"/>
    <w:rsid w:val="003F3106"/>
    <w:rsid w:val="003F400E"/>
    <w:rsid w:val="0040454B"/>
    <w:rsid w:val="00405435"/>
    <w:rsid w:val="00412F00"/>
    <w:rsid w:val="00414463"/>
    <w:rsid w:val="00414E7D"/>
    <w:rsid w:val="00424303"/>
    <w:rsid w:val="004322EE"/>
    <w:rsid w:val="00437DF0"/>
    <w:rsid w:val="00441FC4"/>
    <w:rsid w:val="00444489"/>
    <w:rsid w:val="00446453"/>
    <w:rsid w:val="00447311"/>
    <w:rsid w:val="0045354C"/>
    <w:rsid w:val="004648C0"/>
    <w:rsid w:val="004677A6"/>
    <w:rsid w:val="004679B0"/>
    <w:rsid w:val="004712F5"/>
    <w:rsid w:val="00471DF8"/>
    <w:rsid w:val="00471FBD"/>
    <w:rsid w:val="00472D48"/>
    <w:rsid w:val="00476528"/>
    <w:rsid w:val="00477CBE"/>
    <w:rsid w:val="00481F6A"/>
    <w:rsid w:val="004824BB"/>
    <w:rsid w:val="004828F1"/>
    <w:rsid w:val="00482B1C"/>
    <w:rsid w:val="00486C5D"/>
    <w:rsid w:val="004908D8"/>
    <w:rsid w:val="00496B65"/>
    <w:rsid w:val="004A4276"/>
    <w:rsid w:val="004A62E1"/>
    <w:rsid w:val="004A67F3"/>
    <w:rsid w:val="004B0BF3"/>
    <w:rsid w:val="004B0FC5"/>
    <w:rsid w:val="004B121A"/>
    <w:rsid w:val="004B7D47"/>
    <w:rsid w:val="004C6F28"/>
    <w:rsid w:val="004C7421"/>
    <w:rsid w:val="004D23DB"/>
    <w:rsid w:val="004D3D80"/>
    <w:rsid w:val="004D594C"/>
    <w:rsid w:val="004E4230"/>
    <w:rsid w:val="004E57DE"/>
    <w:rsid w:val="004E7D90"/>
    <w:rsid w:val="004F1780"/>
    <w:rsid w:val="004F439C"/>
    <w:rsid w:val="005008C5"/>
    <w:rsid w:val="00500B2C"/>
    <w:rsid w:val="005110D2"/>
    <w:rsid w:val="005112C3"/>
    <w:rsid w:val="0051350D"/>
    <w:rsid w:val="0052261E"/>
    <w:rsid w:val="005230B0"/>
    <w:rsid w:val="00527249"/>
    <w:rsid w:val="00530234"/>
    <w:rsid w:val="00530691"/>
    <w:rsid w:val="005361AC"/>
    <w:rsid w:val="005377FB"/>
    <w:rsid w:val="005440CF"/>
    <w:rsid w:val="00553C8B"/>
    <w:rsid w:val="00553E08"/>
    <w:rsid w:val="00554653"/>
    <w:rsid w:val="005614CD"/>
    <w:rsid w:val="00562BC6"/>
    <w:rsid w:val="00563C97"/>
    <w:rsid w:val="005651DE"/>
    <w:rsid w:val="00566C8E"/>
    <w:rsid w:val="00572199"/>
    <w:rsid w:val="00574F79"/>
    <w:rsid w:val="00577933"/>
    <w:rsid w:val="00580066"/>
    <w:rsid w:val="00582CC8"/>
    <w:rsid w:val="005920EE"/>
    <w:rsid w:val="005931A1"/>
    <w:rsid w:val="00594C0F"/>
    <w:rsid w:val="005A0C74"/>
    <w:rsid w:val="005A3C85"/>
    <w:rsid w:val="005B6B55"/>
    <w:rsid w:val="005C027C"/>
    <w:rsid w:val="005C24ED"/>
    <w:rsid w:val="005C4ADF"/>
    <w:rsid w:val="005C50E8"/>
    <w:rsid w:val="005C5D33"/>
    <w:rsid w:val="005C6FA5"/>
    <w:rsid w:val="005E0605"/>
    <w:rsid w:val="005E28F2"/>
    <w:rsid w:val="005E4B19"/>
    <w:rsid w:val="005E5730"/>
    <w:rsid w:val="005F4084"/>
    <w:rsid w:val="005F7F9B"/>
    <w:rsid w:val="006021B6"/>
    <w:rsid w:val="00605740"/>
    <w:rsid w:val="00605DF0"/>
    <w:rsid w:val="006130DB"/>
    <w:rsid w:val="0061395B"/>
    <w:rsid w:val="00630F47"/>
    <w:rsid w:val="00632E06"/>
    <w:rsid w:val="0063396A"/>
    <w:rsid w:val="0064077D"/>
    <w:rsid w:val="00643F35"/>
    <w:rsid w:val="00645040"/>
    <w:rsid w:val="00646AB8"/>
    <w:rsid w:val="00647212"/>
    <w:rsid w:val="00650D91"/>
    <w:rsid w:val="00651243"/>
    <w:rsid w:val="00652404"/>
    <w:rsid w:val="00652E66"/>
    <w:rsid w:val="00653101"/>
    <w:rsid w:val="00662B3A"/>
    <w:rsid w:val="00663098"/>
    <w:rsid w:val="006709CE"/>
    <w:rsid w:val="00672BE0"/>
    <w:rsid w:val="00676556"/>
    <w:rsid w:val="00676952"/>
    <w:rsid w:val="00685ABA"/>
    <w:rsid w:val="00685D31"/>
    <w:rsid w:val="0069329E"/>
    <w:rsid w:val="006948E0"/>
    <w:rsid w:val="00696179"/>
    <w:rsid w:val="00697E26"/>
    <w:rsid w:val="006A3D7B"/>
    <w:rsid w:val="006A6BD5"/>
    <w:rsid w:val="006A79CF"/>
    <w:rsid w:val="006B0A28"/>
    <w:rsid w:val="006B1E5B"/>
    <w:rsid w:val="006B600D"/>
    <w:rsid w:val="006B62AD"/>
    <w:rsid w:val="006B6CC1"/>
    <w:rsid w:val="006B72EA"/>
    <w:rsid w:val="006C2188"/>
    <w:rsid w:val="006C2203"/>
    <w:rsid w:val="006C6212"/>
    <w:rsid w:val="006D076B"/>
    <w:rsid w:val="006D3432"/>
    <w:rsid w:val="006D6B75"/>
    <w:rsid w:val="006E76DE"/>
    <w:rsid w:val="006F06AE"/>
    <w:rsid w:val="006F2CBC"/>
    <w:rsid w:val="007018E8"/>
    <w:rsid w:val="00704068"/>
    <w:rsid w:val="00705B70"/>
    <w:rsid w:val="00706A5F"/>
    <w:rsid w:val="00710D3D"/>
    <w:rsid w:val="00711A0A"/>
    <w:rsid w:val="007159AB"/>
    <w:rsid w:val="00722643"/>
    <w:rsid w:val="007234C9"/>
    <w:rsid w:val="0073056B"/>
    <w:rsid w:val="007308C5"/>
    <w:rsid w:val="00732974"/>
    <w:rsid w:val="00734969"/>
    <w:rsid w:val="007353A8"/>
    <w:rsid w:val="0073575D"/>
    <w:rsid w:val="00736AB8"/>
    <w:rsid w:val="00737F54"/>
    <w:rsid w:val="00742A8E"/>
    <w:rsid w:val="00744632"/>
    <w:rsid w:val="00751B11"/>
    <w:rsid w:val="0075425D"/>
    <w:rsid w:val="007556A4"/>
    <w:rsid w:val="00764D61"/>
    <w:rsid w:val="00770795"/>
    <w:rsid w:val="00773802"/>
    <w:rsid w:val="007769D4"/>
    <w:rsid w:val="0078063A"/>
    <w:rsid w:val="0078185F"/>
    <w:rsid w:val="007826E4"/>
    <w:rsid w:val="007878D8"/>
    <w:rsid w:val="0079014D"/>
    <w:rsid w:val="0079212C"/>
    <w:rsid w:val="00793F0F"/>
    <w:rsid w:val="00794565"/>
    <w:rsid w:val="007960AE"/>
    <w:rsid w:val="007A0279"/>
    <w:rsid w:val="007A26BD"/>
    <w:rsid w:val="007A3F61"/>
    <w:rsid w:val="007A4E38"/>
    <w:rsid w:val="007A5BBB"/>
    <w:rsid w:val="007C04BA"/>
    <w:rsid w:val="007C3E7E"/>
    <w:rsid w:val="007C3F39"/>
    <w:rsid w:val="007C5AF4"/>
    <w:rsid w:val="007D043C"/>
    <w:rsid w:val="007E190B"/>
    <w:rsid w:val="007E46F4"/>
    <w:rsid w:val="007F1BD7"/>
    <w:rsid w:val="007F3F0C"/>
    <w:rsid w:val="008059CF"/>
    <w:rsid w:val="0081650A"/>
    <w:rsid w:val="008204C0"/>
    <w:rsid w:val="00822E8C"/>
    <w:rsid w:val="00823C3F"/>
    <w:rsid w:val="008271CB"/>
    <w:rsid w:val="00827845"/>
    <w:rsid w:val="008320EA"/>
    <w:rsid w:val="008328A2"/>
    <w:rsid w:val="00840058"/>
    <w:rsid w:val="00841368"/>
    <w:rsid w:val="00844E42"/>
    <w:rsid w:val="00846F3E"/>
    <w:rsid w:val="0084738A"/>
    <w:rsid w:val="00851012"/>
    <w:rsid w:val="008532A7"/>
    <w:rsid w:val="00855560"/>
    <w:rsid w:val="00864C7A"/>
    <w:rsid w:val="00871F45"/>
    <w:rsid w:val="00872396"/>
    <w:rsid w:val="00874801"/>
    <w:rsid w:val="00881349"/>
    <w:rsid w:val="0088224E"/>
    <w:rsid w:val="00882A5A"/>
    <w:rsid w:val="00887666"/>
    <w:rsid w:val="00891752"/>
    <w:rsid w:val="00892D9F"/>
    <w:rsid w:val="0089646D"/>
    <w:rsid w:val="00896D13"/>
    <w:rsid w:val="008A2823"/>
    <w:rsid w:val="008A3BBC"/>
    <w:rsid w:val="008A4EC8"/>
    <w:rsid w:val="008B0595"/>
    <w:rsid w:val="008B0D7C"/>
    <w:rsid w:val="008B2748"/>
    <w:rsid w:val="008B3DF3"/>
    <w:rsid w:val="008B43D4"/>
    <w:rsid w:val="008C560E"/>
    <w:rsid w:val="008D10F2"/>
    <w:rsid w:val="008D52FA"/>
    <w:rsid w:val="008E1A8C"/>
    <w:rsid w:val="008E72CF"/>
    <w:rsid w:val="008F003C"/>
    <w:rsid w:val="008F1A32"/>
    <w:rsid w:val="008F3A96"/>
    <w:rsid w:val="008F3F2F"/>
    <w:rsid w:val="00904236"/>
    <w:rsid w:val="00904948"/>
    <w:rsid w:val="00911053"/>
    <w:rsid w:val="009110E7"/>
    <w:rsid w:val="0091161D"/>
    <w:rsid w:val="00913CBE"/>
    <w:rsid w:val="009152A1"/>
    <w:rsid w:val="00917FA5"/>
    <w:rsid w:val="00927B14"/>
    <w:rsid w:val="00927C9C"/>
    <w:rsid w:val="0093190E"/>
    <w:rsid w:val="00933FA2"/>
    <w:rsid w:val="009370BD"/>
    <w:rsid w:val="009372AF"/>
    <w:rsid w:val="009444BB"/>
    <w:rsid w:val="00947D60"/>
    <w:rsid w:val="00954F96"/>
    <w:rsid w:val="009554CA"/>
    <w:rsid w:val="0096231D"/>
    <w:rsid w:val="009657E8"/>
    <w:rsid w:val="009719B7"/>
    <w:rsid w:val="009829EE"/>
    <w:rsid w:val="00985845"/>
    <w:rsid w:val="009906A8"/>
    <w:rsid w:val="00996305"/>
    <w:rsid w:val="009A0420"/>
    <w:rsid w:val="009A2483"/>
    <w:rsid w:val="009A283F"/>
    <w:rsid w:val="009A2CD3"/>
    <w:rsid w:val="009A6B72"/>
    <w:rsid w:val="009B0E2F"/>
    <w:rsid w:val="009B2CB6"/>
    <w:rsid w:val="009C7FE4"/>
    <w:rsid w:val="009D40F6"/>
    <w:rsid w:val="009D4D79"/>
    <w:rsid w:val="009D6C1C"/>
    <w:rsid w:val="009E081C"/>
    <w:rsid w:val="009E2880"/>
    <w:rsid w:val="009E291B"/>
    <w:rsid w:val="009E3163"/>
    <w:rsid w:val="009E33B7"/>
    <w:rsid w:val="009E3610"/>
    <w:rsid w:val="009E657D"/>
    <w:rsid w:val="009F1573"/>
    <w:rsid w:val="009F18CB"/>
    <w:rsid w:val="009F3006"/>
    <w:rsid w:val="00A03978"/>
    <w:rsid w:val="00A124BA"/>
    <w:rsid w:val="00A12F4D"/>
    <w:rsid w:val="00A16640"/>
    <w:rsid w:val="00A21E95"/>
    <w:rsid w:val="00A2671F"/>
    <w:rsid w:val="00A26BCF"/>
    <w:rsid w:val="00A30B3A"/>
    <w:rsid w:val="00A343A8"/>
    <w:rsid w:val="00A35D18"/>
    <w:rsid w:val="00A35FA1"/>
    <w:rsid w:val="00A36AC9"/>
    <w:rsid w:val="00A44227"/>
    <w:rsid w:val="00A44D5B"/>
    <w:rsid w:val="00A465B7"/>
    <w:rsid w:val="00A51039"/>
    <w:rsid w:val="00A5556D"/>
    <w:rsid w:val="00A572FD"/>
    <w:rsid w:val="00A62660"/>
    <w:rsid w:val="00A64C70"/>
    <w:rsid w:val="00A66052"/>
    <w:rsid w:val="00A666B4"/>
    <w:rsid w:val="00A754CC"/>
    <w:rsid w:val="00A763FC"/>
    <w:rsid w:val="00A77A22"/>
    <w:rsid w:val="00A81629"/>
    <w:rsid w:val="00A91D7D"/>
    <w:rsid w:val="00A91EB5"/>
    <w:rsid w:val="00A958CA"/>
    <w:rsid w:val="00A96166"/>
    <w:rsid w:val="00AA398E"/>
    <w:rsid w:val="00AA3AC4"/>
    <w:rsid w:val="00AB42B0"/>
    <w:rsid w:val="00AB6597"/>
    <w:rsid w:val="00AC15FB"/>
    <w:rsid w:val="00AC519B"/>
    <w:rsid w:val="00AC70AE"/>
    <w:rsid w:val="00AD410C"/>
    <w:rsid w:val="00AD6508"/>
    <w:rsid w:val="00AE6C9A"/>
    <w:rsid w:val="00AF21F4"/>
    <w:rsid w:val="00B01A5C"/>
    <w:rsid w:val="00B0237F"/>
    <w:rsid w:val="00B0407B"/>
    <w:rsid w:val="00B05314"/>
    <w:rsid w:val="00B150B9"/>
    <w:rsid w:val="00B15964"/>
    <w:rsid w:val="00B2104F"/>
    <w:rsid w:val="00B222A5"/>
    <w:rsid w:val="00B23965"/>
    <w:rsid w:val="00B32E34"/>
    <w:rsid w:val="00B42C95"/>
    <w:rsid w:val="00B434D7"/>
    <w:rsid w:val="00B51C83"/>
    <w:rsid w:val="00B51F4D"/>
    <w:rsid w:val="00B54A3F"/>
    <w:rsid w:val="00B60FA2"/>
    <w:rsid w:val="00B63E22"/>
    <w:rsid w:val="00B6692D"/>
    <w:rsid w:val="00B73FA5"/>
    <w:rsid w:val="00B75AC3"/>
    <w:rsid w:val="00B7776F"/>
    <w:rsid w:val="00B808C9"/>
    <w:rsid w:val="00B835DC"/>
    <w:rsid w:val="00B83AFC"/>
    <w:rsid w:val="00BA0505"/>
    <w:rsid w:val="00BB0AE5"/>
    <w:rsid w:val="00BB23CF"/>
    <w:rsid w:val="00BB2B62"/>
    <w:rsid w:val="00BB4CE7"/>
    <w:rsid w:val="00BC11E2"/>
    <w:rsid w:val="00BC24BF"/>
    <w:rsid w:val="00BC4FE4"/>
    <w:rsid w:val="00BD3067"/>
    <w:rsid w:val="00BD4EA8"/>
    <w:rsid w:val="00BD5D0B"/>
    <w:rsid w:val="00BD7259"/>
    <w:rsid w:val="00BE26F1"/>
    <w:rsid w:val="00BE36CC"/>
    <w:rsid w:val="00BE5472"/>
    <w:rsid w:val="00BF02A0"/>
    <w:rsid w:val="00BF40C9"/>
    <w:rsid w:val="00BF4DC0"/>
    <w:rsid w:val="00C01A14"/>
    <w:rsid w:val="00C022E2"/>
    <w:rsid w:val="00C05B79"/>
    <w:rsid w:val="00C074B3"/>
    <w:rsid w:val="00C16CBE"/>
    <w:rsid w:val="00C2168E"/>
    <w:rsid w:val="00C30713"/>
    <w:rsid w:val="00C31B30"/>
    <w:rsid w:val="00C34780"/>
    <w:rsid w:val="00C34DB1"/>
    <w:rsid w:val="00C35A95"/>
    <w:rsid w:val="00C4177E"/>
    <w:rsid w:val="00C42CB3"/>
    <w:rsid w:val="00C43352"/>
    <w:rsid w:val="00C45636"/>
    <w:rsid w:val="00C50B84"/>
    <w:rsid w:val="00C5450F"/>
    <w:rsid w:val="00C56B15"/>
    <w:rsid w:val="00C56EFF"/>
    <w:rsid w:val="00C57872"/>
    <w:rsid w:val="00C63A12"/>
    <w:rsid w:val="00C645FB"/>
    <w:rsid w:val="00C6559F"/>
    <w:rsid w:val="00C70DAC"/>
    <w:rsid w:val="00C7551B"/>
    <w:rsid w:val="00C76D19"/>
    <w:rsid w:val="00C825A0"/>
    <w:rsid w:val="00C836D5"/>
    <w:rsid w:val="00C83E9B"/>
    <w:rsid w:val="00C85451"/>
    <w:rsid w:val="00C921E3"/>
    <w:rsid w:val="00CA0E8D"/>
    <w:rsid w:val="00CA2334"/>
    <w:rsid w:val="00CA5368"/>
    <w:rsid w:val="00CA5447"/>
    <w:rsid w:val="00CA7296"/>
    <w:rsid w:val="00CB1C18"/>
    <w:rsid w:val="00CB646E"/>
    <w:rsid w:val="00CB6FEC"/>
    <w:rsid w:val="00CC0F20"/>
    <w:rsid w:val="00CC2B44"/>
    <w:rsid w:val="00CC6CC4"/>
    <w:rsid w:val="00CC77C7"/>
    <w:rsid w:val="00CD701D"/>
    <w:rsid w:val="00CD72ED"/>
    <w:rsid w:val="00CE435D"/>
    <w:rsid w:val="00CE62EA"/>
    <w:rsid w:val="00CF051B"/>
    <w:rsid w:val="00CF0DA9"/>
    <w:rsid w:val="00CF3BC3"/>
    <w:rsid w:val="00CF512D"/>
    <w:rsid w:val="00D13C63"/>
    <w:rsid w:val="00D23CC7"/>
    <w:rsid w:val="00D24C77"/>
    <w:rsid w:val="00D31858"/>
    <w:rsid w:val="00D3490D"/>
    <w:rsid w:val="00D4790C"/>
    <w:rsid w:val="00D47B93"/>
    <w:rsid w:val="00D47E80"/>
    <w:rsid w:val="00D52C44"/>
    <w:rsid w:val="00D54B55"/>
    <w:rsid w:val="00D55451"/>
    <w:rsid w:val="00D6017E"/>
    <w:rsid w:val="00D60FE6"/>
    <w:rsid w:val="00D611E8"/>
    <w:rsid w:val="00D644F3"/>
    <w:rsid w:val="00D6776E"/>
    <w:rsid w:val="00D70DE4"/>
    <w:rsid w:val="00D71A32"/>
    <w:rsid w:val="00D71F68"/>
    <w:rsid w:val="00D75236"/>
    <w:rsid w:val="00D76B0F"/>
    <w:rsid w:val="00D7739A"/>
    <w:rsid w:val="00D80D8A"/>
    <w:rsid w:val="00D8130E"/>
    <w:rsid w:val="00D8163A"/>
    <w:rsid w:val="00D84885"/>
    <w:rsid w:val="00D86572"/>
    <w:rsid w:val="00DA28B2"/>
    <w:rsid w:val="00DA398D"/>
    <w:rsid w:val="00DA7912"/>
    <w:rsid w:val="00DB0A1F"/>
    <w:rsid w:val="00DB5E3A"/>
    <w:rsid w:val="00DB6283"/>
    <w:rsid w:val="00DB63E4"/>
    <w:rsid w:val="00DC0B01"/>
    <w:rsid w:val="00DC50BC"/>
    <w:rsid w:val="00DC5ECE"/>
    <w:rsid w:val="00DD0E80"/>
    <w:rsid w:val="00DD5A6E"/>
    <w:rsid w:val="00DE0500"/>
    <w:rsid w:val="00DE2580"/>
    <w:rsid w:val="00DE45DA"/>
    <w:rsid w:val="00DE4A9A"/>
    <w:rsid w:val="00DE4B5F"/>
    <w:rsid w:val="00DE4BEA"/>
    <w:rsid w:val="00DE5A0F"/>
    <w:rsid w:val="00DE636E"/>
    <w:rsid w:val="00DE67BE"/>
    <w:rsid w:val="00DF1A5E"/>
    <w:rsid w:val="00DF512E"/>
    <w:rsid w:val="00DF5156"/>
    <w:rsid w:val="00DF61F5"/>
    <w:rsid w:val="00DF6CB0"/>
    <w:rsid w:val="00E04094"/>
    <w:rsid w:val="00E04E7B"/>
    <w:rsid w:val="00E061E7"/>
    <w:rsid w:val="00E106BB"/>
    <w:rsid w:val="00E12504"/>
    <w:rsid w:val="00E136B9"/>
    <w:rsid w:val="00E16B18"/>
    <w:rsid w:val="00E1771A"/>
    <w:rsid w:val="00E237EB"/>
    <w:rsid w:val="00E274F4"/>
    <w:rsid w:val="00E30D74"/>
    <w:rsid w:val="00E34E13"/>
    <w:rsid w:val="00E37C47"/>
    <w:rsid w:val="00E413F8"/>
    <w:rsid w:val="00E4507D"/>
    <w:rsid w:val="00E47504"/>
    <w:rsid w:val="00E4782E"/>
    <w:rsid w:val="00E479F6"/>
    <w:rsid w:val="00E50F33"/>
    <w:rsid w:val="00E51D60"/>
    <w:rsid w:val="00E56BD1"/>
    <w:rsid w:val="00E602AB"/>
    <w:rsid w:val="00E6050F"/>
    <w:rsid w:val="00E6421B"/>
    <w:rsid w:val="00E647FF"/>
    <w:rsid w:val="00E6693A"/>
    <w:rsid w:val="00E70599"/>
    <w:rsid w:val="00E720FB"/>
    <w:rsid w:val="00E75718"/>
    <w:rsid w:val="00E77414"/>
    <w:rsid w:val="00E80DA0"/>
    <w:rsid w:val="00E84E4F"/>
    <w:rsid w:val="00E862D8"/>
    <w:rsid w:val="00E8640E"/>
    <w:rsid w:val="00E8740E"/>
    <w:rsid w:val="00E96777"/>
    <w:rsid w:val="00E96BAB"/>
    <w:rsid w:val="00EA50D3"/>
    <w:rsid w:val="00EA7711"/>
    <w:rsid w:val="00EB3D1C"/>
    <w:rsid w:val="00EB55A0"/>
    <w:rsid w:val="00EB58E6"/>
    <w:rsid w:val="00EC19A9"/>
    <w:rsid w:val="00EC216F"/>
    <w:rsid w:val="00EC25A7"/>
    <w:rsid w:val="00EC523B"/>
    <w:rsid w:val="00EC5EE6"/>
    <w:rsid w:val="00EC6072"/>
    <w:rsid w:val="00ED25CC"/>
    <w:rsid w:val="00EE5EED"/>
    <w:rsid w:val="00EF1FB8"/>
    <w:rsid w:val="00EF52FC"/>
    <w:rsid w:val="00EF5DF8"/>
    <w:rsid w:val="00F0156B"/>
    <w:rsid w:val="00F05779"/>
    <w:rsid w:val="00F1038C"/>
    <w:rsid w:val="00F10C2A"/>
    <w:rsid w:val="00F13F22"/>
    <w:rsid w:val="00F22A98"/>
    <w:rsid w:val="00F22C33"/>
    <w:rsid w:val="00F236D9"/>
    <w:rsid w:val="00F308D5"/>
    <w:rsid w:val="00F31B71"/>
    <w:rsid w:val="00F3206C"/>
    <w:rsid w:val="00F41073"/>
    <w:rsid w:val="00F41919"/>
    <w:rsid w:val="00F607FE"/>
    <w:rsid w:val="00F613C5"/>
    <w:rsid w:val="00F75D42"/>
    <w:rsid w:val="00F81D40"/>
    <w:rsid w:val="00F83087"/>
    <w:rsid w:val="00F85F69"/>
    <w:rsid w:val="00F87479"/>
    <w:rsid w:val="00F90683"/>
    <w:rsid w:val="00F93C4A"/>
    <w:rsid w:val="00FA0917"/>
    <w:rsid w:val="00FA2612"/>
    <w:rsid w:val="00FA544B"/>
    <w:rsid w:val="00FA7193"/>
    <w:rsid w:val="00FB04F5"/>
    <w:rsid w:val="00FB2114"/>
    <w:rsid w:val="00FB2339"/>
    <w:rsid w:val="00FB40FD"/>
    <w:rsid w:val="00FB4879"/>
    <w:rsid w:val="00FC0DC6"/>
    <w:rsid w:val="00FC167F"/>
    <w:rsid w:val="00FC5A3C"/>
    <w:rsid w:val="00FC6272"/>
    <w:rsid w:val="00FC7A87"/>
    <w:rsid w:val="00FD22BF"/>
    <w:rsid w:val="00FE0594"/>
    <w:rsid w:val="00FE498D"/>
    <w:rsid w:val="00FE5600"/>
    <w:rsid w:val="00FF0D41"/>
    <w:rsid w:val="00FF2EFE"/>
    <w:rsid w:val="01814F30"/>
    <w:rsid w:val="12BFDC72"/>
    <w:rsid w:val="14C45E8B"/>
    <w:rsid w:val="19E0C40F"/>
    <w:rsid w:val="39DD7A4E"/>
    <w:rsid w:val="50F7CCC7"/>
    <w:rsid w:val="6FF44001"/>
    <w:rsid w:val="78E5F4A3"/>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814F30"/>
  <w15:docId w15:val="{84ACF2A0-A5B7-4E8C-8A4F-41F00C71B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650A"/>
    <w:pPr>
      <w:spacing w:after="120"/>
      <w:jc w:val="both"/>
    </w:pPr>
  </w:style>
  <w:style w:type="paragraph" w:styleId="Heading1">
    <w:name w:val="heading 1"/>
    <w:basedOn w:val="Normal"/>
    <w:next w:val="Normal"/>
    <w:link w:val="Heading1Char"/>
    <w:uiPriority w:val="9"/>
    <w:qFormat/>
    <w:rsid w:val="00257172"/>
    <w:pPr>
      <w:keepNext/>
      <w:keepLines/>
      <w:numPr>
        <w:numId w:val="1"/>
      </w:numPr>
      <w:spacing w:before="360" w:after="0"/>
      <w:outlineLvl w:val="0"/>
    </w:pPr>
    <w:rPr>
      <w:rFonts w:eastAsia="Times New Roman" w:cs="Times New Roman"/>
      <w:b/>
      <w:bCs/>
      <w:caps/>
      <w:color w:val="538135" w:themeColor="accent6" w:themeShade="BF"/>
      <w:sz w:val="28"/>
      <w:szCs w:val="28"/>
    </w:rPr>
  </w:style>
  <w:style w:type="paragraph" w:styleId="Heading2">
    <w:name w:val="heading 2"/>
    <w:basedOn w:val="Normal"/>
    <w:next w:val="Normal"/>
    <w:link w:val="Heading2Char"/>
    <w:uiPriority w:val="9"/>
    <w:unhideWhenUsed/>
    <w:qFormat/>
    <w:rsid w:val="00D85951"/>
    <w:pPr>
      <w:keepNext/>
      <w:keepLines/>
      <w:numPr>
        <w:ilvl w:val="1"/>
        <w:numId w:val="1"/>
      </w:numPr>
      <w:spacing w:before="240" w:after="0"/>
      <w:jc w:val="left"/>
      <w:outlineLvl w:val="1"/>
    </w:pPr>
    <w:rPr>
      <w:rFonts w:eastAsia="Times New Roman" w:cs="Times New Roman"/>
      <w:b/>
      <w:bCs/>
      <w:iCs/>
      <w:color w:val="538135" w:themeColor="accent6" w:themeShade="BF"/>
      <w:sz w:val="24"/>
      <w:szCs w:val="24"/>
    </w:rPr>
  </w:style>
  <w:style w:type="paragraph" w:styleId="Heading3">
    <w:name w:val="heading 3"/>
    <w:basedOn w:val="Normal"/>
    <w:next w:val="Normal"/>
    <w:link w:val="Heading3Char"/>
    <w:uiPriority w:val="9"/>
    <w:unhideWhenUsed/>
    <w:qFormat/>
    <w:rsid w:val="004F239C"/>
    <w:pPr>
      <w:keepNext/>
      <w:keepLines/>
      <w:spacing w:before="40" w:after="0"/>
      <w:outlineLvl w:val="2"/>
    </w:pPr>
    <w:rPr>
      <w:rFonts w:eastAsia="Times New Roman" w:cstheme="majorBidi"/>
      <w:b/>
      <w:i/>
    </w:rPr>
  </w:style>
  <w:style w:type="paragraph" w:styleId="Heading4">
    <w:name w:val="heading 4"/>
    <w:basedOn w:val="Normal"/>
    <w:next w:val="Normal"/>
    <w:link w:val="Heading4Char"/>
    <w:uiPriority w:val="9"/>
    <w:unhideWhenUsed/>
    <w:qFormat/>
    <w:rsid w:val="00A60DE5"/>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AB5C9D"/>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AB5C9D"/>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AB5C9D"/>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D85951"/>
    <w:pPr>
      <w:keepNext/>
      <w:keepLines/>
      <w:spacing w:before="40" w:after="0"/>
      <w:outlineLvl w:val="7"/>
    </w:pPr>
    <w:rPr>
      <w:rFonts w:eastAsiaTheme="majorEastAsia" w:cstheme="majorBidi"/>
      <w:i/>
      <w:color w:val="272727" w:themeColor="text1" w:themeTint="D8"/>
      <w:szCs w:val="21"/>
    </w:rPr>
  </w:style>
  <w:style w:type="paragraph" w:styleId="Heading9">
    <w:name w:val="heading 9"/>
    <w:basedOn w:val="Normal"/>
    <w:next w:val="Normal"/>
    <w:link w:val="Heading9Char"/>
    <w:uiPriority w:val="9"/>
    <w:unhideWhenUsed/>
    <w:qFormat/>
    <w:rsid w:val="00AB5C9D"/>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257172"/>
    <w:rPr>
      <w:rFonts w:eastAsia="Times New Roman" w:cs="Times New Roman"/>
      <w:b/>
      <w:bCs/>
      <w:caps/>
      <w:color w:val="538135" w:themeColor="accent6" w:themeShade="BF"/>
      <w:sz w:val="28"/>
      <w:szCs w:val="28"/>
      <w:lang w:val="en-ZA"/>
    </w:rPr>
  </w:style>
  <w:style w:type="character" w:customStyle="1" w:styleId="Heading2Char">
    <w:name w:val="Heading 2 Char"/>
    <w:basedOn w:val="DefaultParagraphFont"/>
    <w:link w:val="Heading2"/>
    <w:uiPriority w:val="9"/>
    <w:qFormat/>
    <w:rsid w:val="00D85951"/>
    <w:rPr>
      <w:rFonts w:eastAsia="Times New Roman" w:cs="Times New Roman"/>
      <w:b/>
      <w:bCs/>
      <w:iCs/>
      <w:color w:val="538135" w:themeColor="accent6" w:themeShade="BF"/>
      <w:sz w:val="24"/>
      <w:szCs w:val="24"/>
      <w:lang w:val="en-ZA"/>
    </w:rPr>
  </w:style>
  <w:style w:type="character" w:customStyle="1" w:styleId="Heading3Char">
    <w:name w:val="Heading 3 Char"/>
    <w:basedOn w:val="DefaultParagraphFont"/>
    <w:link w:val="Heading3"/>
    <w:uiPriority w:val="9"/>
    <w:qFormat/>
    <w:rsid w:val="004F239C"/>
    <w:rPr>
      <w:rFonts w:eastAsia="Times New Roman" w:cstheme="majorBidi"/>
      <w:b/>
      <w:i/>
    </w:rPr>
  </w:style>
  <w:style w:type="character" w:customStyle="1" w:styleId="Heading4Char">
    <w:name w:val="Heading 4 Char"/>
    <w:basedOn w:val="DefaultParagraphFont"/>
    <w:link w:val="Heading4"/>
    <w:uiPriority w:val="9"/>
    <w:qFormat/>
    <w:rsid w:val="00A60DE5"/>
    <w:rPr>
      <w:rFonts w:asciiTheme="majorHAnsi" w:eastAsiaTheme="majorEastAsia" w:hAnsiTheme="majorHAnsi" w:cstheme="majorBidi"/>
      <w:i/>
      <w:iCs/>
      <w:color w:val="2E74B5" w:themeColor="accent1" w:themeShade="BF"/>
      <w:lang w:val="en-ZA"/>
    </w:rPr>
  </w:style>
  <w:style w:type="character" w:customStyle="1" w:styleId="Heading5Char">
    <w:name w:val="Heading 5 Char"/>
    <w:basedOn w:val="DefaultParagraphFont"/>
    <w:link w:val="Heading5"/>
    <w:uiPriority w:val="9"/>
    <w:qFormat/>
    <w:rsid w:val="00AB5C9D"/>
    <w:rPr>
      <w:rFonts w:asciiTheme="majorHAnsi" w:eastAsiaTheme="majorEastAsia" w:hAnsiTheme="majorHAnsi" w:cstheme="majorBidi"/>
      <w:color w:val="2E74B5" w:themeColor="accent1" w:themeShade="BF"/>
      <w:lang w:val="en-ZA"/>
    </w:rPr>
  </w:style>
  <w:style w:type="character" w:customStyle="1" w:styleId="Heading6Char">
    <w:name w:val="Heading 6 Char"/>
    <w:basedOn w:val="DefaultParagraphFont"/>
    <w:link w:val="Heading6"/>
    <w:uiPriority w:val="9"/>
    <w:qFormat/>
    <w:rsid w:val="00AB5C9D"/>
    <w:rPr>
      <w:rFonts w:asciiTheme="majorHAnsi" w:eastAsiaTheme="majorEastAsia" w:hAnsiTheme="majorHAnsi" w:cstheme="majorBidi"/>
      <w:color w:val="1F4D78" w:themeColor="accent1" w:themeShade="7F"/>
      <w:lang w:val="en-ZA"/>
    </w:rPr>
  </w:style>
  <w:style w:type="character" w:customStyle="1" w:styleId="Heading7Char">
    <w:name w:val="Heading 7 Char"/>
    <w:basedOn w:val="DefaultParagraphFont"/>
    <w:link w:val="Heading7"/>
    <w:uiPriority w:val="9"/>
    <w:qFormat/>
    <w:rsid w:val="00AB5C9D"/>
    <w:rPr>
      <w:rFonts w:asciiTheme="majorHAnsi" w:eastAsiaTheme="majorEastAsia" w:hAnsiTheme="majorHAnsi" w:cstheme="majorBidi"/>
      <w:i/>
      <w:iCs/>
      <w:color w:val="1F4D78" w:themeColor="accent1" w:themeShade="7F"/>
      <w:lang w:val="en-ZA"/>
    </w:rPr>
  </w:style>
  <w:style w:type="character" w:customStyle="1" w:styleId="Heading8Char">
    <w:name w:val="Heading 8 Char"/>
    <w:basedOn w:val="DefaultParagraphFont"/>
    <w:link w:val="Heading8"/>
    <w:uiPriority w:val="9"/>
    <w:qFormat/>
    <w:rsid w:val="00D85951"/>
    <w:rPr>
      <w:rFonts w:eastAsiaTheme="majorEastAsia" w:cstheme="majorBidi"/>
      <w:i/>
      <w:color w:val="272727" w:themeColor="text1" w:themeTint="D8"/>
      <w:szCs w:val="21"/>
    </w:rPr>
  </w:style>
  <w:style w:type="character" w:customStyle="1" w:styleId="Heading9Char">
    <w:name w:val="Heading 9 Char"/>
    <w:basedOn w:val="DefaultParagraphFont"/>
    <w:link w:val="Heading9"/>
    <w:uiPriority w:val="9"/>
    <w:qFormat/>
    <w:rsid w:val="00AB5C9D"/>
    <w:rPr>
      <w:rFonts w:asciiTheme="majorHAnsi" w:eastAsiaTheme="majorEastAsia" w:hAnsiTheme="majorHAnsi" w:cstheme="majorBidi"/>
      <w:i/>
      <w:iCs/>
      <w:color w:val="272727" w:themeColor="text1" w:themeTint="D8"/>
      <w:sz w:val="21"/>
      <w:szCs w:val="21"/>
      <w:lang w:val="en-ZA"/>
    </w:rPr>
  </w:style>
  <w:style w:type="character" w:customStyle="1" w:styleId="HeaderChar">
    <w:name w:val="Header Char"/>
    <w:basedOn w:val="DefaultParagraphFont"/>
    <w:link w:val="Header"/>
    <w:uiPriority w:val="99"/>
    <w:qFormat/>
    <w:rsid w:val="00C2149D"/>
    <w:rPr>
      <w:b/>
      <w:color w:val="FFFFFF" w:themeColor="background1"/>
      <w:lang w:val="en-GB"/>
    </w:rPr>
  </w:style>
  <w:style w:type="character" w:customStyle="1" w:styleId="FooterChar">
    <w:name w:val="Footer Char"/>
    <w:basedOn w:val="DefaultParagraphFont"/>
    <w:link w:val="Footer"/>
    <w:uiPriority w:val="99"/>
    <w:qFormat/>
    <w:rsid w:val="00B83BFB"/>
  </w:style>
  <w:style w:type="character" w:customStyle="1" w:styleId="TitleChar">
    <w:name w:val="Title Char"/>
    <w:basedOn w:val="DefaultParagraphFont"/>
    <w:link w:val="Title"/>
    <w:uiPriority w:val="10"/>
    <w:qFormat/>
    <w:rsid w:val="0022732C"/>
    <w:rPr>
      <w:rFonts w:ascii="Cambria" w:eastAsia="Times New Roman" w:hAnsi="Cambria" w:cs="Times New Roman"/>
      <w:b/>
      <w:color w:val="538135" w:themeColor="accent6" w:themeShade="BF"/>
      <w:sz w:val="72"/>
      <w:szCs w:val="68"/>
      <w:lang w:eastAsia="ja-JP"/>
    </w:rPr>
  </w:style>
  <w:style w:type="character" w:customStyle="1" w:styleId="SubtitleChar">
    <w:name w:val="Subtitle Char"/>
    <w:basedOn w:val="DefaultParagraphFont"/>
    <w:link w:val="Subtitle"/>
    <w:uiPriority w:val="11"/>
    <w:qFormat/>
    <w:rsid w:val="001255FD"/>
    <w:rPr>
      <w:rFonts w:ascii="Cambria" w:hAnsi="Cambria"/>
      <w:b/>
      <w:color w:val="538135" w:themeColor="accent6" w:themeShade="BF"/>
      <w:w w:val="90"/>
      <w:sz w:val="48"/>
      <w:szCs w:val="48"/>
      <w:lang w:val="en-GB"/>
    </w:rPr>
  </w:style>
  <w:style w:type="character" w:styleId="PlaceholderText">
    <w:name w:val="Placeholder Text"/>
    <w:basedOn w:val="DefaultParagraphFont"/>
    <w:uiPriority w:val="99"/>
    <w:semiHidden/>
    <w:qFormat/>
    <w:rsid w:val="008C7E01"/>
    <w:rPr>
      <w:color w:val="808080"/>
    </w:rPr>
  </w:style>
  <w:style w:type="character" w:customStyle="1" w:styleId="FootnoteTextChar">
    <w:name w:val="Footnote Text Char"/>
    <w:basedOn w:val="DefaultParagraphFont"/>
    <w:link w:val="FootnoteText"/>
    <w:uiPriority w:val="99"/>
    <w:qFormat/>
    <w:rsid w:val="00155AF5"/>
    <w:rPr>
      <w:sz w:val="20"/>
      <w:szCs w:val="20"/>
    </w:rPr>
  </w:style>
  <w:style w:type="character" w:customStyle="1" w:styleId="CommentTextChar">
    <w:name w:val="Comment Text Char"/>
    <w:basedOn w:val="DefaultParagraphFont"/>
    <w:link w:val="CommentText"/>
    <w:uiPriority w:val="99"/>
    <w:qFormat/>
    <w:rsid w:val="00792546"/>
    <w:rPr>
      <w:sz w:val="20"/>
      <w:szCs w:val="20"/>
      <w:lang w:val="en-ZA"/>
    </w:rPr>
  </w:style>
  <w:style w:type="character" w:customStyle="1" w:styleId="BalloonTextChar">
    <w:name w:val="Balloon Text Char"/>
    <w:basedOn w:val="DefaultParagraphFont"/>
    <w:link w:val="BalloonText"/>
    <w:uiPriority w:val="99"/>
    <w:semiHidden/>
    <w:qFormat/>
    <w:rsid w:val="00653728"/>
    <w:rPr>
      <w:rFonts w:ascii="Segoe UI" w:hAnsi="Segoe UI" w:cs="Segoe UI"/>
      <w:sz w:val="18"/>
      <w:szCs w:val="18"/>
    </w:rPr>
  </w:style>
  <w:style w:type="character" w:customStyle="1" w:styleId="InternetLink">
    <w:name w:val="Internet Link"/>
    <w:uiPriority w:val="99"/>
    <w:unhideWhenUsed/>
    <w:rsid w:val="003B3AB4"/>
    <w:rPr>
      <w:color w:val="0000FF"/>
      <w:u w:val="single"/>
    </w:rPr>
  </w:style>
  <w:style w:type="character" w:customStyle="1" w:styleId="AcknowledgementsheadingChar">
    <w:name w:val="Acknowledgements heading Char"/>
    <w:basedOn w:val="DefaultParagraphFont"/>
    <w:link w:val="Acknowledgementsheading"/>
    <w:qFormat/>
    <w:rsid w:val="00827CB1"/>
    <w:rPr>
      <w:rFonts w:cs="Arial"/>
      <w:b/>
      <w:color w:val="538135" w:themeColor="accent6" w:themeShade="BF"/>
    </w:rPr>
  </w:style>
  <w:style w:type="character" w:customStyle="1" w:styleId="CaptionChar">
    <w:name w:val="Caption Char"/>
    <w:basedOn w:val="DefaultParagraphFont"/>
    <w:link w:val="Caption"/>
    <w:uiPriority w:val="35"/>
    <w:qFormat/>
    <w:rsid w:val="00376097"/>
    <w:rPr>
      <w:b/>
      <w:i/>
      <w:iCs/>
      <w:color w:val="44546A" w:themeColor="text2"/>
      <w:szCs w:val="18"/>
      <w:lang w:val="en-ZA"/>
    </w:rPr>
  </w:style>
  <w:style w:type="character" w:styleId="CommentReference">
    <w:name w:val="annotation reference"/>
    <w:basedOn w:val="DefaultParagraphFont"/>
    <w:uiPriority w:val="99"/>
    <w:semiHidden/>
    <w:unhideWhenUsed/>
    <w:qFormat/>
    <w:rsid w:val="00203371"/>
    <w:rPr>
      <w:sz w:val="16"/>
      <w:szCs w:val="16"/>
    </w:rPr>
  </w:style>
  <w:style w:type="character" w:customStyle="1" w:styleId="CommentSubjectChar">
    <w:name w:val="Comment Subject Char"/>
    <w:basedOn w:val="DefaultParagraphFont"/>
    <w:link w:val="CommentSubject"/>
    <w:uiPriority w:val="99"/>
    <w:semiHidden/>
    <w:qFormat/>
    <w:rsid w:val="00792546"/>
    <w:rPr>
      <w:b/>
      <w:bCs/>
      <w:sz w:val="20"/>
      <w:szCs w:val="20"/>
      <w:lang w:val="en-ZA"/>
    </w:rPr>
  </w:style>
  <w:style w:type="character" w:customStyle="1" w:styleId="UnresolvedMention1">
    <w:name w:val="Unresolved Mention1"/>
    <w:basedOn w:val="DefaultParagraphFont"/>
    <w:uiPriority w:val="99"/>
    <w:semiHidden/>
    <w:unhideWhenUsed/>
    <w:qFormat/>
    <w:rsid w:val="00203371"/>
    <w:rPr>
      <w:color w:val="808080"/>
      <w:shd w:val="clear" w:color="auto" w:fill="E6E6E6"/>
    </w:rPr>
  </w:style>
  <w:style w:type="character" w:styleId="FollowedHyperlink">
    <w:name w:val="FollowedHyperlink"/>
    <w:basedOn w:val="DefaultParagraphFont"/>
    <w:uiPriority w:val="99"/>
    <w:semiHidden/>
    <w:unhideWhenUsed/>
    <w:qFormat/>
    <w:rsid w:val="00203371"/>
    <w:rPr>
      <w:color w:val="954F72" w:themeColor="followedHyperlink"/>
      <w:u w:val="single"/>
    </w:rPr>
  </w:style>
  <w:style w:type="character" w:customStyle="1" w:styleId="EndnoteTextChar">
    <w:name w:val="Endnote Text Char"/>
    <w:basedOn w:val="DefaultParagraphFont"/>
    <w:link w:val="EndnoteText"/>
    <w:uiPriority w:val="99"/>
    <w:semiHidden/>
    <w:qFormat/>
    <w:rsid w:val="00203371"/>
    <w:rPr>
      <w:sz w:val="20"/>
      <w:szCs w:val="20"/>
      <w:lang w:val="en-ZA"/>
    </w:rPr>
  </w:style>
  <w:style w:type="character" w:customStyle="1" w:styleId="EndnoteCharacters">
    <w:name w:val="Endnote Characters"/>
    <w:basedOn w:val="DefaultParagraphFont"/>
    <w:uiPriority w:val="99"/>
    <w:semiHidden/>
    <w:unhideWhenUsed/>
    <w:qFormat/>
    <w:rsid w:val="00203371"/>
    <w:rPr>
      <w:vertAlign w:val="superscript"/>
    </w:rPr>
  </w:style>
  <w:style w:type="character" w:customStyle="1" w:styleId="EndnoteAnchor">
    <w:name w:val="Endnote Anchor"/>
    <w:rPr>
      <w:vertAlign w:val="superscript"/>
    </w:rPr>
  </w:style>
  <w:style w:type="character" w:customStyle="1" w:styleId="NoSpacingChar">
    <w:name w:val="No Spacing Char"/>
    <w:basedOn w:val="DefaultParagraphFont"/>
    <w:link w:val="NoSpacing"/>
    <w:uiPriority w:val="1"/>
    <w:qFormat/>
    <w:rsid w:val="001255FD"/>
    <w:rPr>
      <w:rFonts w:eastAsiaTheme="minorEastAsia"/>
      <w:lang w:eastAsia="zh-CN"/>
    </w:rPr>
  </w:style>
  <w:style w:type="character" w:customStyle="1" w:styleId="ReferencesChar">
    <w:name w:val="References Char"/>
    <w:basedOn w:val="DefaultParagraphFont"/>
    <w:link w:val="References"/>
    <w:qFormat/>
    <w:rsid w:val="0001174F"/>
  </w:style>
  <w:style w:type="character" w:customStyle="1" w:styleId="UnresolvedMention2">
    <w:name w:val="Unresolved Mention2"/>
    <w:basedOn w:val="DefaultParagraphFont"/>
    <w:uiPriority w:val="99"/>
    <w:semiHidden/>
    <w:unhideWhenUsed/>
    <w:qFormat/>
    <w:rsid w:val="00276C58"/>
    <w:rPr>
      <w:color w:val="605E5C"/>
      <w:shd w:val="clear" w:color="auto" w:fill="E1DFDD"/>
    </w:rPr>
  </w:style>
  <w:style w:type="character" w:customStyle="1" w:styleId="SourceChar">
    <w:name w:val="Source Char"/>
    <w:basedOn w:val="DefaultParagraphFont"/>
    <w:link w:val="Source"/>
    <w:qFormat/>
    <w:rsid w:val="003A402F"/>
    <w:rPr>
      <w:i/>
      <w:sz w:val="18"/>
      <w:szCs w:val="20"/>
      <w:lang w:val="en-GB"/>
    </w:rPr>
  </w:style>
  <w:style w:type="character" w:customStyle="1" w:styleId="Caption-figureChar">
    <w:name w:val="Caption - figure Char"/>
    <w:basedOn w:val="CaptionChar"/>
    <w:qFormat/>
    <w:rsid w:val="00792546"/>
    <w:rPr>
      <w:b/>
      <w:i/>
      <w:iCs/>
      <w:color w:val="44546A" w:themeColor="text2"/>
      <w:szCs w:val="18"/>
      <w:lang w:val="en-ZA"/>
    </w:rPr>
  </w:style>
  <w:style w:type="character" w:customStyle="1" w:styleId="FootnoteCharacters">
    <w:name w:val="Footnote Characters"/>
    <w:basedOn w:val="DefaultParagraphFont"/>
    <w:uiPriority w:val="99"/>
    <w:semiHidden/>
    <w:unhideWhenUsed/>
    <w:qFormat/>
    <w:rsid w:val="001C244E"/>
    <w:rPr>
      <w:vertAlign w:val="superscript"/>
    </w:rPr>
  </w:style>
  <w:style w:type="character" w:customStyle="1" w:styleId="FootnoteAnchor">
    <w:name w:val="Footnote Anchor"/>
    <w:rPr>
      <w:vertAlign w:val="superscript"/>
    </w:rPr>
  </w:style>
  <w:style w:type="character" w:customStyle="1" w:styleId="UnresolvedMention3">
    <w:name w:val="Unresolved Mention3"/>
    <w:basedOn w:val="DefaultParagraphFont"/>
    <w:uiPriority w:val="99"/>
    <w:semiHidden/>
    <w:unhideWhenUsed/>
    <w:qFormat/>
    <w:rsid w:val="00F34D7B"/>
    <w:rPr>
      <w:color w:val="605E5C"/>
      <w:shd w:val="clear" w:color="auto" w:fill="E1DFDD"/>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u w:val="none"/>
    </w:rPr>
  </w:style>
  <w:style w:type="character" w:customStyle="1" w:styleId="ListLabel5">
    <w:name w:val="ListLabel 5"/>
    <w:qFormat/>
    <w:rPr>
      <w:u w:val="none"/>
    </w:rPr>
  </w:style>
  <w:style w:type="character" w:customStyle="1" w:styleId="ListLabel6">
    <w:name w:val="ListLabel 6"/>
    <w:qFormat/>
    <w:rPr>
      <w:u w:val="none"/>
    </w:rPr>
  </w:style>
  <w:style w:type="character" w:customStyle="1" w:styleId="ListLabel7">
    <w:name w:val="ListLabel 7"/>
    <w:qFormat/>
    <w:rPr>
      <w:u w:val="none"/>
    </w:rPr>
  </w:style>
  <w:style w:type="character" w:customStyle="1" w:styleId="ListLabel8">
    <w:name w:val="ListLabel 8"/>
    <w:qFormat/>
    <w:rPr>
      <w:u w:val="none"/>
    </w:rPr>
  </w:style>
  <w:style w:type="character" w:customStyle="1" w:styleId="ListLabel9">
    <w:name w:val="ListLabel 9"/>
    <w:qFormat/>
    <w:rPr>
      <w:u w:val="none"/>
    </w:rPr>
  </w:style>
  <w:style w:type="character" w:customStyle="1" w:styleId="ListLabel10">
    <w:name w:val="ListLabel 10"/>
    <w:qFormat/>
    <w:rPr>
      <w:u w:val="none"/>
    </w:rPr>
  </w:style>
  <w:style w:type="character" w:customStyle="1" w:styleId="ListLabel11">
    <w:name w:val="ListLabel 11"/>
    <w:qFormat/>
    <w:rPr>
      <w:u w:val="none"/>
    </w:rPr>
  </w:style>
  <w:style w:type="character" w:customStyle="1" w:styleId="ListLabel12">
    <w:name w:val="ListLabel 12"/>
    <w:qFormat/>
    <w:rPr>
      <w:u w:val="none"/>
    </w:rPr>
  </w:style>
  <w:style w:type="character" w:customStyle="1" w:styleId="ListLabel13">
    <w:name w:val="ListLabel 13"/>
    <w:qFormat/>
    <w:rPr>
      <w:u w:val="none"/>
    </w:rPr>
  </w:style>
  <w:style w:type="character" w:customStyle="1" w:styleId="ListLabel14">
    <w:name w:val="ListLabel 14"/>
    <w:qFormat/>
    <w:rPr>
      <w:u w:val="none"/>
    </w:rPr>
  </w:style>
  <w:style w:type="character" w:customStyle="1" w:styleId="ListLabel15">
    <w:name w:val="ListLabel 15"/>
    <w:qFormat/>
    <w:rPr>
      <w:u w:val="none"/>
    </w:rPr>
  </w:style>
  <w:style w:type="character" w:customStyle="1" w:styleId="ListLabel16">
    <w:name w:val="ListLabel 16"/>
    <w:qFormat/>
    <w:rPr>
      <w:u w:val="none"/>
    </w:rPr>
  </w:style>
  <w:style w:type="character" w:customStyle="1" w:styleId="ListLabel17">
    <w:name w:val="ListLabel 17"/>
    <w:qFormat/>
    <w:rPr>
      <w:u w:val="none"/>
    </w:rPr>
  </w:style>
  <w:style w:type="character" w:customStyle="1" w:styleId="ListLabel18">
    <w:name w:val="ListLabel 18"/>
    <w:qFormat/>
    <w:rPr>
      <w:u w:val="none"/>
    </w:rPr>
  </w:style>
  <w:style w:type="character" w:customStyle="1" w:styleId="ListLabel19">
    <w:name w:val="ListLabel 19"/>
    <w:qFormat/>
    <w:rPr>
      <w:u w:val="none"/>
    </w:rPr>
  </w:style>
  <w:style w:type="character" w:customStyle="1" w:styleId="ListLabel20">
    <w:name w:val="ListLabel 20"/>
    <w:qFormat/>
    <w:rPr>
      <w:u w:val="none"/>
    </w:rPr>
  </w:style>
  <w:style w:type="character" w:customStyle="1" w:styleId="ListLabel21">
    <w:name w:val="ListLabel 21"/>
    <w:qFormat/>
    <w:rPr>
      <w:u w:val="none"/>
    </w:rPr>
  </w:style>
  <w:style w:type="character" w:customStyle="1" w:styleId="ListLabel22">
    <w:name w:val="ListLabel 22"/>
    <w:qFormat/>
    <w:rPr>
      <w:u w:val="none"/>
    </w:rPr>
  </w:style>
  <w:style w:type="character" w:customStyle="1" w:styleId="ListLabel23">
    <w:name w:val="ListLabel 23"/>
    <w:qFormat/>
    <w:rPr>
      <w:u w:val="none"/>
    </w:rPr>
  </w:style>
  <w:style w:type="character" w:customStyle="1" w:styleId="ListLabel24">
    <w:name w:val="ListLabel 24"/>
    <w:qFormat/>
    <w:rPr>
      <w:u w:val="none"/>
    </w:rPr>
  </w:style>
  <w:style w:type="character" w:customStyle="1" w:styleId="ListLabel25">
    <w:name w:val="ListLabel 25"/>
    <w:qFormat/>
    <w:rPr>
      <w:u w:val="none"/>
    </w:rPr>
  </w:style>
  <w:style w:type="character" w:customStyle="1" w:styleId="ListLabel26">
    <w:name w:val="ListLabel 26"/>
    <w:qFormat/>
    <w:rPr>
      <w:u w:val="none"/>
    </w:rPr>
  </w:style>
  <w:style w:type="character" w:customStyle="1" w:styleId="ListLabel27">
    <w:name w:val="ListLabel 27"/>
    <w:qFormat/>
    <w:rPr>
      <w:u w:val="none"/>
    </w:rPr>
  </w:style>
  <w:style w:type="character" w:customStyle="1" w:styleId="ListLabel28">
    <w:name w:val="ListLabel 28"/>
    <w:qFormat/>
    <w:rPr>
      <w:u w:val="none"/>
    </w:rPr>
  </w:style>
  <w:style w:type="character" w:customStyle="1" w:styleId="ListLabel29">
    <w:name w:val="ListLabel 29"/>
    <w:qFormat/>
    <w:rPr>
      <w:u w:val="none"/>
    </w:rPr>
  </w:style>
  <w:style w:type="character" w:customStyle="1" w:styleId="ListLabel30">
    <w:name w:val="ListLabel 30"/>
    <w:qFormat/>
    <w:rPr>
      <w:u w:val="none"/>
    </w:rPr>
  </w:style>
  <w:style w:type="character" w:customStyle="1" w:styleId="ListLabel31">
    <w:name w:val="ListLabel 31"/>
    <w:qFormat/>
    <w:rPr>
      <w:u w:val="none"/>
    </w:rPr>
  </w:style>
  <w:style w:type="character" w:customStyle="1" w:styleId="ListLabel32">
    <w:name w:val="ListLabel 32"/>
    <w:qFormat/>
    <w:rPr>
      <w:u w:val="none"/>
    </w:rPr>
  </w:style>
  <w:style w:type="character" w:customStyle="1" w:styleId="ListLabel33">
    <w:name w:val="ListLabel 33"/>
    <w:qFormat/>
    <w:rPr>
      <w:u w:val="none"/>
    </w:rPr>
  </w:style>
  <w:style w:type="character" w:customStyle="1" w:styleId="ListLabel34">
    <w:name w:val="ListLabel 34"/>
    <w:qFormat/>
    <w:rPr>
      <w:u w:val="none"/>
    </w:rPr>
  </w:style>
  <w:style w:type="character" w:customStyle="1" w:styleId="ListLabel35">
    <w:name w:val="ListLabel 35"/>
    <w:qFormat/>
    <w:rPr>
      <w:u w:val="none"/>
    </w:rPr>
  </w:style>
  <w:style w:type="character" w:customStyle="1" w:styleId="ListLabel36">
    <w:name w:val="ListLabel 36"/>
    <w:qFormat/>
    <w:rPr>
      <w:u w:val="none"/>
    </w:rPr>
  </w:style>
  <w:style w:type="character" w:customStyle="1" w:styleId="ListLabel37">
    <w:name w:val="ListLabel 37"/>
    <w:qFormat/>
    <w:rPr>
      <w:u w:val="none"/>
    </w:rPr>
  </w:style>
  <w:style w:type="character" w:customStyle="1" w:styleId="ListLabel38">
    <w:name w:val="ListLabel 38"/>
    <w:qFormat/>
    <w:rPr>
      <w:u w:val="none"/>
    </w:rPr>
  </w:style>
  <w:style w:type="character" w:customStyle="1" w:styleId="ListLabel39">
    <w:name w:val="ListLabel 39"/>
    <w:qFormat/>
    <w:rPr>
      <w:u w:val="none"/>
    </w:rPr>
  </w:style>
  <w:style w:type="character" w:customStyle="1" w:styleId="ListLabel40">
    <w:name w:val="ListLabel 40"/>
    <w:qFormat/>
    <w:rPr>
      <w:u w:val="none"/>
    </w:rPr>
  </w:style>
  <w:style w:type="character" w:customStyle="1" w:styleId="ListLabel41">
    <w:name w:val="ListLabel 41"/>
    <w:qFormat/>
    <w:rPr>
      <w:u w:val="none"/>
    </w:rPr>
  </w:style>
  <w:style w:type="character" w:customStyle="1" w:styleId="ListLabel42">
    <w:name w:val="ListLabel 42"/>
    <w:qFormat/>
    <w:rPr>
      <w:u w:val="none"/>
    </w:rPr>
  </w:style>
  <w:style w:type="character" w:customStyle="1" w:styleId="ListLabel43">
    <w:name w:val="ListLabel 43"/>
    <w:qFormat/>
    <w:rPr>
      <w:u w:val="none"/>
    </w:rPr>
  </w:style>
  <w:style w:type="character" w:customStyle="1" w:styleId="ListLabel44">
    <w:name w:val="ListLabel 44"/>
    <w:qFormat/>
    <w:rPr>
      <w:u w:val="none"/>
    </w:rPr>
  </w:style>
  <w:style w:type="character" w:customStyle="1" w:styleId="ListLabel45">
    <w:name w:val="ListLabel 45"/>
    <w:qFormat/>
    <w:rPr>
      <w:u w:val="none"/>
    </w:rPr>
  </w:style>
  <w:style w:type="character" w:customStyle="1" w:styleId="ListLabel46">
    <w:name w:val="ListLabel 46"/>
    <w:qFormat/>
    <w:rPr>
      <w:u w:val="none"/>
    </w:rPr>
  </w:style>
  <w:style w:type="character" w:customStyle="1" w:styleId="ListLabel47">
    <w:name w:val="ListLabel 47"/>
    <w:qFormat/>
    <w:rPr>
      <w:u w:val="none"/>
    </w:rPr>
  </w:style>
  <w:style w:type="character" w:customStyle="1" w:styleId="ListLabel48">
    <w:name w:val="ListLabel 48"/>
    <w:qFormat/>
    <w:rPr>
      <w:u w:val="none"/>
    </w:rPr>
  </w:style>
  <w:style w:type="character" w:customStyle="1" w:styleId="ListLabel49">
    <w:name w:val="ListLabel 49"/>
    <w:qFormat/>
    <w:rPr>
      <w:rFonts w:eastAsia="Calibri" w:cs="Calibri"/>
    </w:rPr>
  </w:style>
  <w:style w:type="character" w:customStyle="1" w:styleId="ListLabel50">
    <w:name w:val="ListLabel 50"/>
    <w:qFormat/>
    <w:rPr>
      <w:rFonts w:cs="Courier New"/>
    </w:rPr>
  </w:style>
  <w:style w:type="character" w:customStyle="1" w:styleId="ListLabel51">
    <w:name w:val="ListLabel 51"/>
    <w:qFormat/>
    <w:rPr>
      <w:rFonts w:cs="Courier New"/>
    </w:rPr>
  </w:style>
  <w:style w:type="character" w:customStyle="1" w:styleId="ListLabel52">
    <w:name w:val="ListLabel 52"/>
    <w:qFormat/>
    <w:rPr>
      <w:rFonts w:cs="Courier New"/>
    </w:rPr>
  </w:style>
  <w:style w:type="character" w:customStyle="1" w:styleId="ListLabel53">
    <w:name w:val="ListLabel 53"/>
    <w:qFormat/>
    <w:rPr>
      <w:u w:val="none"/>
    </w:rPr>
  </w:style>
  <w:style w:type="character" w:customStyle="1" w:styleId="ListLabel54">
    <w:name w:val="ListLabel 54"/>
    <w:qFormat/>
    <w:rPr>
      <w:u w:val="none"/>
    </w:rPr>
  </w:style>
  <w:style w:type="character" w:customStyle="1" w:styleId="ListLabel55">
    <w:name w:val="ListLabel 55"/>
    <w:qFormat/>
    <w:rPr>
      <w:u w:val="none"/>
    </w:rPr>
  </w:style>
  <w:style w:type="character" w:customStyle="1" w:styleId="ListLabel56">
    <w:name w:val="ListLabel 56"/>
    <w:qFormat/>
    <w:rPr>
      <w:u w:val="none"/>
    </w:rPr>
  </w:style>
  <w:style w:type="character" w:customStyle="1" w:styleId="ListLabel57">
    <w:name w:val="ListLabel 57"/>
    <w:qFormat/>
    <w:rPr>
      <w:u w:val="none"/>
    </w:rPr>
  </w:style>
  <w:style w:type="character" w:customStyle="1" w:styleId="ListLabel58">
    <w:name w:val="ListLabel 58"/>
    <w:qFormat/>
    <w:rPr>
      <w:u w:val="none"/>
    </w:rPr>
  </w:style>
  <w:style w:type="character" w:customStyle="1" w:styleId="ListLabel59">
    <w:name w:val="ListLabel 59"/>
    <w:qFormat/>
    <w:rPr>
      <w:u w:val="none"/>
    </w:rPr>
  </w:style>
  <w:style w:type="character" w:customStyle="1" w:styleId="ListLabel60">
    <w:name w:val="ListLabel 60"/>
    <w:qFormat/>
    <w:rPr>
      <w:u w:val="none"/>
    </w:rPr>
  </w:style>
  <w:style w:type="character" w:customStyle="1" w:styleId="ListLabel61">
    <w:name w:val="ListLabel 61"/>
    <w:qFormat/>
    <w:rPr>
      <w:u w:val="none"/>
    </w:rPr>
  </w:style>
  <w:style w:type="character" w:customStyle="1" w:styleId="ListLabel62">
    <w:name w:val="ListLabel 62"/>
    <w:qFormat/>
    <w:rPr>
      <w:u w:val="none"/>
    </w:rPr>
  </w:style>
  <w:style w:type="character" w:customStyle="1" w:styleId="ListLabel63">
    <w:name w:val="ListLabel 63"/>
    <w:qFormat/>
    <w:rPr>
      <w:u w:val="none"/>
    </w:rPr>
  </w:style>
  <w:style w:type="character" w:customStyle="1" w:styleId="ListLabel64">
    <w:name w:val="ListLabel 64"/>
    <w:qFormat/>
    <w:rPr>
      <w:u w:val="none"/>
    </w:rPr>
  </w:style>
  <w:style w:type="character" w:customStyle="1" w:styleId="ListLabel65">
    <w:name w:val="ListLabel 65"/>
    <w:qFormat/>
    <w:rPr>
      <w:u w:val="none"/>
    </w:rPr>
  </w:style>
  <w:style w:type="character" w:customStyle="1" w:styleId="ListLabel66">
    <w:name w:val="ListLabel 66"/>
    <w:qFormat/>
    <w:rPr>
      <w:u w:val="none"/>
    </w:rPr>
  </w:style>
  <w:style w:type="character" w:customStyle="1" w:styleId="ListLabel67">
    <w:name w:val="ListLabel 67"/>
    <w:qFormat/>
    <w:rPr>
      <w:u w:val="none"/>
    </w:rPr>
  </w:style>
  <w:style w:type="character" w:customStyle="1" w:styleId="ListLabel68">
    <w:name w:val="ListLabel 68"/>
    <w:qFormat/>
    <w:rPr>
      <w:u w:val="none"/>
    </w:rPr>
  </w:style>
  <w:style w:type="character" w:customStyle="1" w:styleId="ListLabel69">
    <w:name w:val="ListLabel 69"/>
    <w:qFormat/>
    <w:rPr>
      <w:u w:val="none"/>
    </w:rPr>
  </w:style>
  <w:style w:type="character" w:customStyle="1" w:styleId="ListLabel70">
    <w:name w:val="ListLabel 70"/>
    <w:qFormat/>
    <w:rPr>
      <w:u w:val="none"/>
    </w:rPr>
  </w:style>
  <w:style w:type="character" w:customStyle="1" w:styleId="ListLabel71">
    <w:name w:val="ListLabel 71"/>
    <w:qFormat/>
    <w:rPr>
      <w:u w:val="none"/>
    </w:rPr>
  </w:style>
  <w:style w:type="character" w:customStyle="1" w:styleId="ListLabel72">
    <w:name w:val="ListLabel 72"/>
    <w:qFormat/>
    <w:rPr>
      <w:u w:val="none"/>
    </w:rPr>
  </w:style>
  <w:style w:type="character" w:customStyle="1" w:styleId="ListLabel73">
    <w:name w:val="ListLabel 73"/>
    <w:qFormat/>
    <w:rPr>
      <w:u w:val="none"/>
    </w:rPr>
  </w:style>
  <w:style w:type="character" w:customStyle="1" w:styleId="ListLabel74">
    <w:name w:val="ListLabel 74"/>
    <w:qFormat/>
    <w:rPr>
      <w:u w:val="none"/>
    </w:rPr>
  </w:style>
  <w:style w:type="character" w:customStyle="1" w:styleId="ListLabel75">
    <w:name w:val="ListLabel 75"/>
    <w:qFormat/>
    <w:rPr>
      <w:u w:val="none"/>
    </w:rPr>
  </w:style>
  <w:style w:type="character" w:customStyle="1" w:styleId="ListLabel76">
    <w:name w:val="ListLabel 76"/>
    <w:qFormat/>
    <w:rPr>
      <w:u w:val="none"/>
    </w:rPr>
  </w:style>
  <w:style w:type="character" w:customStyle="1" w:styleId="ListLabel77">
    <w:name w:val="ListLabel 77"/>
    <w:qFormat/>
    <w:rPr>
      <w:u w:val="none"/>
    </w:rPr>
  </w:style>
  <w:style w:type="character" w:customStyle="1" w:styleId="ListLabel78">
    <w:name w:val="ListLabel 78"/>
    <w:qFormat/>
    <w:rPr>
      <w:u w:val="none"/>
    </w:rPr>
  </w:style>
  <w:style w:type="character" w:customStyle="1" w:styleId="ListLabel79">
    <w:name w:val="ListLabel 79"/>
    <w:qFormat/>
    <w:rPr>
      <w:u w:val="none"/>
    </w:rPr>
  </w:style>
  <w:style w:type="paragraph" w:customStyle="1" w:styleId="Heading">
    <w:name w:val="Heading"/>
    <w:basedOn w:val="Normal"/>
    <w:next w:val="BodyText"/>
    <w:qFormat/>
    <w:pPr>
      <w:keepNext/>
      <w:spacing w:before="240"/>
    </w:pPr>
    <w:rPr>
      <w:rFonts w:ascii="Times New Roman" w:eastAsia="AR PL SungtiL GB" w:hAnsi="Times New Roman" w:cs="Lohit Devanagari"/>
      <w:sz w:val="28"/>
      <w:szCs w:val="28"/>
    </w:rPr>
  </w:style>
  <w:style w:type="paragraph" w:styleId="BodyText">
    <w:name w:val="Body Text"/>
    <w:basedOn w:val="Normal"/>
    <w:link w:val="BodyTextChar"/>
    <w:pPr>
      <w:spacing w:after="140" w:line="276" w:lineRule="auto"/>
    </w:pPr>
  </w:style>
  <w:style w:type="paragraph" w:styleId="List">
    <w:name w:val="List"/>
    <w:basedOn w:val="BodyText"/>
    <w:rPr>
      <w:rFonts w:ascii="Times New Roman" w:hAnsi="Times New Roman" w:cs="Lohit Devanagari"/>
    </w:rPr>
  </w:style>
  <w:style w:type="paragraph" w:styleId="Caption">
    <w:name w:val="caption"/>
    <w:basedOn w:val="Normal"/>
    <w:next w:val="Normal"/>
    <w:link w:val="CaptionChar"/>
    <w:uiPriority w:val="35"/>
    <w:unhideWhenUsed/>
    <w:qFormat/>
    <w:rsid w:val="00376097"/>
    <w:pPr>
      <w:spacing w:before="240"/>
      <w:jc w:val="left"/>
    </w:pPr>
    <w:rPr>
      <w:b/>
      <w:i/>
      <w:iCs/>
      <w:color w:val="44546A" w:themeColor="text2"/>
      <w:szCs w:val="18"/>
    </w:rPr>
  </w:style>
  <w:style w:type="paragraph" w:customStyle="1" w:styleId="Index">
    <w:name w:val="Index"/>
    <w:basedOn w:val="Normal"/>
    <w:qFormat/>
    <w:pPr>
      <w:suppressLineNumbers/>
    </w:pPr>
    <w:rPr>
      <w:rFonts w:ascii="Times New Roman" w:hAnsi="Times New Roman" w:cs="Lohit Devanagari"/>
    </w:rPr>
  </w:style>
  <w:style w:type="paragraph" w:styleId="Header">
    <w:name w:val="header"/>
    <w:basedOn w:val="Normal"/>
    <w:link w:val="HeaderChar"/>
    <w:uiPriority w:val="99"/>
    <w:unhideWhenUsed/>
    <w:rsid w:val="00C2149D"/>
    <w:pPr>
      <w:tabs>
        <w:tab w:val="left" w:pos="851"/>
        <w:tab w:val="right" w:pos="9781"/>
      </w:tabs>
      <w:spacing w:after="0"/>
      <w:ind w:firstLine="720"/>
    </w:pPr>
    <w:rPr>
      <w:b/>
      <w:color w:val="FFFFFF" w:themeColor="background1"/>
      <w:lang w:val="en-GB"/>
    </w:rPr>
  </w:style>
  <w:style w:type="paragraph" w:styleId="Footer">
    <w:name w:val="footer"/>
    <w:basedOn w:val="Normal"/>
    <w:link w:val="FooterChar"/>
    <w:uiPriority w:val="99"/>
    <w:unhideWhenUsed/>
    <w:rsid w:val="00B83BFB"/>
    <w:pPr>
      <w:tabs>
        <w:tab w:val="center" w:pos="4680"/>
        <w:tab w:val="right" w:pos="9360"/>
      </w:tabs>
      <w:spacing w:after="0"/>
    </w:pPr>
  </w:style>
  <w:style w:type="paragraph" w:styleId="Title">
    <w:name w:val="Title"/>
    <w:basedOn w:val="Normal"/>
    <w:next w:val="Normal"/>
    <w:link w:val="TitleChar"/>
    <w:uiPriority w:val="10"/>
    <w:qFormat/>
    <w:rsid w:val="0022732C"/>
    <w:pPr>
      <w:pBdr>
        <w:bottom w:val="single" w:sz="4" w:space="1" w:color="000000"/>
      </w:pBdr>
      <w:spacing w:before="1440"/>
      <w:jc w:val="left"/>
    </w:pPr>
    <w:rPr>
      <w:rFonts w:ascii="Cambria" w:eastAsia="Times New Roman" w:hAnsi="Cambria" w:cs="Times New Roman"/>
      <w:b/>
      <w:color w:val="538135" w:themeColor="accent6" w:themeShade="BF"/>
      <w:sz w:val="72"/>
      <w:szCs w:val="68"/>
      <w:lang w:eastAsia="ja-JP"/>
    </w:rPr>
  </w:style>
  <w:style w:type="paragraph" w:styleId="Subtitle">
    <w:name w:val="Subtitle"/>
    <w:basedOn w:val="Normal"/>
    <w:next w:val="Normal"/>
    <w:link w:val="SubtitleChar"/>
    <w:uiPriority w:val="11"/>
    <w:qFormat/>
    <w:rsid w:val="001255FD"/>
    <w:pPr>
      <w:widowControl w:val="0"/>
      <w:jc w:val="left"/>
    </w:pPr>
    <w:rPr>
      <w:rFonts w:ascii="Cambria" w:eastAsia="Calibri" w:hAnsi="Cambria"/>
      <w:b/>
      <w:color w:val="538135" w:themeColor="accent6" w:themeShade="BF"/>
      <w:w w:val="90"/>
      <w:sz w:val="48"/>
      <w:szCs w:val="48"/>
      <w:lang w:val="en-GB"/>
    </w:rPr>
  </w:style>
  <w:style w:type="paragraph" w:customStyle="1" w:styleId="AuthorNames">
    <w:name w:val="Author Names"/>
    <w:basedOn w:val="Normal"/>
    <w:qFormat/>
    <w:rsid w:val="0022732C"/>
    <w:pPr>
      <w:tabs>
        <w:tab w:val="center" w:pos="5040"/>
      </w:tabs>
      <w:jc w:val="left"/>
    </w:pPr>
    <w:rPr>
      <w:color w:val="435464"/>
      <w:sz w:val="28"/>
    </w:rPr>
  </w:style>
  <w:style w:type="paragraph" w:customStyle="1" w:styleId="WorkingPaper-Datebox">
    <w:name w:val="Working Paper - Date box"/>
    <w:basedOn w:val="Normal"/>
    <w:qFormat/>
    <w:rsid w:val="008C7E01"/>
    <w:pPr>
      <w:spacing w:after="200" w:line="276" w:lineRule="auto"/>
      <w:ind w:right="-105"/>
      <w:jc w:val="right"/>
    </w:pPr>
    <w:rPr>
      <w:rFonts w:eastAsiaTheme="minorEastAsia"/>
      <w:color w:val="5A344D"/>
    </w:rPr>
  </w:style>
  <w:style w:type="paragraph" w:styleId="FootnoteText">
    <w:name w:val="footnote text"/>
    <w:basedOn w:val="Normal"/>
    <w:link w:val="FootnoteTextChar"/>
    <w:uiPriority w:val="99"/>
    <w:unhideWhenUsed/>
    <w:rsid w:val="00155AF5"/>
    <w:pPr>
      <w:spacing w:after="40"/>
      <w:ind w:left="397" w:hanging="397"/>
    </w:pPr>
  </w:style>
  <w:style w:type="paragraph" w:styleId="CommentText">
    <w:name w:val="annotation text"/>
    <w:basedOn w:val="Normal"/>
    <w:link w:val="CommentTextChar"/>
    <w:uiPriority w:val="99"/>
    <w:unhideWhenUsed/>
    <w:qFormat/>
    <w:rsid w:val="00792546"/>
  </w:style>
  <w:style w:type="paragraph" w:customStyle="1" w:styleId="bullets">
    <w:name w:val="bullets"/>
    <w:basedOn w:val="Normal"/>
    <w:qFormat/>
    <w:rsid w:val="00D42472"/>
    <w:pPr>
      <w:spacing w:line="276" w:lineRule="auto"/>
      <w:ind w:left="576" w:hanging="288"/>
    </w:pPr>
    <w:rPr>
      <w:rFonts w:ascii="Calibri" w:eastAsiaTheme="minorEastAsia" w:hAnsi="Calibri"/>
    </w:rPr>
  </w:style>
  <w:style w:type="paragraph" w:customStyle="1" w:styleId="boxbullets">
    <w:name w:val="box bullets"/>
    <w:basedOn w:val="bullets"/>
    <w:qFormat/>
    <w:rsid w:val="00D42472"/>
    <w:pPr>
      <w:spacing w:before="120"/>
      <w:ind w:left="547" w:right="432"/>
    </w:pPr>
    <w:rPr>
      <w:sz w:val="18"/>
      <w:szCs w:val="18"/>
    </w:rPr>
  </w:style>
  <w:style w:type="paragraph" w:customStyle="1" w:styleId="boxtitle">
    <w:name w:val="box title"/>
    <w:basedOn w:val="Heading3"/>
    <w:qFormat/>
    <w:rsid w:val="00201E66"/>
    <w:pPr>
      <w:spacing w:before="160" w:after="40"/>
    </w:pPr>
    <w:rPr>
      <w:rFonts w:ascii="Arial" w:hAnsi="Arial"/>
      <w:b w:val="0"/>
      <w:bCs/>
      <w:color w:val="5A344D"/>
    </w:rPr>
  </w:style>
  <w:style w:type="paragraph" w:customStyle="1" w:styleId="TableText">
    <w:name w:val="Table Text"/>
    <w:basedOn w:val="Normal"/>
    <w:qFormat/>
    <w:rsid w:val="00EB7CF9"/>
    <w:pPr>
      <w:spacing w:before="40" w:after="40"/>
      <w:jc w:val="left"/>
    </w:pPr>
    <w:rPr>
      <w:rFonts w:cs="BryantPro-Regular"/>
      <w:color w:val="000000"/>
      <w:w w:val="90"/>
    </w:rPr>
  </w:style>
  <w:style w:type="paragraph" w:customStyle="1" w:styleId="tableheading">
    <w:name w:val="table heading"/>
    <w:basedOn w:val="Normal"/>
    <w:qFormat/>
    <w:rsid w:val="009732D3"/>
    <w:pPr>
      <w:spacing w:before="40" w:after="40"/>
      <w:jc w:val="center"/>
    </w:pPr>
    <w:rPr>
      <w:rFonts w:eastAsia="Calibri" w:cs="BryantPro-Regular"/>
      <w:b/>
      <w:color w:val="FFFFFF" w:themeColor="background1"/>
      <w:w w:val="90"/>
    </w:rPr>
  </w:style>
  <w:style w:type="paragraph" w:customStyle="1" w:styleId="TableTitle">
    <w:name w:val="Table Title"/>
    <w:basedOn w:val="boxtitle"/>
    <w:qFormat/>
    <w:rsid w:val="0001174F"/>
    <w:pPr>
      <w:spacing w:before="240"/>
      <w:jc w:val="left"/>
    </w:pPr>
    <w:rPr>
      <w:rFonts w:asciiTheme="minorHAnsi" w:hAnsiTheme="minorHAnsi" w:cs="Arial"/>
      <w:b/>
      <w:color w:val="385623" w:themeColor="accent6" w:themeShade="80"/>
      <w:sz w:val="22"/>
    </w:rPr>
  </w:style>
  <w:style w:type="paragraph" w:styleId="BalloonText">
    <w:name w:val="Balloon Text"/>
    <w:basedOn w:val="Normal"/>
    <w:link w:val="BalloonTextChar"/>
    <w:uiPriority w:val="99"/>
    <w:semiHidden/>
    <w:unhideWhenUsed/>
    <w:qFormat/>
    <w:rsid w:val="00653728"/>
    <w:pPr>
      <w:spacing w:after="0"/>
    </w:pPr>
    <w:rPr>
      <w:rFonts w:ascii="Segoe UI" w:hAnsi="Segoe UI" w:cs="Segoe UI"/>
      <w:sz w:val="18"/>
      <w:szCs w:val="18"/>
    </w:rPr>
  </w:style>
  <w:style w:type="paragraph" w:styleId="TOC1">
    <w:name w:val="toc 1"/>
    <w:basedOn w:val="Normal"/>
    <w:next w:val="Normal"/>
    <w:autoRedefine/>
    <w:uiPriority w:val="39"/>
    <w:unhideWhenUsed/>
    <w:qFormat/>
    <w:rsid w:val="00E53BBB"/>
    <w:pPr>
      <w:tabs>
        <w:tab w:val="left" w:pos="440"/>
        <w:tab w:val="right" w:leader="dot" w:pos="9781"/>
      </w:tabs>
      <w:spacing w:before="120" w:after="0"/>
    </w:pPr>
    <w:rPr>
      <w:rFonts w:eastAsiaTheme="majorEastAsia" w:cs="Arial"/>
    </w:rPr>
  </w:style>
  <w:style w:type="paragraph" w:customStyle="1" w:styleId="Acknowledgementsheading">
    <w:name w:val="Acknowledgements heading"/>
    <w:basedOn w:val="Normal"/>
    <w:link w:val="AcknowledgementsheadingChar"/>
    <w:qFormat/>
    <w:rsid w:val="00827CB1"/>
    <w:pPr>
      <w:pBdr>
        <w:bottom w:val="single" w:sz="4" w:space="1" w:color="000000"/>
      </w:pBdr>
      <w:tabs>
        <w:tab w:val="left" w:pos="1095"/>
      </w:tabs>
      <w:spacing w:before="240"/>
    </w:pPr>
    <w:rPr>
      <w:rFonts w:cs="Arial"/>
      <w:b/>
      <w:color w:val="538135" w:themeColor="accent6" w:themeShade="BF"/>
    </w:rPr>
  </w:style>
  <w:style w:type="paragraph" w:styleId="ListParagraph">
    <w:name w:val="List Paragraph"/>
    <w:basedOn w:val="Normal"/>
    <w:uiPriority w:val="34"/>
    <w:qFormat/>
    <w:rsid w:val="00203371"/>
    <w:pPr>
      <w:ind w:left="720"/>
      <w:contextualSpacing/>
    </w:pPr>
  </w:style>
  <w:style w:type="paragraph" w:styleId="CommentSubject">
    <w:name w:val="annotation subject"/>
    <w:basedOn w:val="Normal"/>
    <w:next w:val="Normal"/>
    <w:link w:val="CommentSubjectChar"/>
    <w:uiPriority w:val="99"/>
    <w:semiHidden/>
    <w:unhideWhenUsed/>
    <w:qFormat/>
    <w:rsid w:val="00792546"/>
    <w:rPr>
      <w:b/>
      <w:bCs/>
    </w:rPr>
  </w:style>
  <w:style w:type="paragraph" w:styleId="TOCHeading">
    <w:name w:val="TOC Heading"/>
    <w:basedOn w:val="Heading1"/>
    <w:next w:val="Normal"/>
    <w:uiPriority w:val="39"/>
    <w:unhideWhenUsed/>
    <w:qFormat/>
    <w:rsid w:val="00203371"/>
    <w:pPr>
      <w:numPr>
        <w:numId w:val="0"/>
      </w:numPr>
    </w:pPr>
    <w:rPr>
      <w:rFonts w:asciiTheme="majorHAnsi" w:eastAsiaTheme="majorEastAsia" w:hAnsiTheme="majorHAnsi" w:cstheme="majorBidi"/>
      <w:bCs w:val="0"/>
      <w:caps w:val="0"/>
      <w:color w:val="auto"/>
      <w:sz w:val="32"/>
      <w:szCs w:val="32"/>
    </w:rPr>
  </w:style>
  <w:style w:type="paragraph" w:styleId="TOC2">
    <w:name w:val="toc 2"/>
    <w:basedOn w:val="Normal"/>
    <w:next w:val="Normal"/>
    <w:autoRedefine/>
    <w:uiPriority w:val="39"/>
    <w:unhideWhenUsed/>
    <w:rsid w:val="00203371"/>
    <w:pPr>
      <w:tabs>
        <w:tab w:val="left" w:pos="880"/>
        <w:tab w:val="right" w:leader="dot" w:pos="9016"/>
      </w:tabs>
      <w:spacing w:after="100"/>
      <w:ind w:left="220"/>
    </w:pPr>
  </w:style>
  <w:style w:type="paragraph" w:styleId="TOC3">
    <w:name w:val="toc 3"/>
    <w:basedOn w:val="Normal"/>
    <w:next w:val="Normal"/>
    <w:autoRedefine/>
    <w:uiPriority w:val="39"/>
    <w:unhideWhenUsed/>
    <w:rsid w:val="00203371"/>
    <w:pPr>
      <w:spacing w:after="100"/>
      <w:ind w:left="440"/>
    </w:pPr>
  </w:style>
  <w:style w:type="paragraph" w:styleId="Revision">
    <w:name w:val="Revision"/>
    <w:uiPriority w:val="99"/>
    <w:semiHidden/>
    <w:qFormat/>
    <w:rsid w:val="00203371"/>
    <w:rPr>
      <w:sz w:val="22"/>
      <w:lang w:val="en-ZA"/>
    </w:rPr>
  </w:style>
  <w:style w:type="paragraph" w:styleId="EndnoteText">
    <w:name w:val="endnote text"/>
    <w:basedOn w:val="Normal"/>
    <w:link w:val="EndnoteTextChar"/>
    <w:uiPriority w:val="99"/>
    <w:semiHidden/>
    <w:unhideWhenUsed/>
    <w:rsid w:val="00203371"/>
    <w:pPr>
      <w:spacing w:after="0"/>
    </w:pPr>
  </w:style>
  <w:style w:type="paragraph" w:styleId="NoSpacing">
    <w:name w:val="No Spacing"/>
    <w:link w:val="NoSpacingChar"/>
    <w:uiPriority w:val="1"/>
    <w:qFormat/>
    <w:rsid w:val="001255FD"/>
    <w:rPr>
      <w:rFonts w:ascii="Calibri" w:eastAsiaTheme="minorEastAsia" w:hAnsi="Calibri"/>
      <w:sz w:val="22"/>
      <w:lang w:eastAsia="zh-CN"/>
    </w:rPr>
  </w:style>
  <w:style w:type="paragraph" w:customStyle="1" w:styleId="References">
    <w:name w:val="References"/>
    <w:basedOn w:val="Normal"/>
    <w:link w:val="ReferencesChar"/>
    <w:qFormat/>
    <w:rsid w:val="0001174F"/>
    <w:pPr>
      <w:ind w:left="567" w:hanging="567"/>
      <w:jc w:val="left"/>
    </w:pPr>
  </w:style>
  <w:style w:type="paragraph" w:styleId="NormalWeb">
    <w:name w:val="Normal (Web)"/>
    <w:basedOn w:val="Normal"/>
    <w:uiPriority w:val="99"/>
    <w:semiHidden/>
    <w:unhideWhenUsed/>
    <w:qFormat/>
    <w:rsid w:val="00CC25B2"/>
    <w:pPr>
      <w:spacing w:beforeAutospacing="1" w:afterAutospacing="1"/>
    </w:pPr>
    <w:rPr>
      <w:rFonts w:ascii="Times New Roman" w:eastAsiaTheme="minorEastAsia" w:hAnsi="Times New Roman" w:cs="Times New Roman"/>
      <w:sz w:val="24"/>
      <w:szCs w:val="24"/>
      <w:lang w:eastAsia="en-ZA"/>
    </w:rPr>
  </w:style>
  <w:style w:type="paragraph" w:customStyle="1" w:styleId="NoSpacing1">
    <w:name w:val="No Spacing1"/>
    <w:uiPriority w:val="1"/>
    <w:qFormat/>
    <w:rsid w:val="0022732C"/>
    <w:rPr>
      <w:sz w:val="22"/>
      <w:lang w:val="en-ZA"/>
    </w:rPr>
  </w:style>
  <w:style w:type="paragraph" w:customStyle="1" w:styleId="Source">
    <w:name w:val="Source"/>
    <w:basedOn w:val="Normal"/>
    <w:link w:val="SourceChar"/>
    <w:qFormat/>
    <w:rsid w:val="003A402F"/>
    <w:pPr>
      <w:spacing w:after="240" w:line="276" w:lineRule="auto"/>
    </w:pPr>
    <w:rPr>
      <w:i/>
      <w:sz w:val="18"/>
      <w:lang w:val="en-GB"/>
    </w:rPr>
  </w:style>
  <w:style w:type="paragraph" w:customStyle="1" w:styleId="Caption-figure">
    <w:name w:val="Caption - figure"/>
    <w:basedOn w:val="Caption"/>
    <w:qFormat/>
    <w:rsid w:val="00792546"/>
    <w:pPr>
      <w:spacing w:before="120" w:after="240"/>
    </w:pPr>
  </w:style>
  <w:style w:type="paragraph" w:customStyle="1" w:styleId="FrameContents">
    <w:name w:val="Frame Contents"/>
    <w:basedOn w:val="Normal"/>
    <w:qFormat/>
  </w:style>
  <w:style w:type="table" w:customStyle="1" w:styleId="GridTable4-Accent61">
    <w:name w:val="Grid Table 4 - Accent 61"/>
    <w:basedOn w:val="TableNormal"/>
    <w:uiPriority w:val="49"/>
    <w:rsid w:val="00045CC5"/>
    <w:pPr>
      <w:spacing w:before="40" w:after="40"/>
    </w:pPr>
    <w:tblPr>
      <w:tblStyleRowBandSize w:val="1"/>
      <w:tblStyleColBandSize w:val="1"/>
    </w:tblPr>
    <w:tblStylePr w:type="firstRow">
      <w:rPr>
        <w:b/>
        <w:bCs/>
        <w:color w:val="FFFFFF" w:themeColor="background1"/>
      </w:rPr>
      <w:tblPr/>
      <w:tcPr>
        <w:shd w:val="clear" w:color="auto" w:fill="435464"/>
      </w:tcPr>
    </w:tblStylePr>
    <w:tblStylePr w:type="lastRow">
      <w:rPr>
        <w:b/>
        <w:bCs/>
      </w:rPr>
      <w:tblPr/>
      <w:tcPr>
        <w:tcBorders>
          <w:top w:val="double" w:sz="4" w:space="0" w:color="70AD47" w:themeColor="accent6"/>
        </w:tcBorders>
      </w:tcPr>
    </w:tblStylePr>
    <w:tblStylePr w:type="firstCol">
      <w:pPr>
        <w:wordWrap/>
        <w:spacing w:beforeLines="40" w:before="40" w:afterLines="40" w:after="40"/>
        <w:ind w:rightChars="0" w:right="0"/>
        <w:jc w:val="left"/>
      </w:pPr>
      <w:rPr>
        <w:rFonts w:asciiTheme="minorHAnsi" w:hAnsiTheme="minorHAnsi"/>
        <w:b w:val="0"/>
        <w:bCs/>
        <w:sz w:val="20"/>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eGrid">
    <w:name w:val="Table Grid"/>
    <w:basedOn w:val="TableNormal"/>
    <w:uiPriority w:val="59"/>
    <w:rsid w:val="00A60DE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Light1">
    <w:name w:val="Table Grid Light1"/>
    <w:basedOn w:val="TableNormal"/>
    <w:uiPriority w:val="40"/>
    <w:rsid w:val="00203371"/>
    <w:pPr>
      <w:spacing w:before="120"/>
      <w:jc w:val="both"/>
    </w:pPr>
    <w:rPr>
      <w:lang w:val="en-ZA"/>
    </w:rPr>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style>
  <w:style w:type="table" w:customStyle="1" w:styleId="GridTable6Colorful-Accent51">
    <w:name w:val="Grid Table 6 Colorful - Accent 51"/>
    <w:basedOn w:val="TableNormal"/>
    <w:uiPriority w:val="51"/>
    <w:rsid w:val="001255FD"/>
    <w:rPr>
      <w:color w:val="2E74B5"/>
    </w:rPr>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rPr>
      <w:tblPr/>
      <w:tcPr>
        <w:tcBorders>
          <w:bottom w:val="single" w:sz="12" w:space="0" w:color="9CC2E5"/>
        </w:tcBorders>
      </w:tcPr>
    </w:tblStylePr>
    <w:tblStylePr w:type="lastRow">
      <w:rPr>
        <w:b/>
        <w:bCs/>
      </w:rPr>
      <w:tblPr/>
      <w:tcPr>
        <w:tcBorders>
          <w:top w:val="double" w:sz="4" w:space="0" w:color="9CC2E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customStyle="1" w:styleId="Style1">
    <w:name w:val="Style1"/>
    <w:basedOn w:val="TableNormal"/>
    <w:uiPriority w:val="99"/>
    <w:rsid w:val="00C1557E"/>
    <w:tblPr/>
  </w:style>
  <w:style w:type="table" w:customStyle="1" w:styleId="GridTable1Light-Accent11">
    <w:name w:val="Grid Table 1 Light - Accent 11"/>
    <w:basedOn w:val="TableNormal"/>
    <w:uiPriority w:val="46"/>
    <w:rsid w:val="00436503"/>
    <w:rPr>
      <w:lang w:val="en-ZA"/>
    </w:r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5B9BD5" w:themeColor="accent1"/>
        </w:tcBorders>
      </w:tcPr>
    </w:tblStylePr>
    <w:tblStylePr w:type="lastRow">
      <w:rPr>
        <w:b/>
        <w:bCs/>
      </w:rPr>
      <w:tblPr/>
      <w:tcPr>
        <w:tcBorders>
          <w:top w:val="double" w:sz="2" w:space="0" w:color="5B9BD5" w:themeColor="accent1"/>
        </w:tcBorders>
      </w:tcPr>
    </w:tblStylePr>
    <w:tblStylePr w:type="firstCol">
      <w:rPr>
        <w:b/>
        <w:bCs/>
      </w:rPr>
    </w:tblStylePr>
    <w:tblStylePr w:type="lastCol">
      <w:rPr>
        <w:b/>
        <w:bCs/>
      </w:rPr>
    </w:tblStylePr>
  </w:style>
  <w:style w:type="table" w:customStyle="1" w:styleId="Style2">
    <w:name w:val="Style2"/>
    <w:basedOn w:val="TableNormal"/>
    <w:uiPriority w:val="99"/>
    <w:rsid w:val="00D85951"/>
    <w:tblPr/>
  </w:style>
  <w:style w:type="table" w:styleId="GridTable3-Accent6">
    <w:name w:val="Grid Table 3 Accent 6"/>
    <w:basedOn w:val="TableNormal"/>
    <w:uiPriority w:val="48"/>
    <w:rsid w:val="003245F3"/>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70AD47" w:themeColor="accent6"/>
        </w:tcBorders>
      </w:tcPr>
    </w:tblStylePr>
    <w:tblStylePr w:type="nwCell">
      <w:tblPr/>
      <w:tcPr>
        <w:tcBorders>
          <w:bottom w:val="single" w:sz="4" w:space="0" w:color="70AD47" w:themeColor="accent6"/>
        </w:tcBorders>
      </w:tcPr>
    </w:tblStylePr>
    <w:tblStylePr w:type="seCell">
      <w:tblPr/>
      <w:tcPr>
        <w:tcBorders>
          <w:top w:val="single" w:sz="4" w:space="0" w:color="70AD47" w:themeColor="accent6"/>
        </w:tcBorders>
      </w:tcPr>
    </w:tblStylePr>
    <w:tblStylePr w:type="swCell">
      <w:tblPr/>
      <w:tcPr>
        <w:tcBorders>
          <w:top w:val="single" w:sz="4" w:space="0" w:color="70AD47" w:themeColor="accent6"/>
        </w:tcBorders>
      </w:tcPr>
    </w:tblStylePr>
  </w:style>
  <w:style w:type="table" w:styleId="GridTable1Light-Accent6">
    <w:name w:val="Grid Table 1 Light Accent 6"/>
    <w:basedOn w:val="TableNormal"/>
    <w:uiPriority w:val="46"/>
    <w:rsid w:val="002677CF"/>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70AD47" w:themeColor="accent6"/>
        </w:tcBorders>
      </w:tcPr>
    </w:tblStylePr>
    <w:tblStylePr w:type="lastRow">
      <w:rPr>
        <w:b/>
        <w:bCs/>
      </w:rPr>
      <w:tblPr/>
      <w:tcPr>
        <w:tcBorders>
          <w:top w:val="double" w:sz="2" w:space="0" w:color="70AD47" w:themeColor="accent6"/>
        </w:tcBorders>
      </w:tcPr>
    </w:tblStylePr>
    <w:tblStylePr w:type="firstCol">
      <w:rPr>
        <w:b/>
        <w:bCs/>
      </w:rPr>
    </w:tblStylePr>
    <w:tblStylePr w:type="lastCol">
      <w:rPr>
        <w:b/>
        <w:bCs/>
      </w:rPr>
    </w:tblStylePr>
  </w:style>
  <w:style w:type="table" w:customStyle="1" w:styleId="Style3">
    <w:name w:val="Style3"/>
    <w:basedOn w:val="TableNormal"/>
    <w:uiPriority w:val="99"/>
    <w:rsid w:val="006C6A7A"/>
    <w:tblPr/>
  </w:style>
  <w:style w:type="character" w:styleId="FootnoteReference">
    <w:name w:val="footnote reference"/>
    <w:basedOn w:val="DefaultParagraphFont"/>
    <w:uiPriority w:val="99"/>
    <w:semiHidden/>
    <w:unhideWhenUsed/>
    <w:rPr>
      <w:vertAlign w:val="superscript"/>
    </w:rPr>
  </w:style>
  <w:style w:type="table" w:styleId="GridTable5Dark-Accent1">
    <w:name w:val="Grid Table 5 Dark Accent 1"/>
    <w:basedOn w:val="TableNormal"/>
    <w:uiPriority w:val="50"/>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character" w:styleId="Hyperlink">
    <w:name w:val="Hyperlink"/>
    <w:basedOn w:val="DefaultParagraphFont"/>
    <w:uiPriority w:val="99"/>
    <w:unhideWhenUsed/>
    <w:rPr>
      <w:color w:val="0563C1" w:themeColor="hyperlink"/>
      <w:u w:val="single"/>
    </w:rPr>
  </w:style>
  <w:style w:type="character" w:customStyle="1" w:styleId="st">
    <w:name w:val="st"/>
    <w:basedOn w:val="DefaultParagraphFont"/>
    <w:rsid w:val="00874801"/>
  </w:style>
  <w:style w:type="character" w:customStyle="1" w:styleId="BodyTextChar">
    <w:name w:val="Body Text Char"/>
    <w:basedOn w:val="DefaultParagraphFont"/>
    <w:link w:val="BodyText"/>
    <w:rsid w:val="00EA77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0650041">
      <w:bodyDiv w:val="1"/>
      <w:marLeft w:val="0"/>
      <w:marRight w:val="0"/>
      <w:marTop w:val="0"/>
      <w:marBottom w:val="0"/>
      <w:divBdr>
        <w:top w:val="none" w:sz="0" w:space="0" w:color="auto"/>
        <w:left w:val="none" w:sz="0" w:space="0" w:color="auto"/>
        <w:bottom w:val="none" w:sz="0" w:space="0" w:color="auto"/>
        <w:right w:val="none" w:sz="0" w:space="0" w:color="auto"/>
      </w:divBdr>
    </w:div>
    <w:div w:id="321396516">
      <w:bodyDiv w:val="1"/>
      <w:marLeft w:val="0"/>
      <w:marRight w:val="0"/>
      <w:marTop w:val="0"/>
      <w:marBottom w:val="0"/>
      <w:divBdr>
        <w:top w:val="none" w:sz="0" w:space="0" w:color="auto"/>
        <w:left w:val="none" w:sz="0" w:space="0" w:color="auto"/>
        <w:bottom w:val="none" w:sz="0" w:space="0" w:color="auto"/>
        <w:right w:val="none" w:sz="0" w:space="0" w:color="auto"/>
      </w:divBdr>
    </w:div>
    <w:div w:id="368838840">
      <w:bodyDiv w:val="1"/>
      <w:marLeft w:val="0"/>
      <w:marRight w:val="0"/>
      <w:marTop w:val="0"/>
      <w:marBottom w:val="0"/>
      <w:divBdr>
        <w:top w:val="none" w:sz="0" w:space="0" w:color="auto"/>
        <w:left w:val="none" w:sz="0" w:space="0" w:color="auto"/>
        <w:bottom w:val="none" w:sz="0" w:space="0" w:color="auto"/>
        <w:right w:val="none" w:sz="0" w:space="0" w:color="auto"/>
      </w:divBdr>
      <w:divsChild>
        <w:div w:id="1705325312">
          <w:marLeft w:val="0"/>
          <w:marRight w:val="0"/>
          <w:marTop w:val="0"/>
          <w:marBottom w:val="0"/>
          <w:divBdr>
            <w:top w:val="none" w:sz="0" w:space="0" w:color="auto"/>
            <w:left w:val="none" w:sz="0" w:space="0" w:color="auto"/>
            <w:bottom w:val="none" w:sz="0" w:space="0" w:color="auto"/>
            <w:right w:val="none" w:sz="0" w:space="0" w:color="auto"/>
          </w:divBdr>
        </w:div>
      </w:divsChild>
    </w:div>
    <w:div w:id="434911513">
      <w:bodyDiv w:val="1"/>
      <w:marLeft w:val="0"/>
      <w:marRight w:val="0"/>
      <w:marTop w:val="0"/>
      <w:marBottom w:val="0"/>
      <w:divBdr>
        <w:top w:val="none" w:sz="0" w:space="0" w:color="auto"/>
        <w:left w:val="none" w:sz="0" w:space="0" w:color="auto"/>
        <w:bottom w:val="none" w:sz="0" w:space="0" w:color="auto"/>
        <w:right w:val="none" w:sz="0" w:space="0" w:color="auto"/>
      </w:divBdr>
    </w:div>
    <w:div w:id="471795921">
      <w:bodyDiv w:val="1"/>
      <w:marLeft w:val="0"/>
      <w:marRight w:val="0"/>
      <w:marTop w:val="0"/>
      <w:marBottom w:val="0"/>
      <w:divBdr>
        <w:top w:val="none" w:sz="0" w:space="0" w:color="auto"/>
        <w:left w:val="none" w:sz="0" w:space="0" w:color="auto"/>
        <w:bottom w:val="none" w:sz="0" w:space="0" w:color="auto"/>
        <w:right w:val="none" w:sz="0" w:space="0" w:color="auto"/>
      </w:divBdr>
    </w:div>
    <w:div w:id="547228972">
      <w:bodyDiv w:val="1"/>
      <w:marLeft w:val="0"/>
      <w:marRight w:val="0"/>
      <w:marTop w:val="0"/>
      <w:marBottom w:val="0"/>
      <w:divBdr>
        <w:top w:val="none" w:sz="0" w:space="0" w:color="auto"/>
        <w:left w:val="none" w:sz="0" w:space="0" w:color="auto"/>
        <w:bottom w:val="none" w:sz="0" w:space="0" w:color="auto"/>
        <w:right w:val="none" w:sz="0" w:space="0" w:color="auto"/>
      </w:divBdr>
    </w:div>
    <w:div w:id="600576208">
      <w:bodyDiv w:val="1"/>
      <w:marLeft w:val="0"/>
      <w:marRight w:val="0"/>
      <w:marTop w:val="0"/>
      <w:marBottom w:val="0"/>
      <w:divBdr>
        <w:top w:val="none" w:sz="0" w:space="0" w:color="auto"/>
        <w:left w:val="none" w:sz="0" w:space="0" w:color="auto"/>
        <w:bottom w:val="none" w:sz="0" w:space="0" w:color="auto"/>
        <w:right w:val="none" w:sz="0" w:space="0" w:color="auto"/>
      </w:divBdr>
    </w:div>
    <w:div w:id="610940037">
      <w:bodyDiv w:val="1"/>
      <w:marLeft w:val="0"/>
      <w:marRight w:val="0"/>
      <w:marTop w:val="0"/>
      <w:marBottom w:val="0"/>
      <w:divBdr>
        <w:top w:val="none" w:sz="0" w:space="0" w:color="auto"/>
        <w:left w:val="none" w:sz="0" w:space="0" w:color="auto"/>
        <w:bottom w:val="none" w:sz="0" w:space="0" w:color="auto"/>
        <w:right w:val="none" w:sz="0" w:space="0" w:color="auto"/>
      </w:divBdr>
    </w:div>
    <w:div w:id="707921546">
      <w:bodyDiv w:val="1"/>
      <w:marLeft w:val="0"/>
      <w:marRight w:val="0"/>
      <w:marTop w:val="0"/>
      <w:marBottom w:val="0"/>
      <w:divBdr>
        <w:top w:val="none" w:sz="0" w:space="0" w:color="auto"/>
        <w:left w:val="none" w:sz="0" w:space="0" w:color="auto"/>
        <w:bottom w:val="none" w:sz="0" w:space="0" w:color="auto"/>
        <w:right w:val="none" w:sz="0" w:space="0" w:color="auto"/>
      </w:divBdr>
    </w:div>
    <w:div w:id="894926460">
      <w:bodyDiv w:val="1"/>
      <w:marLeft w:val="0"/>
      <w:marRight w:val="0"/>
      <w:marTop w:val="0"/>
      <w:marBottom w:val="0"/>
      <w:divBdr>
        <w:top w:val="none" w:sz="0" w:space="0" w:color="auto"/>
        <w:left w:val="none" w:sz="0" w:space="0" w:color="auto"/>
        <w:bottom w:val="none" w:sz="0" w:space="0" w:color="auto"/>
        <w:right w:val="none" w:sz="0" w:space="0" w:color="auto"/>
      </w:divBdr>
    </w:div>
    <w:div w:id="1016809989">
      <w:bodyDiv w:val="1"/>
      <w:marLeft w:val="0"/>
      <w:marRight w:val="0"/>
      <w:marTop w:val="0"/>
      <w:marBottom w:val="0"/>
      <w:divBdr>
        <w:top w:val="none" w:sz="0" w:space="0" w:color="auto"/>
        <w:left w:val="none" w:sz="0" w:space="0" w:color="auto"/>
        <w:bottom w:val="none" w:sz="0" w:space="0" w:color="auto"/>
        <w:right w:val="none" w:sz="0" w:space="0" w:color="auto"/>
      </w:divBdr>
    </w:div>
    <w:div w:id="1270507888">
      <w:bodyDiv w:val="1"/>
      <w:marLeft w:val="0"/>
      <w:marRight w:val="0"/>
      <w:marTop w:val="0"/>
      <w:marBottom w:val="0"/>
      <w:divBdr>
        <w:top w:val="none" w:sz="0" w:space="0" w:color="auto"/>
        <w:left w:val="none" w:sz="0" w:space="0" w:color="auto"/>
        <w:bottom w:val="none" w:sz="0" w:space="0" w:color="auto"/>
        <w:right w:val="none" w:sz="0" w:space="0" w:color="auto"/>
      </w:divBdr>
    </w:div>
    <w:div w:id="1609584515">
      <w:bodyDiv w:val="1"/>
      <w:marLeft w:val="0"/>
      <w:marRight w:val="0"/>
      <w:marTop w:val="0"/>
      <w:marBottom w:val="0"/>
      <w:divBdr>
        <w:top w:val="none" w:sz="0" w:space="0" w:color="auto"/>
        <w:left w:val="none" w:sz="0" w:space="0" w:color="auto"/>
        <w:bottom w:val="none" w:sz="0" w:space="0" w:color="auto"/>
        <w:right w:val="none" w:sz="0" w:space="0" w:color="auto"/>
      </w:divBdr>
    </w:div>
    <w:div w:id="1853644637">
      <w:bodyDiv w:val="1"/>
      <w:marLeft w:val="0"/>
      <w:marRight w:val="0"/>
      <w:marTop w:val="0"/>
      <w:marBottom w:val="0"/>
      <w:divBdr>
        <w:top w:val="none" w:sz="0" w:space="0" w:color="auto"/>
        <w:left w:val="none" w:sz="0" w:space="0" w:color="auto"/>
        <w:bottom w:val="none" w:sz="0" w:space="0" w:color="auto"/>
        <w:right w:val="none" w:sz="0" w:space="0" w:color="auto"/>
      </w:divBdr>
    </w:div>
    <w:div w:id="1912080422">
      <w:bodyDiv w:val="1"/>
      <w:marLeft w:val="0"/>
      <w:marRight w:val="0"/>
      <w:marTop w:val="0"/>
      <w:marBottom w:val="0"/>
      <w:divBdr>
        <w:top w:val="none" w:sz="0" w:space="0" w:color="auto"/>
        <w:left w:val="none" w:sz="0" w:space="0" w:color="auto"/>
        <w:bottom w:val="none" w:sz="0" w:space="0" w:color="auto"/>
        <w:right w:val="none" w:sz="0" w:space="0" w:color="auto"/>
      </w:divBdr>
    </w:div>
    <w:div w:id="1959677922">
      <w:bodyDiv w:val="1"/>
      <w:marLeft w:val="0"/>
      <w:marRight w:val="0"/>
      <w:marTop w:val="0"/>
      <w:marBottom w:val="0"/>
      <w:divBdr>
        <w:top w:val="none" w:sz="0" w:space="0" w:color="auto"/>
        <w:left w:val="none" w:sz="0" w:space="0" w:color="auto"/>
        <w:bottom w:val="none" w:sz="0" w:space="0" w:color="auto"/>
        <w:right w:val="none" w:sz="0" w:space="0" w:color="auto"/>
      </w:divBdr>
    </w:div>
    <w:div w:id="2097480783">
      <w:bodyDiv w:val="1"/>
      <w:marLeft w:val="0"/>
      <w:marRight w:val="0"/>
      <w:marTop w:val="0"/>
      <w:marBottom w:val="0"/>
      <w:divBdr>
        <w:top w:val="none" w:sz="0" w:space="0" w:color="auto"/>
        <w:left w:val="none" w:sz="0" w:space="0" w:color="auto"/>
        <w:bottom w:val="none" w:sz="0" w:space="0" w:color="auto"/>
        <w:right w:val="none" w:sz="0" w:space="0" w:color="auto"/>
      </w:divBdr>
    </w:div>
    <w:div w:id="211918185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emf"/><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0.png"/><Relationship Id="rId34" Type="http://schemas.openxmlformats.org/officeDocument/2006/relationships/fontTable" Target="fontTable.xml"/><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image" Target="media/image6.emf"/><Relationship Id="rId25" Type="http://schemas.openxmlformats.org/officeDocument/2006/relationships/image" Target="media/image14.png"/><Relationship Id="rId33"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image" Target="media/image9.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24" Type="http://schemas.openxmlformats.org/officeDocument/2006/relationships/image" Target="media/image13.png"/><Relationship Id="rId32"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4.emf"/><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theme" Target="theme/theme1.xml"/><Relationship Id="rId10" Type="http://schemas.openxmlformats.org/officeDocument/2006/relationships/comments" Target="comments.xml"/><Relationship Id="rId19" Type="http://schemas.openxmlformats.org/officeDocument/2006/relationships/image" Target="media/image8.emf"/><Relationship Id="rId31" Type="http://schemas.openxmlformats.org/officeDocument/2006/relationships/hyperlink" Target="about:blank"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microsoft.com/office/2011/relationships/people" Target="people.xml"/><Relationship Id="rId8"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OEC11</b:Tag>
    <b:SourceType>Report</b:SourceType>
    <b:Guid>{9E4F8DE3-2459-458C-9FD6-BF24EA7A1DDA}</b:Guid>
    <b:Title>Fiscal consolidation: targets, plans and measures</b:Title>
    <b:Year>2011</b:Year>
    <b:Publisher>OECD Journal on Budgeting, Vol. 11(2)</b:Publisher>
    <b:Author>
      <b:Author>
        <b:Corporate>OECD</b:Corporate>
      </b:Author>
    </b:Author>
    <b:RefOrder>1</b:RefOrder>
  </b:Source>
  <b:Source>
    <b:Tag>Jan17</b:Tag>
    <b:SourceType>Report</b:SourceType>
    <b:Guid>{CF80BABE-0D36-44E3-B203-C68EB03FBA95}</b:Guid>
    <b:Author>
      <b:Author>
        <b:NameList>
          <b:Person>
            <b:Last>Jansen</b:Last>
            <b:First>Ada</b:First>
          </b:Person>
          <b:Person>
            <b:Last>Marais</b:Last>
            <b:First>Lara</b:First>
          </b:Person>
          <b:Person>
            <b:Last>Siebrits</b:Last>
            <b:First>Krige</b:First>
          </b:Person>
        </b:NameList>
      </b:Author>
    </b:Author>
    <b:Title>Strategies for Fiscal Consolidation after the International Financial Crisis</b:Title>
    <b:Year>2017</b:Year>
    <b:Publisher>Department of Economics</b:Publisher>
    <b:City>Stellenbosch University</b:City>
    <b:RefOrder>2</b:RefOrder>
  </b:Source>
  <b:Source>
    <b:Tag>Int18</b:Tag>
    <b:SourceType>Report</b:SourceType>
    <b:Guid>{4369784A-54BB-4F73-AE5F-00494CA2BEE1}</b:Guid>
    <b:Title>Fiscal monitor</b:Title>
    <b:Year>2018</b:Year>
    <b:Author>
      <b:Author>
        <b:Corporate>International Monetary Fund</b:Corporate>
      </b:Author>
    </b:Author>
    <b:Publisher>International Monetary Fund</b:Publisher>
    <b:City>Washington, DC</b:City>
    <b:RefOrder>3</b:RefOrder>
  </b:Source>
  <b:Source>
    <b:Tag>Kap15</b:Tag>
    <b:SourceType>JournalArticle</b:SourceType>
    <b:Guid>{3479CA94-780B-40DA-8536-5D452FCFCA0D}</b:Guid>
    <b:Title>Does Fairness Matter for the Success of Fiscal Consolidation?</b:Title>
    <b:Year>2015</b:Year>
    <b:Author>
      <b:Author>
        <b:NameList>
          <b:Person>
            <b:Last>Kaplanoglou</b:Last>
            <b:First>Georgia</b:First>
          </b:Person>
          <b:Person>
            <b:Last>Rapanos</b:Last>
            <b:First>Vassilis</b:First>
            <b:Middle>T</b:Middle>
          </b:Person>
          <b:Person>
            <b:Last>Bardakas</b:Last>
            <b:First>Ioanna</b:First>
            <b:Middle>C</b:Middle>
          </b:Person>
        </b:NameList>
      </b:Author>
    </b:Author>
    <b:JournalName>International Review of </b:JournalName>
    <b:Pages>197-219</b:Pages>
    <b:Volume>68</b:Volume>
    <b:Issue>2</b:Issue>
    <b:RefOrder>4</b:RefOrder>
  </b:Source>
  <b:Source>
    <b:Tag>Ale11</b:Tag>
    <b:SourceType>JournalArticle</b:SourceType>
    <b:Guid>{0D24D368-B714-4AB7-9576-AFD2E7455F08}</b:Guid>
    <b:Author>
      <b:Author>
        <b:NameList>
          <b:Person>
            <b:Last>Alesina</b:Last>
            <b:First>Alberto</b:First>
            <b:Middle>F</b:Middle>
          </b:Person>
          <b:Person>
            <b:Last>Ardagna</b:Last>
            <b:First>Silvia</b:First>
          </b:Person>
        </b:NameList>
      </b:Author>
    </b:Author>
    <b:Title>Large changes in fiscal policy: taxes versus spending</b:Title>
    <b:JournalName>NBER Working Paper </b:JournalName>
    <b:Year>2011</b:Year>
    <b:Volume>No. 15438</b:Volume>
    <b:RefOrder>5</b:RefOrder>
  </b:Source>
  <b:Source>
    <b:Tag>Gup03</b:Tag>
    <b:SourceType>JournalArticle</b:SourceType>
    <b:Guid>{D383FB2A-A5DC-4712-8BA4-9502B7CABD6E}</b:Guid>
    <b:Author>
      <b:Author>
        <b:NameList>
          <b:Person>
            <b:Last>Gupta</b:Last>
            <b:First>Sanjeev</b:First>
          </b:Person>
          <b:Person>
            <b:Last>Baldacci</b:Last>
            <b:First>Emanuele</b:First>
          </b:Person>
          <b:Person>
            <b:Last>Clements</b:Last>
            <b:First>Benedict</b:First>
          </b:Person>
          <b:Person>
            <b:Last>Tiongson</b:Last>
            <b:First>Erwin</b:First>
            <b:Middle>R</b:Middle>
          </b:Person>
        </b:NameList>
      </b:Author>
    </b:Author>
    <b:Title>What Sustains Fiscal Consolidations in Emerging Market Countries?</b:Title>
    <b:JournalName>IMF Working Paper</b:JournalName>
    <b:Year>2003</b:Year>
    <b:Pages>1-27</b:Pages>
    <b:URL>https://ssrn.com/abstract=880917</b:URL>
    <b:RefOrder>6</b:RefOrder>
  </b:Source>
  <b:Source>
    <b:Tag>2012a</b:Tag>
    <b:SourceType>JournalArticle</b:SourceType>
    <b:Guid>{FA74837C-E7D6-46BC-A122-1AB5C14E6E22}</b:Guid>
    <b:Author>
      <b:Author>
        <b:NameList>
          <b:Person>
            <b:Last>Molnar</b:Last>
            <b:First>M</b:First>
          </b:Person>
        </b:NameList>
      </b:Author>
    </b:Author>
    <b:Title>Fiscal consolidation: What factors determine the success of consolidation efforts?</b:Title>
    <b:JournalName>OECD Journal: Economic</b:JournalName>
    <b:Year>2012a</b:Year>
    <b:Volume>2012</b:Volume>
    <b:Issue>1</b:Issue>
    <b:URL>https://www.oecd-ilibrary.org/economics</b:URL>
    <b:RefOrder>7</b:RefOrder>
  </b:Source>
  <b:Source>
    <b:Tag>Afo11</b:Tag>
    <b:SourceType>JournalArticle</b:SourceType>
    <b:Guid>{45BED748-7ACA-4D86-9D36-86B6A544AA88}</b:Guid>
    <b:Author>
      <b:Author>
        <b:NameList>
          <b:Person>
            <b:Last>Afonso</b:Last>
            <b:First>A</b:First>
          </b:Person>
          <b:Person>
            <b:Last>Jalles</b:Last>
            <b:First>J.</b:First>
            <b:Middle>T</b:Middle>
          </b:Person>
        </b:NameList>
      </b:Author>
    </b:Author>
    <b:Title>Measuring the Success of Fiscal Consolidations. Technical University Of Lisbon</b:Title>
    <b:JournalName>School of Economics and Management</b:JournalName>
    <b:Year>2011</b:Year>
    <b:Volume>WP 22/2011/DE/UECE</b:Volume>
    <b:URL>https://pdfs.semanticscholar.org/</b:URL>
    <b:RefOrder>8</b:RefOrder>
  </b:Source>
  <b:Source>
    <b:Tag>Bur15</b:Tag>
    <b:SourceType>JournalArticle</b:SourceType>
    <b:Guid>{2DF53504-25AF-464F-A4B4-256D2548C372}</b:Guid>
    <b:Author>
      <b:Author>
        <b:NameList>
          <b:Person>
            <b:Last>Burger</b:Last>
            <b:First>P</b:First>
          </b:Person>
          <b:Person>
            <b:Last>Siebrits</b:Last>
            <b:First>K</b:First>
          </b:Person>
          <b:Person>
            <b:Last>Calitz</b:Last>
            <b:First>E</b:First>
          </b:Person>
        </b:NameList>
      </b:Author>
    </b:Author>
    <b:Title>The public sector balance sheet and fiscal consolidation in South Africa</b:Title>
    <b:JournalName>Stellenbosch Economic Working Papers</b:JournalName>
    <b:Year>2015</b:Year>
    <b:Volume>11</b:Volume>
    <b:Issue>15</b:Issue>
    <b:RefOrder>9</b:RefOrder>
  </b:Source>
  <b:Source>
    <b:Tag>von01</b:Tag>
    <b:SourceType>JournalArticle</b:SourceType>
    <b:Guid>{93EF67C7-676D-4172-A943-DA04641F5F32}</b:Guid>
    <b:Author>
      <b:Author>
        <b:NameList>
          <b:Person>
            <b:Last>Von Hagen</b:Last>
            <b:First>J</b:First>
          </b:Person>
          <b:Person>
            <b:Last>Strauch</b:Last>
            <b:First>Rolf</b:First>
            <b:Middle>R</b:Middle>
          </b:Person>
        </b:NameList>
      </b:Author>
    </b:Author>
    <b:Title>Fiscal Consolidations: Quality, Economic Conditions, and Success</b:Title>
    <b:JournalName>Public Choice</b:JournalName>
    <b:Year>2001</b:Year>
    <b:Pages>327–346</b:Pages>
    <b:Volume>109</b:Volume>
    <b:Issue>3–4</b:Issue>
    <b:RefOrder>10</b:RefOrder>
  </b:Source>
  <b:Source>
    <b:Tag>Dep6a</b:Tag>
    <b:SourceType>Report</b:SourceType>
    <b:Guid>{76668641-2DCB-4B9D-A74F-41378170BEBD}</b:Guid>
    <b:Author>
      <b:Author>
        <b:Corporate>Department of Finance</b:Corporate>
      </b:Author>
    </b:Author>
    <b:Title>Budget Review</b:Title>
    <b:Year>1996a</b:Year>
    <b:Publisher>Department of Finance</b:Publisher>
    <b:City>Pretoria</b:City>
    <b:RefOrder>11</b:RefOrder>
  </b:Source>
  <b:Source>
    <b:Tag>Dep961</b:Tag>
    <b:SourceType>Report</b:SourceType>
    <b:Guid>{43E938E3-FA05-410D-938B-4893BE86D01D}</b:Guid>
    <b:Author>
      <b:Author>
        <b:Corporate>Department of Finance</b:Corporate>
      </b:Author>
    </b:Author>
    <b:Title>Growth, Employment and Redistribution: A Macroeconomic Strategy for South Africa (GEAR)</b:Title>
    <b:Year>1996b</b:Year>
    <b:Publisher>Department of Finance</b:Publisher>
    <b:City>Pretoria</b:City>
    <b:RefOrder>12</b:RefOrder>
  </b:Source>
  <b:Source>
    <b:Tag>Nat</b:Tag>
    <b:SourceType>InternetSite</b:SourceType>
    <b:Guid>{45D6ED57-2523-4863-A910-8300DA27E226}</b:Guid>
    <b:Author>
      <b:Author>
        <b:Corporate>National Treasury</b:Corporate>
      </b:Author>
    </b:Author>
    <b:Title>Budget Information</b:Title>
    <b:URL>http://www.treasury.gov.za/</b:URL>
    <b:Year>2019</b:Year>
    <b:RefOrder>13</b:RefOrder>
  </b:Source>
  <b:Source>
    <b:Tag>Sou19</b:Tag>
    <b:SourceType>InternetSite</b:SourceType>
    <b:Guid>{D4FB1F5F-B5BA-4624-8FBB-5D13C5ABD5E9}</b:Guid>
    <b:Author>
      <b:Author>
        <b:Corporate>South African Reserve Bank</b:Corporate>
      </b:Author>
    </b:Author>
    <b:Title>Statistics</b:Title>
    <b:Year>2019</b:Year>
    <b:URL>https://www.resbank.co.za/Research/Statistics/Pages/Statistics</b:URL>
    <b:RefOrder>14</b:RefOrder>
  </b:Source>
  <b:Source>
    <b:Tag>Hor05</b:Tag>
    <b:SourceType>BookSection</b:SourceType>
    <b:Guid>{6041AFB1-D905-49B5-9D50-6EBE13F9CAE7}</b:Guid>
    <b:Author>
      <b:Author>
        <b:NameList>
          <b:Person>
            <b:Last>Horton</b:Last>
            <b:First>M</b:First>
          </b:Person>
        </b:NameList>
      </b:Author>
      <b:Editor>
        <b:NameList>
          <b:Person>
            <b:Last>Nowak</b:Last>
            <b:First>M</b:First>
          </b:Person>
          <b:Person>
            <b:Last>Ricci</b:Last>
            <b:First>L</b:First>
            <b:Middle>A</b:Middle>
          </b:Person>
        </b:NameList>
      </b:Editor>
    </b:Author>
    <b:Title>Role of fiscal policy in stabilization and poverty alleviation</b:Title>
    <b:Year>2005</b:Year>
    <b:BookTitle>Post-Apartheid South Africa: The first ten years</b:BookTitle>
    <b:Pages>79-111</b:Pages>
    <b:City>Washington, D.C.</b:City>
    <b:Publisher>International Monetary Fund</b:Publisher>
    <b:RefOrder>15</b:RefOrder>
  </b:Source>
  <b:Source>
    <b:Tag>Kom13</b:Tag>
    <b:SourceType>JournalArticle</b:SourceType>
    <b:Guid>{9D43B918-8E88-409E-8F9C-BDD34BAD5B14}</b:Guid>
    <b:Title>The trajectory of economic development policies in South Africa. The case for public policy analysis.</b:Title>
    <b:Year>2013</b:Year>
    <b:Pages>142-160</b:Pages>
    <b:Author>
      <b:Author>
        <b:NameList>
          <b:Person>
            <b:Last>Koma</b:Last>
            <b:First>S</b:First>
            <b:Middle>B</b:Middle>
          </b:Person>
        </b:NameList>
      </b:Author>
    </b:Author>
    <b:JournalName>Administratio Publica</b:JournalName>
    <b:Volume>21</b:Volume>
    <b:Issue>1</b:Issue>
    <b:URL>https://journal.assadpam.net/</b:URL>
    <b:RefOrder>16</b:RefOrder>
  </b:Source>
  <b:Source>
    <b:Tag>Bal04</b:Tag>
    <b:SourceType>BookSection</b:SourceType>
    <b:Guid>{67C23751-0831-4FAA-840E-01570B616633}</b:Guid>
    <b:Title>Persistance of fiscal adjustments and expenditure composition in low-income countries</b:Title>
    <b:Year>2004</b:Year>
    <b:Pages>48-66</b:Pages>
    <b:Author>
      <b:Author>
        <b:NameList>
          <b:Person>
            <b:Last>Baldacci</b:Last>
            <b:First>E.</b:First>
          </b:Person>
          <b:Person>
            <b:Last>Clements</b:Last>
            <b:First>B.</b:First>
          </b:Person>
          <b:Person>
            <b:Last>Gupta</b:Last>
            <b:First>S</b:First>
          </b:Person>
          <b:Person>
            <b:Last>Mulas-Granados</b:Last>
            <b:First>C</b:First>
          </b:Person>
        </b:NameList>
      </b:Author>
      <b:Editor>
        <b:NameList>
          <b:Person>
            <b:Last>Gupta</b:Last>
            <b:First>S.</b:First>
          </b:Person>
          <b:Person>
            <b:Last>Clemments</b:Last>
            <b:First>B</b:First>
          </b:Person>
          <b:Person>
            <b:Last>. Inchauste</b:Last>
            <b:First>G</b:First>
          </b:Person>
        </b:NameList>
      </b:Editor>
    </b:Author>
    <b:BookTitle>Helping countries develop: the role of fiscal policy</b:BookTitle>
    <b:City>Washington, D.C</b:City>
    <b:Publisher>International Monetary Fund</b:Publisher>
    <b:RefOrder>17</b:RefOrder>
  </b:Source>
  <b:Source>
    <b:Tag>Mar18</b:Tag>
    <b:SourceType>Report</b:SourceType>
    <b:Guid>{8B997F0F-B98D-494E-A85A-7F3EF81ECAB7}</b:Guid>
    <b:Title>Polity IV Project: Dataset Users’ Manual</b:Title>
    <b:Year>2018</b:Year>
    <b:Author>
      <b:Author>
        <b:NameList>
          <b:Person>
            <b:Last>Marshall</b:Last>
            <b:First>M</b:First>
            <b:Middle>G</b:Middle>
          </b:Person>
          <b:Person>
            <b:Last>Gurr</b:Last>
            <b:First>T</b:First>
            <b:Middle>R</b:Middle>
          </b:Person>
          <b:Person>
            <b:Last>Jaggers</b:Last>
            <b:First>K</b:First>
          </b:Person>
        </b:NameList>
      </b:Author>
    </b:Author>
    <b:Publisher>George Mason University and Center for Systemic Peace</b:Publisher>
    <b:City>Vienna</b:City>
    <b:RefOrder>18</b:RefOrder>
  </b:Source>
  <b:Source>
    <b:Tag>Tal00</b:Tag>
    <b:SourceType>JournalArticle</b:SourceType>
    <b:Guid>{84312450-FDFB-4F92-A21C-980AACB5D648}</b:Guid>
    <b:Title>Tax base variability and procyclical fiscal policy</b:Title>
    <b:Year>2000</b:Year>
    <b:Author>
      <b:Author>
        <b:NameList>
          <b:Person>
            <b:Last>Talvi</b:Last>
            <b:First>E</b:First>
          </b:Person>
          <b:Person>
            <b:Last>Vègh</b:Last>
            <b:First>C.A</b:First>
          </b:Person>
        </b:NameList>
      </b:Author>
    </b:Author>
    <b:JournalName>National Bureau of Economic Research</b:JournalName>
    <b:Volume>Working paper No. 7499</b:Volume>
    <b:RefOrder>19</b:RefOrder>
  </b:Source>
  <b:Source>
    <b:Tag>Cap14</b:Tag>
    <b:SourceType>Report</b:SourceType>
    <b:Guid>{B72A9B36-B687-4104-925A-170616C98BFD}</b:Guid>
    <b:Title>The fiscal and monetary history of Chile 1960-2010</b:Title>
    <b:Year>2014</b:Year>
    <b:Author>
      <b:Author>
        <b:NameList>
          <b:Person>
            <b:Last>Caputo</b:Last>
            <b:First>R</b:First>
          </b:Person>
          <b:Person>
            <b:Last>Sarabia</b:Last>
            <b:First>D</b:First>
          </b:Person>
        </b:NameList>
      </b:Author>
    </b:Author>
    <b:Publisher>Central Bank of Chile</b:Publisher>
    <b:City>Santiago</b:City>
    <b:RefOrder>20</b:RefOrder>
  </b:Source>
  <b:Source>
    <b:Tag>Fie04</b:Tag>
    <b:SourceType>Report</b:SourceType>
    <b:Guid>{65520CAF-4967-41CD-A09A-0E0C343EBFE3}</b:Guid>
    <b:Author>
      <b:Author>
        <b:NameList>
          <b:Person>
            <b:Last>Fiess</b:Last>
            <b:First>N</b:First>
          </b:Person>
        </b:NameList>
      </b:Author>
    </b:Author>
    <b:Title>Chile’s fiscal rule.</b:Title>
    <b:Year>2004</b:Year>
    <b:Publisher>Econometric Society</b:Publisher>
    <b:RefOrder>21</b:RefOrder>
  </b:Source>
  <b:Source>
    <b:Tag>Car18</b:Tag>
    <b:SourceType>JournalArticle</b:SourceType>
    <b:Guid>{91472A7F-0E54-464A-A72B-80BA072007E4}</b:Guid>
    <b:Title>The macroeconomic effects of fiscal consolidation in emerging economies: Evidence from Latin America</b:Title>
    <b:Year>2018</b:Year>
    <b:Author>
      <b:Author>
        <b:NameList>
          <b:Person>
            <b:Last>Carrière-Swallow</b:Last>
            <b:First>Y</b:First>
          </b:Person>
          <b:Person>
            <b:Last>David</b:Last>
            <b:First>A</b:First>
            <b:Middle>C</b:Middle>
          </b:Person>
          <b:Person>
            <b:Last>Leigh</b:Last>
            <b:First>D</b:First>
          </b:Person>
        </b:NameList>
      </b:Author>
    </b:Author>
    <b:JournalName>International Monetary Fund</b:JournalName>
    <b:Volume>Working Paper No. WP/18/142</b:Volume>
    <b:RefOrder>22</b:RefOrder>
  </b:Source>
  <b:Source>
    <b:Tag>Dav18</b:Tag>
    <b:SourceType>JournalArticle</b:SourceType>
    <b:Guid>{A0D53547-A444-4A2D-81D6-44DB1CD3110F}</b:Guid>
    <b:Author>
      <b:Author>
        <b:NameList>
          <b:Person>
            <b:Last>David</b:Last>
            <b:First>A.C</b:First>
          </b:Person>
          <b:Person>
            <b:Last>Leigh</b:Last>
            <b:First>D</b:First>
          </b:Person>
        </b:NameList>
      </b:Author>
    </b:Author>
    <b:Title>A new action-based dataset of fiscal consolidation in Latin America and the Caribbean</b:Title>
    <b:JournalName>International Monetary Fund</b:JournalName>
    <b:Year>2018</b:Year>
    <b:Volume>Working Paper No. WP/18/94</b:Volume>
    <b:RefOrder>23</b:RefOrder>
  </b:Source>
  <b:Source>
    <b:Tag>Eas07</b:Tag>
    <b:SourceType>JournalArticle</b:SourceType>
    <b:Guid>{6B3E9007-A316-4DBC-A53B-A23487B4BB3F}</b:Guid>
    <b:Author>
      <b:Author>
        <b:NameList>
          <b:Person>
            <b:Last>Easterly</b:Last>
            <b:First>W</b:First>
          </b:Person>
          <b:Person>
            <b:Last>Irwin</b:Last>
            <b:First>T</b:First>
          </b:Person>
          <b:Person>
            <b:Last>Servèn</b:Last>
            <b:First>L</b:First>
          </b:Person>
        </b:NameList>
      </b:Author>
    </b:Author>
    <b:Title>Walking up the down escalator: Public investment and fiscal stability</b:Title>
    <b:JournalName>World Bank</b:JournalName>
    <b:Year>2007</b:Year>
    <b:Volume>Policy Research Working Paper </b:Volume>
    <b:Issue>4158</b:Issue>
    <b:RefOrder>24</b:RefOrder>
  </b:Source>
</b:Sources>
</file>

<file path=customXml/itemProps1.xml><?xml version="1.0" encoding="utf-8"?>
<ds:datastoreItem xmlns:ds="http://schemas.openxmlformats.org/officeDocument/2006/customXml" ds:itemID="{212D9208-44F4-4ED5-AD8D-9AC9248550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21</Pages>
  <Words>6808</Words>
  <Characters>38811</Characters>
  <Application>Microsoft Office Word</Application>
  <DocSecurity>0</DocSecurity>
  <Lines>323</Lines>
  <Paragraphs>91</Paragraphs>
  <ScaleCrop>false</ScaleCrop>
  <HeadingPairs>
    <vt:vector size="2" baseType="variant">
      <vt:variant>
        <vt:lpstr>Title</vt:lpstr>
      </vt:variant>
      <vt:variant>
        <vt:i4>1</vt:i4>
      </vt:variant>
    </vt:vector>
  </HeadingPairs>
  <TitlesOfParts>
    <vt:vector size="1" baseType="lpstr">
      <vt:lpstr/>
    </vt:vector>
  </TitlesOfParts>
  <Company>University of Cape Town</Company>
  <LinksUpToDate>false</LinksUpToDate>
  <CharactersWithSpaces>45528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Bernard Tembo</dc:creator>
  <cp:keywords/>
  <dc:description/>
  <cp:lastModifiedBy>bruno merven</cp:lastModifiedBy>
  <cp:revision>2</cp:revision>
  <cp:lastPrinted>2018-04-16T18:07:00Z</cp:lastPrinted>
  <dcterms:created xsi:type="dcterms:W3CDTF">2020-11-26T12:54:00Z</dcterms:created>
  <dcterms:modified xsi:type="dcterms:W3CDTF">2020-11-26T12:54:00Z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University of Cape Town</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_NewReviewCycle">
    <vt:lpwstr/>
  </property>
</Properties>
</file>