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9F1" w:rsidRDefault="000347AB" w:rsidP="002C1721">
      <w:pPr>
        <w:pStyle w:val="Heading1"/>
        <w:rPr>
          <w:lang w:val="en-ZA"/>
        </w:rPr>
      </w:pPr>
      <w:r>
        <w:rPr>
          <w:lang w:val="en-ZA"/>
        </w:rPr>
        <w:t>Artific</w:t>
      </w:r>
      <w:r w:rsidR="00405521">
        <w:rPr>
          <w:lang w:val="en-ZA"/>
        </w:rPr>
        <w:t>i</w:t>
      </w:r>
      <w:r>
        <w:rPr>
          <w:lang w:val="en-ZA"/>
        </w:rPr>
        <w:t>al GHG and other niche industrial process emissions</w:t>
      </w:r>
    </w:p>
    <w:p w:rsidR="003B3F32" w:rsidRDefault="003B3F32" w:rsidP="003B3F32">
      <w:pPr>
        <w:pStyle w:val="Heading2"/>
        <w:rPr>
          <w:lang w:val="en-ZA"/>
        </w:rPr>
      </w:pPr>
      <w:r>
        <w:rPr>
          <w:lang w:val="en-ZA"/>
        </w:rPr>
        <w:t>Background information</w:t>
      </w:r>
    </w:p>
    <w:p w:rsidR="00977923" w:rsidRDefault="00977923" w:rsidP="00977923">
      <w:pPr>
        <w:rPr>
          <w:lang w:val="en-ZA"/>
        </w:rPr>
      </w:pPr>
      <w:r>
        <w:rPr>
          <w:lang w:val="en-ZA"/>
        </w:rPr>
        <w:t>Artificial GHG and other niche industrial process emissions include</w:t>
      </w:r>
      <w:r w:rsidR="002B2A99">
        <w:rPr>
          <w:lang w:val="en-ZA"/>
        </w:rPr>
        <w:t xml:space="preserve"> both ozone-depleting substances (ODS) and non-ozone depleting substances</w:t>
      </w:r>
      <w:r w:rsidR="00805E5F">
        <w:rPr>
          <w:lang w:val="en-ZA"/>
        </w:rPr>
        <w:t xml:space="preserve"> (non-ODS). ODS encompass a wide range of substances including </w:t>
      </w:r>
      <w:r w:rsidR="00805E5F">
        <w:rPr>
          <w:lang w:val="en-ZA"/>
        </w:rPr>
        <w:t>chlorofluorocarbons (CFCs) and hydrochlorofluorocarbons (HCFCs)</w:t>
      </w:r>
      <w:r w:rsidR="00805E5F">
        <w:rPr>
          <w:lang w:val="en-ZA"/>
        </w:rPr>
        <w:t xml:space="preserve"> as well as </w:t>
      </w:r>
      <w:r>
        <w:rPr>
          <w:lang w:val="en-ZA"/>
        </w:rPr>
        <w:t xml:space="preserve">hydrobromoflurocarbons (HBFCs), halons, methyl bromide, carbon tetrachloride and methyl chloroform. </w:t>
      </w:r>
      <w:r w:rsidR="00805E5F">
        <w:rPr>
          <w:lang w:val="en-ZA"/>
        </w:rPr>
        <w:t>Non-ODS such as h</w:t>
      </w:r>
      <w:r>
        <w:rPr>
          <w:lang w:val="en-ZA"/>
        </w:rPr>
        <w:t xml:space="preserve">ydrofluorocarbons (HFCs) and perfluorocarbons (PFCs) are used as alternatives to the ODS. Although </w:t>
      </w:r>
      <w:r w:rsidR="004E01E1">
        <w:rPr>
          <w:lang w:val="en-ZA"/>
        </w:rPr>
        <w:t>HFCs and PFCs do not contribute</w:t>
      </w:r>
      <w:r>
        <w:rPr>
          <w:lang w:val="en-ZA"/>
        </w:rPr>
        <w:t xml:space="preserve"> to the depletion of the stratospheric ozone layer, they do have high global warming potentials, ranging from</w:t>
      </w:r>
      <w:r w:rsidR="00792C8A">
        <w:rPr>
          <w:lang w:val="en-ZA"/>
        </w:rPr>
        <w:t xml:space="preserve"> </w:t>
      </w:r>
      <w:r w:rsidR="00151646">
        <w:rPr>
          <w:lang w:val="en-ZA"/>
        </w:rPr>
        <w:t>140 to</w:t>
      </w:r>
      <w:r w:rsidR="00792C8A">
        <w:rPr>
          <w:lang w:val="en-ZA"/>
        </w:rPr>
        <w:t xml:space="preserve"> 11,700</w:t>
      </w:r>
      <w:r w:rsidR="001F38B2">
        <w:rPr>
          <w:lang w:val="en-ZA"/>
        </w:rPr>
        <w:t>, contributing to global climate change.</w:t>
      </w:r>
      <w:bookmarkStart w:id="0" w:name="_GoBack"/>
      <w:bookmarkEnd w:id="0"/>
    </w:p>
    <w:p w:rsidR="00792C8A" w:rsidRDefault="00792C8A" w:rsidP="00977923">
      <w:pPr>
        <w:rPr>
          <w:lang w:val="en-ZA"/>
        </w:rPr>
      </w:pPr>
      <w:r>
        <w:rPr>
          <w:lang w:val="en-ZA"/>
        </w:rPr>
        <w:t xml:space="preserve">ODS and non-ODS substances are used for refrigeration, air conditioning, fire </w:t>
      </w:r>
      <w:r w:rsidR="00151646">
        <w:rPr>
          <w:lang w:val="en-ZA"/>
        </w:rPr>
        <w:t>extinguishers</w:t>
      </w:r>
      <w:r w:rsidR="004E01E1">
        <w:rPr>
          <w:lang w:val="en-ZA"/>
        </w:rPr>
        <w:t>,</w:t>
      </w:r>
      <w:r>
        <w:rPr>
          <w:lang w:val="en-ZA"/>
        </w:rPr>
        <w:t xml:space="preserve"> foam and aerosol propellants. </w:t>
      </w:r>
      <w:r w:rsidR="00357470">
        <w:rPr>
          <w:lang w:val="en-ZA"/>
        </w:rPr>
        <w:t xml:space="preserve"> Refrigeration and air-</w:t>
      </w:r>
      <w:r w:rsidR="004E01E1">
        <w:rPr>
          <w:lang w:val="en-ZA"/>
        </w:rPr>
        <w:t>conditioning</w:t>
      </w:r>
      <w:r w:rsidR="00357470">
        <w:rPr>
          <w:lang w:val="en-ZA"/>
        </w:rPr>
        <w:t xml:space="preserve"> accounts</w:t>
      </w:r>
      <w:r w:rsidR="00E07D81">
        <w:rPr>
          <w:lang w:val="en-ZA"/>
        </w:rPr>
        <w:t xml:space="preserve"> more than 80% of global HFC consumption (in tonnes CO</w:t>
      </w:r>
      <w:r w:rsidR="00E07D81">
        <w:rPr>
          <w:vertAlign w:val="subscript"/>
          <w:lang w:val="en-ZA"/>
        </w:rPr>
        <w:t>2</w:t>
      </w:r>
      <w:r w:rsidR="00E07D81">
        <w:rPr>
          <w:lang w:val="en-ZA"/>
        </w:rPr>
        <w:t>eq), with foams and aerosols accounting for 11% of HFC</w:t>
      </w:r>
      <w:r w:rsidR="006E48EE">
        <w:rPr>
          <w:lang w:val="en-ZA"/>
        </w:rPr>
        <w:t xml:space="preserve"> consumption </w:t>
      </w:r>
      <w:r w:rsidR="00E07D81">
        <w:rPr>
          <w:lang w:val="en-ZA"/>
        </w:rPr>
        <w:t>(in tonnes CO</w:t>
      </w:r>
      <w:r w:rsidR="00E07D81">
        <w:rPr>
          <w:vertAlign w:val="subscript"/>
          <w:lang w:val="en-ZA"/>
        </w:rPr>
        <w:t>2</w:t>
      </w:r>
      <w:r w:rsidR="00E07D81">
        <w:rPr>
          <w:lang w:val="en-ZA"/>
        </w:rPr>
        <w:t xml:space="preserve">eq) </w:t>
      </w:r>
      <w:r w:rsidR="00E07D81">
        <w:rPr>
          <w:lang w:val="en-ZA"/>
        </w:rPr>
        <w:fldChar w:fldCharType="begin" w:fldLock="1"/>
      </w:r>
      <w:r w:rsidR="007C5D7B">
        <w:rPr>
          <w:lang w:val="en-ZA"/>
        </w:rPr>
        <w:instrText>ADDIN CSL_CITATION {"citationItems":[{"id":"ITEM-1","itemData":{"DOI":"10.1016/j.atmosenv.2015.10.071","abstract":"• Based on the current availability of non-fluori-nated alternatives and likely emission reductions, the overall opportunity for NIK alternatives to substitute for HFCs is expected to be on the order of 50 percent. • NIK alternatives to replace high-GWP HFCs also have the potential to significantly decrease energy use in the refrigeration and air conditioning sectors. • By providing a broader range of alternatives and emission reductions, NIKs provide market and price competition to next-generation HFO substitutes which are restricted by patents for a specified period of time. • Efforts are underway, but will require several more years to fully address changes in codes and standards to ensure a wider range of more flammable alternatives can be used safely.","author":[{"dropping-particle":"","family":"Seidel","given":"S.","non-dropping-particle":"","parse-names":false,"suffix":""},{"dropping-particle":"","family":"Ye","given":"J.","non-dropping-particle":"","parse-names":false,"suffix":""},{"dropping-particle":"","family":"Andersen","given":"SO.","non-dropping-particle":"","parse-names":false,"suffix":""},{"dropping-particle":"","family":"Hillbrand","given":"A.","non-dropping-particle":"","parse-names":false,"suffix":""}],"id":"ITEM-1","issued":{"date-parts":[["2016"]]},"title":"Not-in-kind Alternatives to High Global Warming HFCS","type":"report"},"uris":["http://www.mendeley.com/documents/?uuid=8afe53f8-58b5-3d6d-a58a-fe607b6a2691"]}],"mendeley":{"formattedCitation":"(Seidel &lt;i&gt;et al.&lt;/i&gt;, 2016)","plainTextFormattedCitation":"(Seidel et al., 2016)","previouslyFormattedCitation":"(Seidel &lt;i&gt;et al.&lt;/i&gt;, 2016)"},"properties":{"noteIndex":0},"schema":"https://github.com/citation-style-language/schema/raw/master/csl-citation.json"}</w:instrText>
      </w:r>
      <w:r w:rsidR="00E07D81">
        <w:rPr>
          <w:lang w:val="en-ZA"/>
        </w:rPr>
        <w:fldChar w:fldCharType="separate"/>
      </w:r>
      <w:r w:rsidR="00E07D81" w:rsidRPr="00E07D81">
        <w:rPr>
          <w:noProof/>
          <w:lang w:val="en-ZA"/>
        </w:rPr>
        <w:t xml:space="preserve">(Seidel </w:t>
      </w:r>
      <w:r w:rsidR="00E07D81" w:rsidRPr="00E07D81">
        <w:rPr>
          <w:i/>
          <w:noProof/>
          <w:lang w:val="en-ZA"/>
        </w:rPr>
        <w:t>et al.</w:t>
      </w:r>
      <w:r w:rsidR="00E07D81" w:rsidRPr="00E07D81">
        <w:rPr>
          <w:noProof/>
          <w:lang w:val="en-ZA"/>
        </w:rPr>
        <w:t>, 2016)</w:t>
      </w:r>
      <w:r w:rsidR="00E07D81">
        <w:rPr>
          <w:lang w:val="en-ZA"/>
        </w:rPr>
        <w:fldChar w:fldCharType="end"/>
      </w:r>
      <w:r w:rsidR="00E07D81">
        <w:rPr>
          <w:lang w:val="en-ZA"/>
        </w:rPr>
        <w:t>.</w:t>
      </w:r>
    </w:p>
    <w:p w:rsidR="003B3F32" w:rsidRDefault="003B3F32" w:rsidP="003B3F32">
      <w:pPr>
        <w:pStyle w:val="Heading3"/>
        <w:rPr>
          <w:lang w:val="en-ZA"/>
        </w:rPr>
      </w:pPr>
      <w:r>
        <w:rPr>
          <w:lang w:val="en-ZA"/>
        </w:rPr>
        <w:t xml:space="preserve">Historic </w:t>
      </w:r>
      <w:r w:rsidR="000A0053">
        <w:rPr>
          <w:lang w:val="en-ZA"/>
        </w:rPr>
        <w:t>consumption</w:t>
      </w:r>
      <w:r>
        <w:rPr>
          <w:lang w:val="en-ZA"/>
        </w:rPr>
        <w:t xml:space="preserve"> </w:t>
      </w:r>
    </w:p>
    <w:p w:rsidR="00F4696F" w:rsidRDefault="00F4696F" w:rsidP="003B3F32">
      <w:r>
        <w:t>Prior to the signing of the Montreal Protocol, South A</w:t>
      </w:r>
      <w:r w:rsidR="00C452A2">
        <w:t>f</w:t>
      </w:r>
      <w:r>
        <w:t xml:space="preserve">rica manufactured both CFC-11 and CFC-12. </w:t>
      </w:r>
      <w:r w:rsidR="002B065A">
        <w:t xml:space="preserve">However, as part of the voluntary phase out initiative, </w:t>
      </w:r>
      <w:r>
        <w:t>production facilities were decommission</w:t>
      </w:r>
      <w:r w:rsidR="002B065A">
        <w:t>ed</w:t>
      </w:r>
      <w:r>
        <w:t xml:space="preserve"> </w:t>
      </w:r>
      <w:r>
        <w:fldChar w:fldCharType="begin" w:fldLock="1"/>
      </w:r>
      <w:r>
        <w:instrText>ADDIN CSL_CITATION {"citationItems":[{"id":"ITEM-1","itemData":{"abstract":"This report has been prepared in line with the Guide for Preparation of The Surveys of Ozone Depleting Substances (ODS) Alternatives (Re-Issued) - MLF/IACM.2016/2/21.","author":[{"dropping-particle":"","family":"UNIDO","given":"","non-dropping-particle":"","parse-names":false,"suffix":""}],"id":"ITEM-1","issue":"November","issued":{"date-parts":[["2017"]]},"number-of-pages":"45","title":"HFC Inventory Report - South Africa","type":"report"},"uris":["http://www.mendeley.com/documents/?uuid=9d9aa772-d129-41fc-bf22-7b125a72216f"]}],"mendeley":{"formattedCitation":"(UNIDO, 2017)","plainTextFormattedCitation":"(UNIDO, 2017)","previouslyFormattedCitation":"(UNIDO, 2017)"},"properties":{"noteIndex":0},"schema":"https://github.com/citation-style-language/schema/raw/master/csl-citation.json"}</w:instrText>
      </w:r>
      <w:r>
        <w:fldChar w:fldCharType="separate"/>
      </w:r>
      <w:r w:rsidRPr="000A0BC8">
        <w:rPr>
          <w:noProof/>
        </w:rPr>
        <w:t>(UNIDO, 2017)</w:t>
      </w:r>
      <w:r>
        <w:fldChar w:fldCharType="end"/>
      </w:r>
      <w:r>
        <w:t>. Following the phase out of CFCs, the consumption of HCFC</w:t>
      </w:r>
      <w:r w:rsidR="006E48EE">
        <w:t>s</w:t>
      </w:r>
      <w:r>
        <w:t xml:space="preserve"> increased, predominantly HCFC-22</w:t>
      </w:r>
      <w:r w:rsidR="001D2EFE">
        <w:t xml:space="preserve"> (</w:t>
      </w:r>
      <w:r w:rsidR="001D2EFE">
        <w:fldChar w:fldCharType="begin"/>
      </w:r>
      <w:r w:rsidR="001D2EFE">
        <w:instrText xml:space="preserve"> REF _Ref68698586 \h </w:instrText>
      </w:r>
      <w:r w:rsidR="001D2EFE">
        <w:fldChar w:fldCharType="separate"/>
      </w:r>
      <w:r w:rsidR="001D2EFE">
        <w:t xml:space="preserve">Table </w:t>
      </w:r>
      <w:r w:rsidR="001D2EFE">
        <w:rPr>
          <w:noProof/>
        </w:rPr>
        <w:t>1</w:t>
      </w:r>
      <w:r w:rsidR="001D2EFE">
        <w:fldChar w:fldCharType="end"/>
      </w:r>
      <w:r w:rsidR="001D2EFE">
        <w:t>)</w:t>
      </w:r>
      <w:r>
        <w:t xml:space="preserve"> (for low temperature refrigeration applications) and, to a lesser extent, HFC-134a and HFC-404A </w:t>
      </w:r>
      <w:r>
        <w:fldChar w:fldCharType="begin" w:fldLock="1"/>
      </w:r>
      <w:r>
        <w:instrText>ADDIN CSL_CITATION {"citationItems":[{"id":"ITEM-1","itemData":{"abstract":"This report has been prepared in line with the Guide for Preparation of The Surveys of Ozone Depleting Substances (ODS) Alternatives (Re-Issued) - MLF/IACM.2016/2/21.","author":[{"dropping-particle":"","family":"UNIDO","given":"","non-dropping-particle":"","parse-names":false,"suffix":""}],"id":"ITEM-1","issue":"November","issued":{"date-parts":[["2017"]]},"number-of-pages":"45","title":"HFC Inventory Report - South Africa","type":"report"},"uris":["http://www.mendeley.com/documents/?uuid=9d9aa772-d129-41fc-bf22-7b125a72216f"]}],"mendeley":{"formattedCitation":"(UNIDO, 2017)","plainTextFormattedCitation":"(UNIDO, 2017)","previouslyFormattedCitation":"(UNIDO, 2017)"},"properties":{"noteIndex":0},"schema":"https://github.com/citation-style-language/schema/raw/master/csl-citation.json"}</w:instrText>
      </w:r>
      <w:r>
        <w:fldChar w:fldCharType="separate"/>
      </w:r>
      <w:r w:rsidRPr="000A0BC8">
        <w:rPr>
          <w:noProof/>
        </w:rPr>
        <w:t>(UNIDO, 2017)</w:t>
      </w:r>
      <w:r>
        <w:fldChar w:fldCharType="end"/>
      </w:r>
      <w:r>
        <w:t>.</w:t>
      </w:r>
      <w:r w:rsidR="007C5D7B">
        <w:t xml:space="preserve"> </w:t>
      </w:r>
      <w:r w:rsidR="001D2EFE">
        <w:t>F</w:t>
      </w:r>
      <w:r w:rsidR="000E5FA2">
        <w:t>ollowing amendments to the Montreal Protocol</w:t>
      </w:r>
      <w:r w:rsidR="001D2EFE">
        <w:t xml:space="preserve"> which was updated to include the phase out of HCFCs</w:t>
      </w:r>
      <w:r w:rsidR="000E5FA2">
        <w:t xml:space="preserve">, </w:t>
      </w:r>
      <w:r w:rsidR="001D2EFE">
        <w:t>the consumption of HFCs</w:t>
      </w:r>
      <w:r w:rsidR="006E48EE">
        <w:t xml:space="preserve"> increase</w:t>
      </w:r>
      <w:r w:rsidR="004278A7">
        <w:t>d</w:t>
      </w:r>
      <w:r w:rsidR="006E48EE">
        <w:t xml:space="preserve">. </w:t>
      </w:r>
      <w:r w:rsidR="007C5D7B">
        <w:t xml:space="preserve">By 2016, HFCs and HFC-blends accounted for approximately 58% of the total consumption of refrigerants </w:t>
      </w:r>
      <w:r w:rsidR="007C5D7B">
        <w:fldChar w:fldCharType="begin" w:fldLock="1"/>
      </w:r>
      <w:r w:rsidR="00C6242D">
        <w:instrText>ADDIN CSL_CITATION {"citationItems":[{"id":"ITEM-1","itemData":{"abstract":"This report has been prepared in line with the Guide for Preparation of The Surveys of Ozone Depleting Substances (ODS) Alternatives (Re-Issued) - MLF/IACM.2016/2/21.","author":[{"dropping-particle":"","family":"UNIDO","given":"","non-dropping-particle":"","parse-names":false,"suffix":""}],"id":"ITEM-1","issue":"November","issued":{"date-parts":[["2017"]]},"number-of-pages":"45","title":"HFC Inventory Report - South Africa","type":"report"},"uris":["http://www.mendeley.com/documents/?uuid=9d9aa772-d129-41fc-bf22-7b125a72216f"]}],"mendeley":{"formattedCitation":"(UNIDO, 2017)","plainTextFormattedCitation":"(UNIDO, 2017)","previouslyFormattedCitation":"(UNIDO, 2017)"},"properties":{"noteIndex":0},"schema":"https://github.com/citation-style-language/schema/raw/master/csl-citation.json"}</w:instrText>
      </w:r>
      <w:r w:rsidR="007C5D7B">
        <w:fldChar w:fldCharType="separate"/>
      </w:r>
      <w:r w:rsidR="007C5D7B" w:rsidRPr="007C5D7B">
        <w:rPr>
          <w:noProof/>
        </w:rPr>
        <w:t>(UNIDO, 2017)</w:t>
      </w:r>
      <w:r w:rsidR="007C5D7B">
        <w:fldChar w:fldCharType="end"/>
      </w:r>
      <w:r w:rsidR="007C5D7B">
        <w:t>.</w:t>
      </w:r>
    </w:p>
    <w:p w:rsidR="00F4696F" w:rsidRDefault="00F4696F" w:rsidP="00F4696F">
      <w:pPr>
        <w:pStyle w:val="Caption"/>
      </w:pPr>
      <w:bookmarkStart w:id="1" w:name="_Ref68698586"/>
      <w:r>
        <w:t xml:space="preserve">Table </w:t>
      </w:r>
      <w:fldSimple w:instr=" SEQ Table \* ARABIC ">
        <w:r w:rsidR="00045BFF">
          <w:rPr>
            <w:noProof/>
          </w:rPr>
          <w:t>1</w:t>
        </w:r>
      </w:fldSimple>
      <w:bookmarkEnd w:id="1"/>
      <w:r w:rsidR="008F550A">
        <w:t>: ODS and Non-ODS Consumption [Mt]</w:t>
      </w:r>
    </w:p>
    <w:tbl>
      <w:tblPr>
        <w:tblStyle w:val="TGHnew"/>
        <w:tblW w:w="0" w:type="auto"/>
        <w:tblLook w:val="04A0" w:firstRow="1" w:lastRow="0" w:firstColumn="1" w:lastColumn="0" w:noHBand="0" w:noVBand="1"/>
      </w:tblPr>
      <w:tblGrid>
        <w:gridCol w:w="1593"/>
        <w:gridCol w:w="1595"/>
        <w:gridCol w:w="1595"/>
        <w:gridCol w:w="1595"/>
        <w:gridCol w:w="1451"/>
        <w:gridCol w:w="1451"/>
      </w:tblGrid>
      <w:tr w:rsidR="00E85A3C" w:rsidTr="000F74E8">
        <w:trPr>
          <w:cnfStyle w:val="100000000000" w:firstRow="1" w:lastRow="0" w:firstColumn="0" w:lastColumn="0" w:oddVBand="0" w:evenVBand="0" w:oddHBand="0" w:evenHBand="0" w:firstRowFirstColumn="0" w:firstRowLastColumn="0" w:lastRowFirstColumn="0" w:lastRowLastColumn="0"/>
        </w:trPr>
        <w:tc>
          <w:tcPr>
            <w:tcW w:w="1593" w:type="dxa"/>
          </w:tcPr>
          <w:p w:rsidR="00E85A3C" w:rsidRDefault="00E85A3C" w:rsidP="000F74E8">
            <w:pPr>
              <w:pStyle w:val="GHTableH2"/>
            </w:pPr>
            <w:r>
              <w:t>Year</w:t>
            </w:r>
          </w:p>
        </w:tc>
        <w:tc>
          <w:tcPr>
            <w:tcW w:w="1595" w:type="dxa"/>
          </w:tcPr>
          <w:p w:rsidR="00E85A3C" w:rsidRDefault="00E85A3C" w:rsidP="000F74E8">
            <w:pPr>
              <w:pStyle w:val="GHTableH2"/>
            </w:pPr>
            <w:r>
              <w:t>2013</w:t>
            </w:r>
          </w:p>
        </w:tc>
        <w:tc>
          <w:tcPr>
            <w:tcW w:w="1595" w:type="dxa"/>
          </w:tcPr>
          <w:p w:rsidR="00E85A3C" w:rsidRDefault="00E85A3C" w:rsidP="000F74E8">
            <w:pPr>
              <w:pStyle w:val="GHTableH2"/>
            </w:pPr>
            <w:r>
              <w:t>2014</w:t>
            </w:r>
          </w:p>
        </w:tc>
        <w:tc>
          <w:tcPr>
            <w:tcW w:w="1595" w:type="dxa"/>
          </w:tcPr>
          <w:p w:rsidR="00E85A3C" w:rsidRDefault="00E85A3C" w:rsidP="000F74E8">
            <w:pPr>
              <w:pStyle w:val="GHTableH2"/>
            </w:pPr>
            <w:r>
              <w:t>2015</w:t>
            </w:r>
          </w:p>
        </w:tc>
        <w:tc>
          <w:tcPr>
            <w:tcW w:w="1451" w:type="dxa"/>
          </w:tcPr>
          <w:p w:rsidR="00E85A3C" w:rsidRDefault="00E85A3C" w:rsidP="000F74E8">
            <w:pPr>
              <w:pStyle w:val="GHTableH2"/>
            </w:pPr>
            <w:r>
              <w:t>2016</w:t>
            </w:r>
          </w:p>
        </w:tc>
        <w:tc>
          <w:tcPr>
            <w:tcW w:w="1451" w:type="dxa"/>
          </w:tcPr>
          <w:p w:rsidR="00E85A3C" w:rsidRDefault="00E85A3C" w:rsidP="000F74E8">
            <w:pPr>
              <w:pStyle w:val="GHTableH2"/>
            </w:pPr>
            <w:r>
              <w:t>2017*</w:t>
            </w:r>
          </w:p>
        </w:tc>
      </w:tr>
      <w:tr w:rsidR="008F550A" w:rsidTr="000F74E8">
        <w:tc>
          <w:tcPr>
            <w:tcW w:w="1593" w:type="dxa"/>
          </w:tcPr>
          <w:p w:rsidR="008F550A" w:rsidRPr="008F550A" w:rsidRDefault="008F550A" w:rsidP="000F74E8">
            <w:pPr>
              <w:pStyle w:val="GHTableBody"/>
              <w:rPr>
                <w:b/>
              </w:rPr>
            </w:pPr>
            <w:r w:rsidRPr="008F550A">
              <w:rPr>
                <w:b/>
              </w:rPr>
              <w:t>ODS</w:t>
            </w:r>
          </w:p>
        </w:tc>
        <w:tc>
          <w:tcPr>
            <w:tcW w:w="1595" w:type="dxa"/>
          </w:tcPr>
          <w:p w:rsidR="008F550A" w:rsidRPr="008F550A" w:rsidRDefault="008F550A" w:rsidP="000F74E8">
            <w:pPr>
              <w:pStyle w:val="GHTableBody"/>
              <w:rPr>
                <w:b/>
              </w:rPr>
            </w:pPr>
          </w:p>
        </w:tc>
        <w:tc>
          <w:tcPr>
            <w:tcW w:w="1595" w:type="dxa"/>
          </w:tcPr>
          <w:p w:rsidR="008F550A" w:rsidRPr="008F550A" w:rsidRDefault="008F550A" w:rsidP="000F74E8">
            <w:pPr>
              <w:pStyle w:val="GHTableBody"/>
              <w:rPr>
                <w:b/>
              </w:rPr>
            </w:pPr>
          </w:p>
        </w:tc>
        <w:tc>
          <w:tcPr>
            <w:tcW w:w="1595" w:type="dxa"/>
          </w:tcPr>
          <w:p w:rsidR="008F550A" w:rsidRPr="008F550A" w:rsidRDefault="008F550A" w:rsidP="000F74E8">
            <w:pPr>
              <w:pStyle w:val="GHTableBody"/>
              <w:rPr>
                <w:b/>
              </w:rPr>
            </w:pPr>
          </w:p>
        </w:tc>
        <w:tc>
          <w:tcPr>
            <w:tcW w:w="1451" w:type="dxa"/>
          </w:tcPr>
          <w:p w:rsidR="008F550A" w:rsidRPr="008F550A" w:rsidRDefault="008F550A" w:rsidP="000F74E8">
            <w:pPr>
              <w:pStyle w:val="GHTableBody"/>
              <w:rPr>
                <w:b/>
              </w:rPr>
            </w:pPr>
          </w:p>
        </w:tc>
        <w:tc>
          <w:tcPr>
            <w:tcW w:w="1451" w:type="dxa"/>
          </w:tcPr>
          <w:p w:rsidR="008F550A" w:rsidRPr="008F550A" w:rsidRDefault="008F550A" w:rsidP="000F74E8">
            <w:pPr>
              <w:pStyle w:val="GHTableBody"/>
              <w:rPr>
                <w:b/>
              </w:rPr>
            </w:pPr>
          </w:p>
        </w:tc>
      </w:tr>
      <w:tr w:rsidR="00E85A3C" w:rsidTr="000F74E8">
        <w:tc>
          <w:tcPr>
            <w:tcW w:w="1593" w:type="dxa"/>
          </w:tcPr>
          <w:p w:rsidR="00E85A3C" w:rsidRDefault="008F550A" w:rsidP="000F74E8">
            <w:pPr>
              <w:pStyle w:val="GHTableBody"/>
            </w:pPr>
            <w:r>
              <w:t>HCFC-22</w:t>
            </w:r>
          </w:p>
        </w:tc>
        <w:tc>
          <w:tcPr>
            <w:tcW w:w="1595" w:type="dxa"/>
          </w:tcPr>
          <w:p w:rsidR="00E85A3C" w:rsidRDefault="00E85A3C" w:rsidP="000F74E8">
            <w:pPr>
              <w:pStyle w:val="GHTableBody"/>
            </w:pPr>
            <w:r>
              <w:t>3,026</w:t>
            </w:r>
          </w:p>
        </w:tc>
        <w:tc>
          <w:tcPr>
            <w:tcW w:w="1595" w:type="dxa"/>
          </w:tcPr>
          <w:p w:rsidR="00E85A3C" w:rsidRDefault="00E85A3C" w:rsidP="000F74E8">
            <w:pPr>
              <w:pStyle w:val="GHTableBody"/>
            </w:pPr>
            <w:r>
              <w:t>2,588</w:t>
            </w:r>
          </w:p>
        </w:tc>
        <w:tc>
          <w:tcPr>
            <w:tcW w:w="1595" w:type="dxa"/>
          </w:tcPr>
          <w:p w:rsidR="00E85A3C" w:rsidRDefault="00E85A3C" w:rsidP="000F74E8">
            <w:pPr>
              <w:pStyle w:val="GHTableBody"/>
            </w:pPr>
            <w:r>
              <w:t>2,501</w:t>
            </w:r>
          </w:p>
        </w:tc>
        <w:tc>
          <w:tcPr>
            <w:tcW w:w="1451" w:type="dxa"/>
          </w:tcPr>
          <w:p w:rsidR="00E85A3C" w:rsidRDefault="00E85A3C" w:rsidP="000F74E8">
            <w:pPr>
              <w:pStyle w:val="GHTableBody"/>
            </w:pPr>
            <w:r>
              <w:t>2,550</w:t>
            </w:r>
          </w:p>
        </w:tc>
        <w:tc>
          <w:tcPr>
            <w:tcW w:w="1451" w:type="dxa"/>
          </w:tcPr>
          <w:p w:rsidR="00E85A3C" w:rsidRDefault="00E85A3C" w:rsidP="000F74E8">
            <w:pPr>
              <w:pStyle w:val="GHTableBody"/>
            </w:pPr>
            <w:r>
              <w:t>2,112</w:t>
            </w:r>
          </w:p>
        </w:tc>
      </w:tr>
      <w:tr w:rsidR="008F550A" w:rsidTr="000F74E8">
        <w:tc>
          <w:tcPr>
            <w:tcW w:w="1593" w:type="dxa"/>
          </w:tcPr>
          <w:p w:rsidR="008F550A" w:rsidRPr="008F550A" w:rsidRDefault="008F550A" w:rsidP="000F74E8">
            <w:pPr>
              <w:pStyle w:val="GHTableBody"/>
              <w:rPr>
                <w:b/>
              </w:rPr>
            </w:pPr>
            <w:r w:rsidRPr="008F550A">
              <w:rPr>
                <w:b/>
              </w:rPr>
              <w:t>Non-ODS</w:t>
            </w:r>
          </w:p>
        </w:tc>
        <w:tc>
          <w:tcPr>
            <w:tcW w:w="1595" w:type="dxa"/>
          </w:tcPr>
          <w:p w:rsidR="008F550A" w:rsidRPr="008F550A" w:rsidRDefault="008F550A" w:rsidP="000F74E8">
            <w:pPr>
              <w:pStyle w:val="GHTableBody"/>
              <w:rPr>
                <w:b/>
              </w:rPr>
            </w:pPr>
          </w:p>
        </w:tc>
        <w:tc>
          <w:tcPr>
            <w:tcW w:w="1595" w:type="dxa"/>
          </w:tcPr>
          <w:p w:rsidR="008F550A" w:rsidRPr="008F550A" w:rsidRDefault="008F550A" w:rsidP="000F74E8">
            <w:pPr>
              <w:pStyle w:val="GHTableBody"/>
              <w:rPr>
                <w:b/>
              </w:rPr>
            </w:pPr>
          </w:p>
        </w:tc>
        <w:tc>
          <w:tcPr>
            <w:tcW w:w="1595" w:type="dxa"/>
          </w:tcPr>
          <w:p w:rsidR="008F550A" w:rsidRPr="008F550A" w:rsidRDefault="008F550A" w:rsidP="000F74E8">
            <w:pPr>
              <w:pStyle w:val="GHTableBody"/>
              <w:rPr>
                <w:b/>
              </w:rPr>
            </w:pPr>
          </w:p>
        </w:tc>
        <w:tc>
          <w:tcPr>
            <w:tcW w:w="1451" w:type="dxa"/>
          </w:tcPr>
          <w:p w:rsidR="008F550A" w:rsidRPr="008F550A" w:rsidRDefault="008F550A" w:rsidP="000F74E8">
            <w:pPr>
              <w:pStyle w:val="GHTableBody"/>
              <w:rPr>
                <w:b/>
              </w:rPr>
            </w:pPr>
          </w:p>
        </w:tc>
        <w:tc>
          <w:tcPr>
            <w:tcW w:w="1451" w:type="dxa"/>
          </w:tcPr>
          <w:p w:rsidR="008F550A" w:rsidRPr="008F550A" w:rsidRDefault="008F550A" w:rsidP="000F74E8">
            <w:pPr>
              <w:pStyle w:val="GHTableBody"/>
              <w:rPr>
                <w:b/>
              </w:rPr>
            </w:pPr>
          </w:p>
        </w:tc>
      </w:tr>
      <w:tr w:rsidR="008F550A" w:rsidTr="000F74E8">
        <w:tc>
          <w:tcPr>
            <w:tcW w:w="1593" w:type="dxa"/>
          </w:tcPr>
          <w:p w:rsidR="008F550A" w:rsidRDefault="008F550A" w:rsidP="000F74E8">
            <w:pPr>
              <w:pStyle w:val="GHTableBody"/>
            </w:pPr>
            <w:r>
              <w:t>HFC-134a</w:t>
            </w:r>
          </w:p>
        </w:tc>
        <w:tc>
          <w:tcPr>
            <w:tcW w:w="1595" w:type="dxa"/>
          </w:tcPr>
          <w:p w:rsidR="008F550A" w:rsidRDefault="008F550A" w:rsidP="000F74E8">
            <w:pPr>
              <w:pStyle w:val="GHTableBody"/>
            </w:pPr>
            <w:r>
              <w:t>1,069</w:t>
            </w:r>
          </w:p>
        </w:tc>
        <w:tc>
          <w:tcPr>
            <w:tcW w:w="1595" w:type="dxa"/>
          </w:tcPr>
          <w:p w:rsidR="008F550A" w:rsidRDefault="008F550A" w:rsidP="000F74E8">
            <w:pPr>
              <w:pStyle w:val="GHTableBody"/>
            </w:pPr>
            <w:r>
              <w:t>1,180</w:t>
            </w:r>
          </w:p>
        </w:tc>
        <w:tc>
          <w:tcPr>
            <w:tcW w:w="1595" w:type="dxa"/>
          </w:tcPr>
          <w:p w:rsidR="008F550A" w:rsidRDefault="008F550A" w:rsidP="000F74E8">
            <w:pPr>
              <w:pStyle w:val="GHTableBody"/>
            </w:pPr>
            <w:r>
              <w:t>1,312</w:t>
            </w:r>
          </w:p>
        </w:tc>
        <w:tc>
          <w:tcPr>
            <w:tcW w:w="1451" w:type="dxa"/>
          </w:tcPr>
          <w:p w:rsidR="008F550A" w:rsidRDefault="008F550A" w:rsidP="000F74E8">
            <w:pPr>
              <w:pStyle w:val="GHTableBody"/>
            </w:pPr>
            <w:r>
              <w:t>1,460</w:t>
            </w:r>
          </w:p>
        </w:tc>
        <w:tc>
          <w:tcPr>
            <w:tcW w:w="1451" w:type="dxa"/>
          </w:tcPr>
          <w:p w:rsidR="008F550A" w:rsidRDefault="008F550A" w:rsidP="000F74E8">
            <w:pPr>
              <w:pStyle w:val="GHTableBody"/>
            </w:pPr>
          </w:p>
        </w:tc>
      </w:tr>
      <w:tr w:rsidR="008F550A" w:rsidTr="000F74E8">
        <w:tc>
          <w:tcPr>
            <w:tcW w:w="1593" w:type="dxa"/>
          </w:tcPr>
          <w:p w:rsidR="008F550A" w:rsidRDefault="008F550A" w:rsidP="000F74E8">
            <w:pPr>
              <w:pStyle w:val="GHTableBody"/>
            </w:pPr>
            <w:r>
              <w:t>R-404A</w:t>
            </w:r>
          </w:p>
        </w:tc>
        <w:tc>
          <w:tcPr>
            <w:tcW w:w="1595" w:type="dxa"/>
          </w:tcPr>
          <w:p w:rsidR="008F550A" w:rsidRDefault="008F550A" w:rsidP="000F74E8">
            <w:pPr>
              <w:pStyle w:val="GHTableBody"/>
            </w:pPr>
            <w:r>
              <w:t>520</w:t>
            </w:r>
          </w:p>
        </w:tc>
        <w:tc>
          <w:tcPr>
            <w:tcW w:w="1595" w:type="dxa"/>
          </w:tcPr>
          <w:p w:rsidR="008F550A" w:rsidRDefault="008F550A" w:rsidP="000F74E8">
            <w:pPr>
              <w:pStyle w:val="GHTableBody"/>
            </w:pPr>
            <w:r>
              <w:t>574</w:t>
            </w:r>
          </w:p>
        </w:tc>
        <w:tc>
          <w:tcPr>
            <w:tcW w:w="1595" w:type="dxa"/>
          </w:tcPr>
          <w:p w:rsidR="008F550A" w:rsidRDefault="008F550A" w:rsidP="000F74E8">
            <w:pPr>
              <w:pStyle w:val="GHTableBody"/>
            </w:pPr>
            <w:r>
              <w:t>638</w:t>
            </w:r>
          </w:p>
        </w:tc>
        <w:tc>
          <w:tcPr>
            <w:tcW w:w="1451" w:type="dxa"/>
          </w:tcPr>
          <w:p w:rsidR="008F550A" w:rsidRDefault="008F550A" w:rsidP="000F74E8">
            <w:pPr>
              <w:pStyle w:val="GHTableBody"/>
            </w:pPr>
            <w:r>
              <w:t>710</w:t>
            </w:r>
          </w:p>
        </w:tc>
        <w:tc>
          <w:tcPr>
            <w:tcW w:w="1451" w:type="dxa"/>
          </w:tcPr>
          <w:p w:rsidR="008F550A" w:rsidRDefault="008F550A" w:rsidP="000F74E8">
            <w:pPr>
              <w:pStyle w:val="GHTableBody"/>
            </w:pPr>
          </w:p>
        </w:tc>
      </w:tr>
      <w:tr w:rsidR="008F550A" w:rsidTr="000F74E8">
        <w:tc>
          <w:tcPr>
            <w:tcW w:w="1593" w:type="dxa"/>
          </w:tcPr>
          <w:p w:rsidR="008F550A" w:rsidRDefault="008F550A" w:rsidP="000F74E8">
            <w:pPr>
              <w:pStyle w:val="GHTableBody"/>
            </w:pPr>
            <w:r>
              <w:t>R-507A</w:t>
            </w:r>
          </w:p>
        </w:tc>
        <w:tc>
          <w:tcPr>
            <w:tcW w:w="1595" w:type="dxa"/>
          </w:tcPr>
          <w:p w:rsidR="008F550A" w:rsidRDefault="008F550A" w:rsidP="000F74E8">
            <w:pPr>
              <w:pStyle w:val="GHTableBody"/>
            </w:pPr>
            <w:r>
              <w:t>457</w:t>
            </w:r>
          </w:p>
        </w:tc>
        <w:tc>
          <w:tcPr>
            <w:tcW w:w="1595" w:type="dxa"/>
          </w:tcPr>
          <w:p w:rsidR="008F550A" w:rsidRDefault="008F550A" w:rsidP="000F74E8">
            <w:pPr>
              <w:pStyle w:val="GHTableBody"/>
            </w:pPr>
            <w:r>
              <w:t>504</w:t>
            </w:r>
          </w:p>
        </w:tc>
        <w:tc>
          <w:tcPr>
            <w:tcW w:w="1595" w:type="dxa"/>
          </w:tcPr>
          <w:p w:rsidR="008F550A" w:rsidRDefault="008F550A" w:rsidP="000F74E8">
            <w:pPr>
              <w:pStyle w:val="GHTableBody"/>
            </w:pPr>
            <w:r>
              <w:t>561</w:t>
            </w:r>
          </w:p>
        </w:tc>
        <w:tc>
          <w:tcPr>
            <w:tcW w:w="1451" w:type="dxa"/>
          </w:tcPr>
          <w:p w:rsidR="008F550A" w:rsidRDefault="008F550A" w:rsidP="000F74E8">
            <w:pPr>
              <w:pStyle w:val="GHTableBody"/>
            </w:pPr>
            <w:r>
              <w:t>624</w:t>
            </w:r>
          </w:p>
        </w:tc>
        <w:tc>
          <w:tcPr>
            <w:tcW w:w="1451" w:type="dxa"/>
          </w:tcPr>
          <w:p w:rsidR="008F550A" w:rsidRDefault="008F550A" w:rsidP="000F74E8">
            <w:pPr>
              <w:pStyle w:val="GHTableBody"/>
            </w:pPr>
          </w:p>
        </w:tc>
      </w:tr>
      <w:tr w:rsidR="008F550A" w:rsidTr="000F74E8">
        <w:tc>
          <w:tcPr>
            <w:tcW w:w="1593" w:type="dxa"/>
          </w:tcPr>
          <w:p w:rsidR="008F550A" w:rsidRDefault="008F550A" w:rsidP="000F74E8">
            <w:pPr>
              <w:pStyle w:val="GHTableBody"/>
            </w:pPr>
            <w:r>
              <w:t>R-410A</w:t>
            </w:r>
          </w:p>
        </w:tc>
        <w:tc>
          <w:tcPr>
            <w:tcW w:w="1595" w:type="dxa"/>
          </w:tcPr>
          <w:p w:rsidR="008F550A" w:rsidRDefault="008F550A" w:rsidP="000F74E8">
            <w:pPr>
              <w:pStyle w:val="GHTableBody"/>
            </w:pPr>
            <w:r>
              <w:t>362</w:t>
            </w:r>
          </w:p>
        </w:tc>
        <w:tc>
          <w:tcPr>
            <w:tcW w:w="1595" w:type="dxa"/>
          </w:tcPr>
          <w:p w:rsidR="008F550A" w:rsidRDefault="008F550A" w:rsidP="000F74E8">
            <w:pPr>
              <w:pStyle w:val="GHTableBody"/>
            </w:pPr>
            <w:r>
              <w:t>400</w:t>
            </w:r>
          </w:p>
        </w:tc>
        <w:tc>
          <w:tcPr>
            <w:tcW w:w="1595" w:type="dxa"/>
          </w:tcPr>
          <w:p w:rsidR="008F550A" w:rsidRDefault="008F550A" w:rsidP="000F74E8">
            <w:pPr>
              <w:pStyle w:val="GHTableBody"/>
            </w:pPr>
            <w:r>
              <w:t>445</w:t>
            </w:r>
          </w:p>
        </w:tc>
        <w:tc>
          <w:tcPr>
            <w:tcW w:w="1451" w:type="dxa"/>
          </w:tcPr>
          <w:p w:rsidR="008F550A" w:rsidRDefault="008F550A" w:rsidP="000F74E8">
            <w:pPr>
              <w:pStyle w:val="GHTableBody"/>
            </w:pPr>
            <w:r>
              <w:t>495</w:t>
            </w:r>
          </w:p>
        </w:tc>
        <w:tc>
          <w:tcPr>
            <w:tcW w:w="1451" w:type="dxa"/>
          </w:tcPr>
          <w:p w:rsidR="008F550A" w:rsidRDefault="008F550A" w:rsidP="000F74E8">
            <w:pPr>
              <w:pStyle w:val="GHTableBody"/>
            </w:pPr>
          </w:p>
        </w:tc>
      </w:tr>
      <w:tr w:rsidR="008F550A" w:rsidTr="000F74E8">
        <w:tc>
          <w:tcPr>
            <w:tcW w:w="1593" w:type="dxa"/>
          </w:tcPr>
          <w:p w:rsidR="008F550A" w:rsidRDefault="008F550A" w:rsidP="000F74E8">
            <w:pPr>
              <w:pStyle w:val="GHTableBody"/>
            </w:pPr>
            <w:r>
              <w:t>R-407C</w:t>
            </w:r>
          </w:p>
        </w:tc>
        <w:tc>
          <w:tcPr>
            <w:tcW w:w="1595" w:type="dxa"/>
          </w:tcPr>
          <w:p w:rsidR="008F550A" w:rsidRDefault="008F550A" w:rsidP="000F74E8">
            <w:pPr>
              <w:pStyle w:val="GHTableBody"/>
            </w:pPr>
            <w:r>
              <w:t>92</w:t>
            </w:r>
          </w:p>
        </w:tc>
        <w:tc>
          <w:tcPr>
            <w:tcW w:w="1595" w:type="dxa"/>
          </w:tcPr>
          <w:p w:rsidR="008F550A" w:rsidRDefault="008F550A" w:rsidP="000F74E8">
            <w:pPr>
              <w:pStyle w:val="GHTableBody"/>
            </w:pPr>
            <w:r>
              <w:t>102</w:t>
            </w:r>
          </w:p>
        </w:tc>
        <w:tc>
          <w:tcPr>
            <w:tcW w:w="1595" w:type="dxa"/>
          </w:tcPr>
          <w:p w:rsidR="008F550A" w:rsidRDefault="008F550A" w:rsidP="000F74E8">
            <w:pPr>
              <w:pStyle w:val="GHTableBody"/>
            </w:pPr>
            <w:r>
              <w:t>113</w:t>
            </w:r>
          </w:p>
        </w:tc>
        <w:tc>
          <w:tcPr>
            <w:tcW w:w="1451" w:type="dxa"/>
          </w:tcPr>
          <w:p w:rsidR="008F550A" w:rsidRDefault="008F550A" w:rsidP="000F74E8">
            <w:pPr>
              <w:pStyle w:val="GHTableBody"/>
            </w:pPr>
            <w:r>
              <w:t>126</w:t>
            </w:r>
          </w:p>
        </w:tc>
        <w:tc>
          <w:tcPr>
            <w:tcW w:w="1451" w:type="dxa"/>
          </w:tcPr>
          <w:p w:rsidR="008F550A" w:rsidRDefault="008F550A" w:rsidP="000F74E8">
            <w:pPr>
              <w:pStyle w:val="GHTableBody"/>
            </w:pPr>
          </w:p>
        </w:tc>
      </w:tr>
      <w:tr w:rsidR="008F550A" w:rsidTr="000F74E8">
        <w:tc>
          <w:tcPr>
            <w:tcW w:w="1593" w:type="dxa"/>
          </w:tcPr>
          <w:p w:rsidR="008F550A" w:rsidRDefault="008F550A" w:rsidP="000F74E8">
            <w:pPr>
              <w:pStyle w:val="GHTableBody"/>
            </w:pPr>
            <w:r>
              <w:t>HFC-227ea/HFC-365mfc</w:t>
            </w:r>
          </w:p>
        </w:tc>
        <w:tc>
          <w:tcPr>
            <w:tcW w:w="1595" w:type="dxa"/>
          </w:tcPr>
          <w:p w:rsidR="008F550A" w:rsidRDefault="008F550A" w:rsidP="000F74E8">
            <w:pPr>
              <w:pStyle w:val="GHTableBody"/>
            </w:pPr>
            <w:r>
              <w:t>60</w:t>
            </w:r>
          </w:p>
        </w:tc>
        <w:tc>
          <w:tcPr>
            <w:tcW w:w="1595" w:type="dxa"/>
          </w:tcPr>
          <w:p w:rsidR="008F550A" w:rsidRDefault="008F550A" w:rsidP="000F74E8">
            <w:pPr>
              <w:pStyle w:val="GHTableBody"/>
            </w:pPr>
            <w:r>
              <w:t>66</w:t>
            </w:r>
          </w:p>
        </w:tc>
        <w:tc>
          <w:tcPr>
            <w:tcW w:w="1595" w:type="dxa"/>
          </w:tcPr>
          <w:p w:rsidR="008F550A" w:rsidRDefault="008F550A" w:rsidP="000F74E8">
            <w:pPr>
              <w:pStyle w:val="GHTableBody"/>
            </w:pPr>
            <w:r>
              <w:t>74</w:t>
            </w:r>
          </w:p>
        </w:tc>
        <w:tc>
          <w:tcPr>
            <w:tcW w:w="1451" w:type="dxa"/>
          </w:tcPr>
          <w:p w:rsidR="008F550A" w:rsidRDefault="008F550A" w:rsidP="000F74E8">
            <w:pPr>
              <w:pStyle w:val="GHTableBody"/>
            </w:pPr>
            <w:r>
              <w:t>82</w:t>
            </w:r>
          </w:p>
        </w:tc>
        <w:tc>
          <w:tcPr>
            <w:tcW w:w="1451" w:type="dxa"/>
          </w:tcPr>
          <w:p w:rsidR="008F550A" w:rsidRDefault="008F550A" w:rsidP="000F74E8">
            <w:pPr>
              <w:pStyle w:val="GHTableBody"/>
            </w:pPr>
          </w:p>
        </w:tc>
      </w:tr>
      <w:tr w:rsidR="008F550A" w:rsidTr="000F74E8">
        <w:tc>
          <w:tcPr>
            <w:tcW w:w="1593" w:type="dxa"/>
          </w:tcPr>
          <w:p w:rsidR="008F550A" w:rsidRDefault="008F550A" w:rsidP="000F74E8">
            <w:pPr>
              <w:pStyle w:val="GHTableBody"/>
            </w:pPr>
            <w:r>
              <w:t>HFO-1234yf</w:t>
            </w:r>
          </w:p>
        </w:tc>
        <w:tc>
          <w:tcPr>
            <w:tcW w:w="1595" w:type="dxa"/>
          </w:tcPr>
          <w:p w:rsidR="008F550A" w:rsidRDefault="008F550A" w:rsidP="000F74E8">
            <w:pPr>
              <w:pStyle w:val="GHTableBody"/>
            </w:pPr>
          </w:p>
        </w:tc>
        <w:tc>
          <w:tcPr>
            <w:tcW w:w="1595" w:type="dxa"/>
          </w:tcPr>
          <w:p w:rsidR="008F550A" w:rsidRDefault="008F550A" w:rsidP="000F74E8">
            <w:pPr>
              <w:pStyle w:val="GHTableBody"/>
            </w:pPr>
            <w:r>
              <w:t>1</w:t>
            </w:r>
          </w:p>
        </w:tc>
        <w:tc>
          <w:tcPr>
            <w:tcW w:w="1595" w:type="dxa"/>
          </w:tcPr>
          <w:p w:rsidR="008F550A" w:rsidRDefault="008F550A" w:rsidP="000F74E8">
            <w:pPr>
              <w:pStyle w:val="GHTableBody"/>
            </w:pPr>
            <w:r>
              <w:t>1</w:t>
            </w:r>
          </w:p>
        </w:tc>
        <w:tc>
          <w:tcPr>
            <w:tcW w:w="1451" w:type="dxa"/>
          </w:tcPr>
          <w:p w:rsidR="008F550A" w:rsidRDefault="008F550A" w:rsidP="000F74E8">
            <w:pPr>
              <w:pStyle w:val="GHTableBody"/>
            </w:pPr>
            <w:r>
              <w:t>80</w:t>
            </w:r>
          </w:p>
        </w:tc>
        <w:tc>
          <w:tcPr>
            <w:tcW w:w="1451" w:type="dxa"/>
          </w:tcPr>
          <w:p w:rsidR="008F550A" w:rsidRDefault="008F550A" w:rsidP="000F74E8">
            <w:pPr>
              <w:pStyle w:val="GHTableBody"/>
            </w:pPr>
          </w:p>
        </w:tc>
      </w:tr>
      <w:tr w:rsidR="008F550A" w:rsidTr="000F74E8">
        <w:tc>
          <w:tcPr>
            <w:tcW w:w="1593" w:type="dxa"/>
          </w:tcPr>
          <w:p w:rsidR="008F550A" w:rsidRDefault="008F550A" w:rsidP="000F74E8">
            <w:pPr>
              <w:pStyle w:val="GHTableBody"/>
            </w:pPr>
            <w:r>
              <w:t>HFC-152a</w:t>
            </w:r>
          </w:p>
        </w:tc>
        <w:tc>
          <w:tcPr>
            <w:tcW w:w="1595" w:type="dxa"/>
          </w:tcPr>
          <w:p w:rsidR="008F550A" w:rsidRDefault="008F550A" w:rsidP="000F74E8">
            <w:pPr>
              <w:pStyle w:val="GHTableBody"/>
            </w:pPr>
            <w:r>
              <w:t>57</w:t>
            </w:r>
          </w:p>
        </w:tc>
        <w:tc>
          <w:tcPr>
            <w:tcW w:w="1595" w:type="dxa"/>
          </w:tcPr>
          <w:p w:rsidR="008F550A" w:rsidRDefault="008F550A" w:rsidP="000F74E8">
            <w:pPr>
              <w:pStyle w:val="GHTableBody"/>
            </w:pPr>
            <w:r>
              <w:t>63</w:t>
            </w:r>
          </w:p>
        </w:tc>
        <w:tc>
          <w:tcPr>
            <w:tcW w:w="1595" w:type="dxa"/>
          </w:tcPr>
          <w:p w:rsidR="008F550A" w:rsidRDefault="008F550A" w:rsidP="000F74E8">
            <w:pPr>
              <w:pStyle w:val="GHTableBody"/>
            </w:pPr>
            <w:r>
              <w:t>70</w:t>
            </w:r>
          </w:p>
        </w:tc>
        <w:tc>
          <w:tcPr>
            <w:tcW w:w="1451" w:type="dxa"/>
          </w:tcPr>
          <w:p w:rsidR="008F550A" w:rsidRDefault="008F550A" w:rsidP="000F74E8">
            <w:pPr>
              <w:pStyle w:val="GHTableBody"/>
            </w:pPr>
            <w:r>
              <w:t>78</w:t>
            </w:r>
          </w:p>
        </w:tc>
        <w:tc>
          <w:tcPr>
            <w:tcW w:w="1451" w:type="dxa"/>
          </w:tcPr>
          <w:p w:rsidR="008F550A" w:rsidRDefault="008F550A" w:rsidP="000F74E8">
            <w:pPr>
              <w:pStyle w:val="GHTableBody"/>
            </w:pPr>
          </w:p>
        </w:tc>
      </w:tr>
      <w:tr w:rsidR="008F550A" w:rsidTr="000F74E8">
        <w:tc>
          <w:tcPr>
            <w:tcW w:w="1593" w:type="dxa"/>
          </w:tcPr>
          <w:p w:rsidR="008F550A" w:rsidRDefault="008F550A" w:rsidP="000F74E8">
            <w:pPr>
              <w:pStyle w:val="GHTableBody"/>
            </w:pPr>
            <w:r>
              <w:t>HFC-32</w:t>
            </w:r>
          </w:p>
        </w:tc>
        <w:tc>
          <w:tcPr>
            <w:tcW w:w="1595" w:type="dxa"/>
          </w:tcPr>
          <w:p w:rsidR="008F550A" w:rsidRDefault="008F550A" w:rsidP="000F74E8">
            <w:pPr>
              <w:pStyle w:val="GHTableBody"/>
            </w:pPr>
            <w:r>
              <w:t>1</w:t>
            </w:r>
          </w:p>
        </w:tc>
        <w:tc>
          <w:tcPr>
            <w:tcW w:w="1595" w:type="dxa"/>
          </w:tcPr>
          <w:p w:rsidR="008F550A" w:rsidRDefault="008F550A" w:rsidP="000F74E8">
            <w:pPr>
              <w:pStyle w:val="GHTableBody"/>
            </w:pPr>
            <w:r>
              <w:t>1</w:t>
            </w:r>
          </w:p>
        </w:tc>
        <w:tc>
          <w:tcPr>
            <w:tcW w:w="1595" w:type="dxa"/>
          </w:tcPr>
          <w:p w:rsidR="008F550A" w:rsidRDefault="008F550A" w:rsidP="000F74E8">
            <w:pPr>
              <w:pStyle w:val="GHTableBody"/>
            </w:pPr>
            <w:r>
              <w:t>1</w:t>
            </w:r>
          </w:p>
        </w:tc>
        <w:tc>
          <w:tcPr>
            <w:tcW w:w="1451" w:type="dxa"/>
          </w:tcPr>
          <w:p w:rsidR="008F550A" w:rsidRDefault="008F550A" w:rsidP="000F74E8">
            <w:pPr>
              <w:pStyle w:val="GHTableBody"/>
            </w:pPr>
            <w:r>
              <w:t>1</w:t>
            </w:r>
          </w:p>
        </w:tc>
        <w:tc>
          <w:tcPr>
            <w:tcW w:w="1451" w:type="dxa"/>
          </w:tcPr>
          <w:p w:rsidR="008F550A" w:rsidRDefault="008F550A" w:rsidP="000F74E8">
            <w:pPr>
              <w:pStyle w:val="GHTableBody"/>
            </w:pPr>
          </w:p>
        </w:tc>
      </w:tr>
      <w:tr w:rsidR="008F550A" w:rsidTr="000F74E8">
        <w:tc>
          <w:tcPr>
            <w:tcW w:w="1593" w:type="dxa"/>
          </w:tcPr>
          <w:p w:rsidR="008F550A" w:rsidRPr="00D64C80" w:rsidRDefault="008F550A" w:rsidP="000F74E8">
            <w:pPr>
              <w:pStyle w:val="GHTableBody"/>
              <w:rPr>
                <w:b/>
              </w:rPr>
            </w:pPr>
            <w:r w:rsidRPr="00D64C80">
              <w:rPr>
                <w:b/>
              </w:rPr>
              <w:t>TOTAL</w:t>
            </w:r>
            <w:r>
              <w:rPr>
                <w:b/>
              </w:rPr>
              <w:t xml:space="preserve"> Non-ODS</w:t>
            </w:r>
          </w:p>
        </w:tc>
        <w:tc>
          <w:tcPr>
            <w:tcW w:w="1595" w:type="dxa"/>
          </w:tcPr>
          <w:p w:rsidR="008F550A" w:rsidRPr="00D64C80" w:rsidRDefault="008F550A" w:rsidP="000F74E8">
            <w:pPr>
              <w:pStyle w:val="GHTableBody"/>
              <w:rPr>
                <w:b/>
              </w:rPr>
            </w:pPr>
            <w:r w:rsidRPr="00D64C80">
              <w:rPr>
                <w:b/>
              </w:rPr>
              <w:t>2,617</w:t>
            </w:r>
          </w:p>
        </w:tc>
        <w:tc>
          <w:tcPr>
            <w:tcW w:w="1595" w:type="dxa"/>
          </w:tcPr>
          <w:p w:rsidR="008F550A" w:rsidRPr="00D64C80" w:rsidRDefault="008F550A" w:rsidP="000F74E8">
            <w:pPr>
              <w:pStyle w:val="GHTableBody"/>
              <w:rPr>
                <w:b/>
              </w:rPr>
            </w:pPr>
            <w:r>
              <w:rPr>
                <w:b/>
              </w:rPr>
              <w:t>2,890</w:t>
            </w:r>
          </w:p>
        </w:tc>
        <w:tc>
          <w:tcPr>
            <w:tcW w:w="1595" w:type="dxa"/>
          </w:tcPr>
          <w:p w:rsidR="008F550A" w:rsidRPr="00D64C80" w:rsidRDefault="008F550A" w:rsidP="000F74E8">
            <w:pPr>
              <w:pStyle w:val="GHTableBody"/>
              <w:rPr>
                <w:b/>
              </w:rPr>
            </w:pPr>
            <w:r>
              <w:rPr>
                <w:b/>
              </w:rPr>
              <w:t>3,215</w:t>
            </w:r>
          </w:p>
        </w:tc>
        <w:tc>
          <w:tcPr>
            <w:tcW w:w="1451" w:type="dxa"/>
          </w:tcPr>
          <w:p w:rsidR="008F550A" w:rsidRPr="00D64C80" w:rsidRDefault="008F550A" w:rsidP="000F74E8">
            <w:pPr>
              <w:pStyle w:val="GHTableBody"/>
              <w:rPr>
                <w:b/>
              </w:rPr>
            </w:pPr>
            <w:r>
              <w:rPr>
                <w:b/>
              </w:rPr>
              <w:t>3,656</w:t>
            </w:r>
          </w:p>
        </w:tc>
        <w:tc>
          <w:tcPr>
            <w:tcW w:w="1451" w:type="dxa"/>
          </w:tcPr>
          <w:p w:rsidR="008F550A" w:rsidRDefault="008F550A" w:rsidP="000F74E8">
            <w:pPr>
              <w:pStyle w:val="GHTableBody"/>
            </w:pPr>
          </w:p>
        </w:tc>
      </w:tr>
    </w:tbl>
    <w:p w:rsidR="00E85A3C" w:rsidRPr="004278A7" w:rsidRDefault="007118D7" w:rsidP="004278A7">
      <w:pPr>
        <w:pStyle w:val="NoSpacing"/>
        <w:rPr>
          <w:sz w:val="16"/>
          <w:szCs w:val="16"/>
        </w:rPr>
      </w:pPr>
      <w:r w:rsidRPr="004278A7">
        <w:rPr>
          <w:sz w:val="16"/>
          <w:szCs w:val="16"/>
        </w:rPr>
        <w:t>*estimate</w:t>
      </w:r>
    </w:p>
    <w:p w:rsidR="004278A7" w:rsidRPr="004278A7" w:rsidRDefault="004278A7" w:rsidP="004278A7">
      <w:pPr>
        <w:pStyle w:val="NoSpacing"/>
        <w:rPr>
          <w:sz w:val="16"/>
          <w:szCs w:val="16"/>
        </w:rPr>
      </w:pPr>
      <w:r w:rsidRPr="004278A7">
        <w:rPr>
          <w:sz w:val="16"/>
          <w:szCs w:val="16"/>
        </w:rPr>
        <w:lastRenderedPageBreak/>
        <w:t>Source:</w:t>
      </w:r>
      <w:r>
        <w:rPr>
          <w:sz w:val="16"/>
          <w:szCs w:val="16"/>
        </w:rPr>
        <w:t xml:space="preserve"> </w:t>
      </w:r>
      <w:r>
        <w:rPr>
          <w:sz w:val="16"/>
          <w:szCs w:val="16"/>
        </w:rPr>
        <w:fldChar w:fldCharType="begin" w:fldLock="1"/>
      </w:r>
      <w:r>
        <w:rPr>
          <w:sz w:val="16"/>
          <w:szCs w:val="16"/>
        </w:rPr>
        <w:instrText>ADDIN CSL_CITATION {"citationItems":[{"id":"ITEM-1","itemData":{"abstract":"This report has been prepared in line with the Guide for Preparation of The Surveys of Ozone Depleting Substances (ODS) Alternatives (Re-Issued) - MLF/IACM.2016/2/21.","author":[{"dropping-particle":"","family":"UNIDO","given":"","non-dropping-particle":"","parse-names":false,"suffix":""}],"id":"ITEM-1","issue":"November","issued":{"date-parts":[["2017"]]},"number-of-pages":"45","title":"HFC Inventory Report - South Africa","type":"report"},"uris":["http://www.mendeley.com/documents/?uuid=9d9aa772-d129-41fc-bf22-7b125a72216f"]}],"mendeley":{"formattedCitation":"(UNIDO, 2017)","plainTextFormattedCitation":"(UNIDO, 2017)"},"properties":{"noteIndex":0},"schema":"https://github.com/citation-style-language/schema/raw/master/csl-citation.json"}</w:instrText>
      </w:r>
      <w:r>
        <w:rPr>
          <w:sz w:val="16"/>
          <w:szCs w:val="16"/>
        </w:rPr>
        <w:fldChar w:fldCharType="separate"/>
      </w:r>
      <w:r w:rsidRPr="004278A7">
        <w:rPr>
          <w:noProof/>
          <w:sz w:val="16"/>
          <w:szCs w:val="16"/>
        </w:rPr>
        <w:t>(UNIDO, 2017)</w:t>
      </w:r>
      <w:r>
        <w:rPr>
          <w:sz w:val="16"/>
          <w:szCs w:val="16"/>
        </w:rPr>
        <w:fldChar w:fldCharType="end"/>
      </w:r>
    </w:p>
    <w:p w:rsidR="003B3F32" w:rsidRDefault="003B3F32" w:rsidP="003B3F32">
      <w:pPr>
        <w:pStyle w:val="Heading2"/>
        <w:rPr>
          <w:lang w:val="en-ZA"/>
        </w:rPr>
      </w:pPr>
      <w:r>
        <w:rPr>
          <w:lang w:val="en-ZA"/>
        </w:rPr>
        <w:t>Montreal Protocol and Kigali Amendment</w:t>
      </w:r>
    </w:p>
    <w:p w:rsidR="00630083" w:rsidRDefault="00B60637" w:rsidP="00B60637">
      <w:r>
        <w:t>The Montreal Protocol on Substances that Deplete the Ozone Layer is a multilateral environ</w:t>
      </w:r>
      <w:r w:rsidR="000A0053">
        <w:t>mental agreement that regulate</w:t>
      </w:r>
      <w:r>
        <w:t>s the production and consumption of about 100 artificial chemicals referred to as ozone-depleting substances (ODS).</w:t>
      </w:r>
      <w:r w:rsidR="00C47F73">
        <w:t xml:space="preserve"> It is one of the world’s most effective environmental treaties, ending 98% of production and consumption of ODS </w:t>
      </w:r>
      <w:r w:rsidR="00C47F73">
        <w:fldChar w:fldCharType="begin" w:fldLock="1"/>
      </w:r>
      <w:r w:rsidR="00630083">
        <w:instrText>ADDIN CSL_CITATION {"citationItems":[{"id":"ITEM-1","itemData":{"author":[{"dropping-particle":"","family":"Andersen","given":"SO.","non-dropping-particle":"","parse-names":false,"suffix":""},{"dropping-particle":"","family":"Brack","given":"D.","non-dropping-particle":"","parse-names":false,"suffix":""},{"dropping-particle":"","family":"Depledge","given":"J.","non-dropping-particle":"","parse-names":false,"suffix":""}],"id":"ITEM-1","issued":{"date-parts":[["2014"]]},"title":"A Global Response to HFCs through Fair and Effective Ozone and Climate Policies","type":"report"},"uris":["http://www.mendeley.com/documents/?uuid=56d9ded5-fd4f-3d70-b561-99e8c15f0fd2"]}],"mendeley":{"formattedCitation":"(Andersen, Brack and Depledge, 2014)","plainTextFormattedCitation":"(Andersen, Brack and Depledge, 2014)","previouslyFormattedCitation":"(Andersen, Brack and Depledge, 2014)"},"properties":{"noteIndex":0},"schema":"https://github.com/citation-style-language/schema/raw/master/csl-citation.json"}</w:instrText>
      </w:r>
      <w:r w:rsidR="00C47F73">
        <w:fldChar w:fldCharType="separate"/>
      </w:r>
      <w:r w:rsidR="00C47F73" w:rsidRPr="00C47F73">
        <w:rPr>
          <w:noProof/>
        </w:rPr>
        <w:t>(Andersen, Brack and Depledge, 2014)</w:t>
      </w:r>
      <w:r w:rsidR="00C47F73">
        <w:fldChar w:fldCharType="end"/>
      </w:r>
      <w:r w:rsidR="00C47F73">
        <w:t>. The Montreal Protocol, signed in 1987, began with the phasing</w:t>
      </w:r>
      <w:r w:rsidR="00630083">
        <w:t xml:space="preserve"> out of CFCs and halons, prompting</w:t>
      </w:r>
      <w:r w:rsidR="00C47F73">
        <w:t xml:space="preserve"> large uptake in the usage of HCFC</w:t>
      </w:r>
      <w:r w:rsidR="00630083">
        <w:t xml:space="preserve">’s. In 1992, the Protocol was updated to include the phasing out of HCFCs, leading to a large increase in HFC usage (and to a limited extended PFCs)  as a replacement for both CFCs and HCFCs </w:t>
      </w:r>
      <w:r w:rsidR="00630083">
        <w:fldChar w:fldCharType="begin" w:fldLock="1"/>
      </w:r>
      <w:r w:rsidR="000A0BC8">
        <w:instrText>ADDIN CSL_CITATION {"citationItems":[{"id":"ITEM-1","itemData":{"URL":"https://www.unep.org/ozonaction/who-we-are/about-montreal-protocol","accessed":{"date-parts":[["2021","3","5"]]},"author":[{"dropping-particle":"","family":"UNEP","given":"","non-dropping-particle":"","parse-names":false,"suffix":""}],"id":"ITEM-1","issued":{"date-parts":[["1991"]]},"page":"3-6","title":"About Montreal Protocol","type":"webpage"},"uris":["http://www.mendeley.com/documents/?uuid=9a43e2f0-de48-3fb0-91e9-a9ada4643938"]}],"mendeley":{"formattedCitation":"(UNEP, 1991)","plainTextFormattedCitation":"(UNEP, 1991)","previouslyFormattedCitation":"(UNEP, 1991)"},"properties":{"noteIndex":0},"schema":"https://github.com/citation-style-language/schema/raw/master/csl-citation.json"}</w:instrText>
      </w:r>
      <w:r w:rsidR="00630083">
        <w:fldChar w:fldCharType="separate"/>
      </w:r>
      <w:r w:rsidR="00630083" w:rsidRPr="00630083">
        <w:rPr>
          <w:noProof/>
        </w:rPr>
        <w:t>(UNEP, 1991)</w:t>
      </w:r>
      <w:r w:rsidR="00630083">
        <w:fldChar w:fldCharType="end"/>
      </w:r>
      <w:r w:rsidR="00630083">
        <w:t>.</w:t>
      </w:r>
    </w:p>
    <w:p w:rsidR="00B60637" w:rsidRDefault="00B60637" w:rsidP="00B60637">
      <w:pPr>
        <w:pStyle w:val="Heading3"/>
      </w:pPr>
      <w:r w:rsidRPr="009858E8">
        <w:t>Kigali Amendment</w:t>
      </w:r>
    </w:p>
    <w:p w:rsidR="00B60637" w:rsidRPr="00BF6211" w:rsidRDefault="00785576" w:rsidP="00B60637">
      <w:r>
        <w:t>HFC</w:t>
      </w:r>
      <w:r w:rsidR="000E5FA2">
        <w:t xml:space="preserve">s </w:t>
      </w:r>
      <w:r w:rsidR="000A0053">
        <w:t>are</w:t>
      </w:r>
      <w:r>
        <w:t xml:space="preserve"> non-ozone </w:t>
      </w:r>
      <w:r w:rsidR="000A0053">
        <w:t>depleting substances used as</w:t>
      </w:r>
      <w:r>
        <w:t xml:space="preserve"> replacement</w:t>
      </w:r>
      <w:r w:rsidR="000A0053">
        <w:t>s</w:t>
      </w:r>
      <w:r>
        <w:t xml:space="preserve"> for CFCs and HCFCs that were phased out as a result of the Montreal Protocol. Although HFCs do not deplete the stratospheric ozone layer, they have high GWP</w:t>
      </w:r>
      <w:r w:rsidR="000A0053">
        <w:t xml:space="preserve"> and thus contribute to global climate change</w:t>
      </w:r>
      <w:r>
        <w:t xml:space="preserve">. Consequently, the Kigali Amendment, which was entered into force on the 1 January 2019, aims to phase down HFCs between 80-85% by 2050. </w:t>
      </w:r>
    </w:p>
    <w:p w:rsidR="003B3F32" w:rsidRDefault="003B3F32" w:rsidP="003B3F32">
      <w:pPr>
        <w:pStyle w:val="Heading2"/>
        <w:rPr>
          <w:lang w:val="en-ZA"/>
        </w:rPr>
      </w:pPr>
      <w:r>
        <w:rPr>
          <w:lang w:val="en-ZA"/>
        </w:rPr>
        <w:t xml:space="preserve">Alternatives </w:t>
      </w:r>
    </w:p>
    <w:p w:rsidR="003B3F32" w:rsidRDefault="003B3F32" w:rsidP="003B3F32">
      <w:pPr>
        <w:pStyle w:val="Heading3"/>
        <w:rPr>
          <w:lang w:val="en-ZA"/>
        </w:rPr>
      </w:pPr>
      <w:r>
        <w:rPr>
          <w:lang w:val="en-ZA"/>
        </w:rPr>
        <w:t>Current alternatives</w:t>
      </w:r>
    </w:p>
    <w:p w:rsidR="00977923" w:rsidRDefault="009E0DE2" w:rsidP="00977923">
      <w:pPr>
        <w:rPr>
          <w:lang w:val="en-ZA"/>
        </w:rPr>
      </w:pPr>
      <w:r>
        <w:rPr>
          <w:lang w:val="en-ZA"/>
        </w:rPr>
        <w:t xml:space="preserve">Currently, the main alternatives to ODS are HFCs and, to a lesser extent, PFCs. </w:t>
      </w:r>
      <w:r w:rsidR="00977923">
        <w:rPr>
          <w:lang w:val="en-ZA"/>
        </w:rPr>
        <w:t xml:space="preserve">Before the implementation of the Montreal Protocol, the use of HFCs was limited to HFC-23 and HFC-152a </w:t>
      </w:r>
      <w:r w:rsidR="00977923">
        <w:rPr>
          <w:lang w:val="en-ZA"/>
        </w:rPr>
        <w:fldChar w:fldCharType="begin" w:fldLock="1"/>
      </w:r>
      <w:r w:rsidR="00977923">
        <w:rPr>
          <w:lang w:val="en-ZA"/>
        </w:rPr>
        <w:instrText>ADDIN CSL_CITATION {"citationItems":[{"id":"ITEM-1","itemData":{"abstract":"Hydrofluorocarbons (HFCs) and, to a very limited extent, perfluorocarbons (PFCs), are serving as alternatives to ozone depleting substances (ODS) being phased out under the Montreal Protocol. Current and expected application areas of HFCs and PFCs include (IPCC/TEAP, 2005): • refrigeration and air conditioning; • fire suppression and explosion protection; • aerosols; • solvent cleaning; • foam blowing; and • other applications1. These major groupings of current and expected usage are referred to in this chapter as applications within the ODS substitutes category. This introduction (Section 7.1) provides a general framework for estimating emissions from ODS substitutes, and subsequent sections (Sections 7.2 through 7.7) provide more specialised guidance on the individual applications introduced above. Some of these applications themselves encompass products or uses with diverse emission characteristics, and countries will produce more rigorous estimates if they account for this diversity through the adoption of disaggregated assessments (higher tier). Additionally, the use of HFCs and PFCs in some applications, specifically rigid foam (typically closed-cell foam), refrigeration and fire suppression, can lead to the development of long-lived banks of material. The emission patterns from these uses can be particularly complex and methods employing disaggregated data sets are essential to generate accurate emissions estimates. Other applications, such as aerosols and solvent cleaning may have short-term inventories of stock but, in the context of emission estimation, can still be considered as sources of prompt emission. This statement also applies to flexible foams (typically open-cell foam). HFCs","author":[{"dropping-particle":"","family":"IPCC","given":"","non-dropping-particle":"","parse-names":false,"suffix":""}],"container-title":"IPCC Guidelines for National Greenhouse Gas Inventories","id":"ITEM-1","issued":{"date-parts":[["2006"]]},"number-of-pages":"1-71","title":"Chapter 7 Emissions of Fluorinated Substitutes for Ozone","type":"report"},"uris":["http://www.mendeley.com/documents/?uuid=dc6a1dad-8dba-4005-be14-bd2aeba5576b"]}],"mendeley":{"formattedCitation":"(IPCC, 2006)","plainTextFormattedCitation":"(IPCC, 2006)","previouslyFormattedCitation":"(IPCC, 2006)"},"properties":{"noteIndex":0},"schema":"https://github.com/citation-style-language/schema/raw/master/csl-citation.json"}</w:instrText>
      </w:r>
      <w:r w:rsidR="00977923">
        <w:rPr>
          <w:lang w:val="en-ZA"/>
        </w:rPr>
        <w:fldChar w:fldCharType="separate"/>
      </w:r>
      <w:r w:rsidR="00977923" w:rsidRPr="00E065DA">
        <w:rPr>
          <w:noProof/>
          <w:lang w:val="en-ZA"/>
        </w:rPr>
        <w:t>(IPCC, 2006)</w:t>
      </w:r>
      <w:r w:rsidR="00977923">
        <w:rPr>
          <w:lang w:val="en-ZA"/>
        </w:rPr>
        <w:fldChar w:fldCharType="end"/>
      </w:r>
      <w:r w:rsidR="00977923">
        <w:rPr>
          <w:lang w:val="en-ZA"/>
        </w:rPr>
        <w:t xml:space="preserve">. </w:t>
      </w:r>
      <w:r w:rsidR="00733CAF">
        <w:rPr>
          <w:lang w:val="en-ZA"/>
        </w:rPr>
        <w:t xml:space="preserve"> However, since the phase-out of ODS, the use of HFCs, especially HFC-134a, has increased significantly </w:t>
      </w:r>
      <w:r w:rsidR="00977923">
        <w:rPr>
          <w:lang w:val="en-ZA"/>
        </w:rPr>
        <w:fldChar w:fldCharType="begin" w:fldLock="1"/>
      </w:r>
      <w:r w:rsidR="00977923">
        <w:rPr>
          <w:lang w:val="en-ZA"/>
        </w:rPr>
        <w:instrText>ADDIN CSL_CITATION {"citationItems":[{"id":"ITEM-1","itemData":{"abstract":"Hydrofluorocarbons (HFCs) and, to a very limited extent, perfluorocarbons (PFCs), are serving as alternatives to ozone depleting substances (ODS) being phased out under the Montreal Protocol. Current and expected application areas of HFCs and PFCs include (IPCC/TEAP, 2005): • refrigeration and air conditioning; • fire suppression and explosion protection; • aerosols; • solvent cleaning; • foam blowing; and • other applications1. These major groupings of current and expected usage are referred to in this chapter as applications within the ODS substitutes category. This introduction (Section 7.1) provides a general framework for estimating emissions from ODS substitutes, and subsequent sections (Sections 7.2 through 7.7) provide more specialised guidance on the individual applications introduced above. Some of these applications themselves encompass products or uses with diverse emission characteristics, and countries will produce more rigorous estimates if they account for this diversity through the adoption of disaggregated assessments (higher tier). Additionally, the use of HFCs and PFCs in some applications, specifically rigid foam (typically closed-cell foam), refrigeration and fire suppression, can lead to the development of long-lived banks of material. The emission patterns from these uses can be particularly complex and methods employing disaggregated data sets are essential to generate accurate emissions estimates. Other applications, such as aerosols and solvent cleaning may have short-term inventories of stock but, in the context of emission estimation, can still be considered as sources of prompt emission. This statement also applies to flexible foams (typically open-cell foam). HFCs","author":[{"dropping-particle":"","family":"IPCC","given":"","non-dropping-particle":"","parse-names":false,"suffix":""}],"container-title":"IPCC Guidelines for National Greenhouse Gas Inventories","id":"ITEM-1","issued":{"date-parts":[["2006"]]},"number-of-pages":"1-71","title":"Chapter 7 Emissions of Fluorinated Substitutes for Ozone","type":"report"},"uris":["http://www.mendeley.com/documents/?uuid=dc6a1dad-8dba-4005-be14-bd2aeba5576b"]}],"mendeley":{"formattedCitation":"(IPCC, 2006)","plainTextFormattedCitation":"(IPCC, 2006)","previouslyFormattedCitation":"(IPCC, 2006)"},"properties":{"noteIndex":0},"schema":"https://github.com/citation-style-language/schema/raw/master/csl-citation.json"}</w:instrText>
      </w:r>
      <w:r w:rsidR="00977923">
        <w:rPr>
          <w:lang w:val="en-ZA"/>
        </w:rPr>
        <w:fldChar w:fldCharType="separate"/>
      </w:r>
      <w:r w:rsidR="00977923" w:rsidRPr="00D10B50">
        <w:rPr>
          <w:noProof/>
          <w:lang w:val="en-ZA"/>
        </w:rPr>
        <w:t>(IPCC, 2006)</w:t>
      </w:r>
      <w:r w:rsidR="00977923">
        <w:rPr>
          <w:lang w:val="en-ZA"/>
        </w:rPr>
        <w:fldChar w:fldCharType="end"/>
      </w:r>
      <w:r w:rsidR="00977923">
        <w:rPr>
          <w:lang w:val="en-ZA"/>
        </w:rPr>
        <w:t>.</w:t>
      </w:r>
      <w:r w:rsidR="001A7122">
        <w:rPr>
          <w:lang w:val="en-ZA"/>
        </w:rPr>
        <w:t xml:space="preserve"> Blends of HFCs are also</w:t>
      </w:r>
      <w:r w:rsidR="00977923">
        <w:rPr>
          <w:lang w:val="en-ZA"/>
        </w:rPr>
        <w:t xml:space="preserve"> </w:t>
      </w:r>
      <w:r w:rsidR="001A7122">
        <w:rPr>
          <w:lang w:val="en-ZA"/>
        </w:rPr>
        <w:t>commonly used</w:t>
      </w:r>
      <w:r w:rsidR="00977923">
        <w:rPr>
          <w:lang w:val="en-ZA"/>
        </w:rPr>
        <w:t>, especially in the refrigeration and air conditioning sector, and contain varying concentrations of HFC-23, HFC-125, HFC-134a and HFC-143a.</w:t>
      </w:r>
    </w:p>
    <w:p w:rsidR="003B3F32" w:rsidRDefault="003B3F32" w:rsidP="003B3F32">
      <w:pPr>
        <w:pStyle w:val="Heading3"/>
        <w:rPr>
          <w:lang w:val="en-ZA"/>
        </w:rPr>
      </w:pPr>
      <w:r>
        <w:rPr>
          <w:lang w:val="en-ZA"/>
        </w:rPr>
        <w:t xml:space="preserve">Potential </w:t>
      </w:r>
      <w:r w:rsidR="00C452A2">
        <w:rPr>
          <w:lang w:val="en-ZA"/>
        </w:rPr>
        <w:t xml:space="preserve">future </w:t>
      </w:r>
      <w:r>
        <w:rPr>
          <w:lang w:val="en-ZA"/>
        </w:rPr>
        <w:t>alternatives</w:t>
      </w:r>
    </w:p>
    <w:p w:rsidR="00130027" w:rsidRDefault="00056F03" w:rsidP="00130027">
      <w:pPr>
        <w:rPr>
          <w:lang w:val="en-ZA"/>
        </w:rPr>
      </w:pPr>
      <w:r>
        <w:rPr>
          <w:lang w:val="en-ZA"/>
        </w:rPr>
        <w:t>Alternatives to HFCs and PFCs include both in-kind alternatives</w:t>
      </w:r>
      <w:r w:rsidR="002B2A99">
        <w:rPr>
          <w:lang w:val="en-ZA"/>
        </w:rPr>
        <w:t xml:space="preserve"> (alternatives that are similar or the same as what they are replacing, for example fluorocarbons) such</w:t>
      </w:r>
      <w:r>
        <w:rPr>
          <w:lang w:val="en-ZA"/>
        </w:rPr>
        <w:t xml:space="preserve"> </w:t>
      </w:r>
      <w:r w:rsidR="00130027">
        <w:t>as hydrofluoroolefins (HFOs) and hydrofluoro ethers (HFEs), and not-in-kind alternatives</w:t>
      </w:r>
      <w:r w:rsidR="002B2A99">
        <w:t xml:space="preserve"> (non-fluorinated or non-brominated alternatives)</w:t>
      </w:r>
      <w:r w:rsidR="00130027">
        <w:t>, such as h</w:t>
      </w:r>
      <w:r w:rsidR="00B265F3">
        <w:t>ydrocarbons (HCs) and different</w:t>
      </w:r>
      <w:r w:rsidR="00130027">
        <w:t xml:space="preserve"> technologies.</w:t>
      </w:r>
      <w:r w:rsidR="002B2A99">
        <w:rPr>
          <w:lang w:val="en-ZA"/>
        </w:rPr>
        <w:t xml:space="preserve"> </w:t>
      </w:r>
      <w:r w:rsidR="00747FC4">
        <w:rPr>
          <w:lang w:val="en-ZA"/>
        </w:rPr>
        <w:t xml:space="preserve">The </w:t>
      </w:r>
      <w:r w:rsidR="00715F8F">
        <w:rPr>
          <w:lang w:val="en-ZA"/>
        </w:rPr>
        <w:t>re</w:t>
      </w:r>
      <w:r w:rsidR="00747FC4">
        <w:rPr>
          <w:lang w:val="en-ZA"/>
        </w:rPr>
        <w:t>placement options differ depending on the application</w:t>
      </w:r>
      <w:r w:rsidR="00715F8F">
        <w:rPr>
          <w:lang w:val="en-ZA"/>
        </w:rPr>
        <w:t xml:space="preserve"> (</w:t>
      </w:r>
      <w:r w:rsidR="00715F8F">
        <w:rPr>
          <w:lang w:val="en-ZA"/>
        </w:rPr>
        <w:fldChar w:fldCharType="begin"/>
      </w:r>
      <w:r w:rsidR="00715F8F">
        <w:rPr>
          <w:lang w:val="en-ZA"/>
        </w:rPr>
        <w:instrText xml:space="preserve"> REF _Ref68600822 \h </w:instrText>
      </w:r>
      <w:r w:rsidR="00715F8F">
        <w:rPr>
          <w:lang w:val="en-ZA"/>
        </w:rPr>
      </w:r>
      <w:r w:rsidR="00715F8F">
        <w:rPr>
          <w:lang w:val="en-ZA"/>
        </w:rPr>
        <w:fldChar w:fldCharType="separate"/>
      </w:r>
      <w:r w:rsidR="00715F8F">
        <w:t xml:space="preserve">Table </w:t>
      </w:r>
      <w:r w:rsidR="00715F8F">
        <w:rPr>
          <w:noProof/>
        </w:rPr>
        <w:t>2</w:t>
      </w:r>
      <w:r w:rsidR="00715F8F">
        <w:rPr>
          <w:lang w:val="en-ZA"/>
        </w:rPr>
        <w:fldChar w:fldCharType="end"/>
      </w:r>
      <w:r w:rsidR="00715F8F">
        <w:rPr>
          <w:lang w:val="en-ZA"/>
        </w:rPr>
        <w:t>)</w:t>
      </w:r>
      <w:r w:rsidR="00747FC4">
        <w:rPr>
          <w:lang w:val="en-ZA"/>
        </w:rPr>
        <w:t xml:space="preserve"> and present their own challenges and costs.</w:t>
      </w:r>
    </w:p>
    <w:p w:rsidR="00045BFF" w:rsidRDefault="00045BFF" w:rsidP="00045BFF">
      <w:pPr>
        <w:pStyle w:val="Caption"/>
      </w:pPr>
      <w:bookmarkStart w:id="2" w:name="_Ref68600822"/>
      <w:r>
        <w:t xml:space="preserve">Table </w:t>
      </w:r>
      <w:fldSimple w:instr=" SEQ Table \* ARABIC ">
        <w:r>
          <w:rPr>
            <w:noProof/>
          </w:rPr>
          <w:t>2</w:t>
        </w:r>
      </w:fldSimple>
      <w:bookmarkEnd w:id="2"/>
      <w:r>
        <w:t>: In-kind and Not-in-kind alternatives</w:t>
      </w:r>
    </w:p>
    <w:tbl>
      <w:tblPr>
        <w:tblStyle w:val="TGHnew"/>
        <w:tblW w:w="0" w:type="auto"/>
        <w:tblLook w:val="04A0" w:firstRow="1" w:lastRow="0" w:firstColumn="1" w:lastColumn="0" w:noHBand="0" w:noVBand="1"/>
      </w:tblPr>
      <w:tblGrid>
        <w:gridCol w:w="3093"/>
        <w:gridCol w:w="3093"/>
        <w:gridCol w:w="3094"/>
      </w:tblGrid>
      <w:tr w:rsidR="00130027" w:rsidTr="00B265F3">
        <w:trPr>
          <w:cnfStyle w:val="100000000000" w:firstRow="1" w:lastRow="0" w:firstColumn="0" w:lastColumn="0" w:oddVBand="0" w:evenVBand="0" w:oddHBand="0" w:evenHBand="0" w:firstRowFirstColumn="0" w:firstRowLastColumn="0" w:lastRowFirstColumn="0" w:lastRowLastColumn="0"/>
        </w:trPr>
        <w:tc>
          <w:tcPr>
            <w:tcW w:w="3093" w:type="dxa"/>
          </w:tcPr>
          <w:p w:rsidR="00130027" w:rsidRDefault="00130027" w:rsidP="00B265F3">
            <w:pPr>
              <w:pStyle w:val="GHTableH2"/>
            </w:pPr>
            <w:r>
              <w:t>Application category</w:t>
            </w:r>
          </w:p>
        </w:tc>
        <w:tc>
          <w:tcPr>
            <w:tcW w:w="3093" w:type="dxa"/>
          </w:tcPr>
          <w:p w:rsidR="00130027" w:rsidRDefault="00130027" w:rsidP="00B265F3">
            <w:pPr>
              <w:pStyle w:val="GHTableH2"/>
            </w:pPr>
            <w:r>
              <w:t>In-kind alternatives</w:t>
            </w:r>
          </w:p>
        </w:tc>
        <w:tc>
          <w:tcPr>
            <w:tcW w:w="3094" w:type="dxa"/>
          </w:tcPr>
          <w:p w:rsidR="00130027" w:rsidRDefault="00130027" w:rsidP="00B265F3">
            <w:pPr>
              <w:pStyle w:val="GHTableH2"/>
            </w:pPr>
            <w:r>
              <w:t>Not-in-kind alternatives</w:t>
            </w:r>
          </w:p>
        </w:tc>
      </w:tr>
      <w:tr w:rsidR="00130027" w:rsidTr="00B265F3">
        <w:tc>
          <w:tcPr>
            <w:tcW w:w="3093" w:type="dxa"/>
          </w:tcPr>
          <w:p w:rsidR="00130027" w:rsidRDefault="00130027" w:rsidP="00B265F3">
            <w:pPr>
              <w:pStyle w:val="GHTableBody"/>
            </w:pPr>
            <w:r>
              <w:t>Solvents</w:t>
            </w:r>
          </w:p>
        </w:tc>
        <w:tc>
          <w:tcPr>
            <w:tcW w:w="3093" w:type="dxa"/>
          </w:tcPr>
          <w:p w:rsidR="00130027" w:rsidRDefault="00130027" w:rsidP="00B265F3">
            <w:pPr>
              <w:pStyle w:val="GHTableBody"/>
            </w:pPr>
            <w:r>
              <w:t>HFOs</w:t>
            </w:r>
          </w:p>
          <w:p w:rsidR="00130027" w:rsidRDefault="00130027" w:rsidP="00B265F3">
            <w:pPr>
              <w:pStyle w:val="GHTableBody"/>
            </w:pPr>
            <w:r>
              <w:t>HFEs</w:t>
            </w:r>
          </w:p>
        </w:tc>
        <w:tc>
          <w:tcPr>
            <w:tcW w:w="3094" w:type="dxa"/>
          </w:tcPr>
          <w:p w:rsidR="00130027" w:rsidRDefault="00130027" w:rsidP="00B265F3">
            <w:pPr>
              <w:pStyle w:val="GHTableBody"/>
            </w:pPr>
            <w:r>
              <w:t>HCs, aqueous and semi-aqueous cleaners</w:t>
            </w:r>
          </w:p>
        </w:tc>
      </w:tr>
      <w:tr w:rsidR="00130027" w:rsidTr="00B265F3">
        <w:tc>
          <w:tcPr>
            <w:tcW w:w="3093" w:type="dxa"/>
          </w:tcPr>
          <w:p w:rsidR="00130027" w:rsidRDefault="00130027" w:rsidP="00B265F3">
            <w:pPr>
              <w:pStyle w:val="GHTableBody"/>
            </w:pPr>
            <w:r>
              <w:t>Aerosols</w:t>
            </w:r>
          </w:p>
        </w:tc>
        <w:tc>
          <w:tcPr>
            <w:tcW w:w="3093" w:type="dxa"/>
          </w:tcPr>
          <w:p w:rsidR="00130027" w:rsidRDefault="00130027" w:rsidP="00B265F3">
            <w:pPr>
              <w:pStyle w:val="GHTableBody"/>
            </w:pPr>
            <w:r>
              <w:t>HFOs</w:t>
            </w:r>
          </w:p>
          <w:p w:rsidR="00130027" w:rsidRDefault="00130027" w:rsidP="00B265F3">
            <w:pPr>
              <w:pStyle w:val="GHTableBody"/>
            </w:pPr>
            <w:r>
              <w:t>HFEs</w:t>
            </w:r>
          </w:p>
        </w:tc>
        <w:tc>
          <w:tcPr>
            <w:tcW w:w="3094" w:type="dxa"/>
          </w:tcPr>
          <w:p w:rsidR="00130027" w:rsidRDefault="00130027" w:rsidP="00B265F3">
            <w:pPr>
              <w:pStyle w:val="GHTableBody"/>
            </w:pPr>
            <w:r>
              <w:t xml:space="preserve">HCs, compressed air and nitrogen, pumps, sprays, dry sprays, </w:t>
            </w:r>
            <w:r w:rsidR="00752F38">
              <w:t xml:space="preserve">wicks and creams, </w:t>
            </w:r>
            <w:r>
              <w:t>medical patches</w:t>
            </w:r>
          </w:p>
        </w:tc>
      </w:tr>
      <w:tr w:rsidR="00130027" w:rsidTr="00B265F3">
        <w:tc>
          <w:tcPr>
            <w:tcW w:w="3093" w:type="dxa"/>
          </w:tcPr>
          <w:p w:rsidR="00130027" w:rsidRDefault="00130027" w:rsidP="00B265F3">
            <w:pPr>
              <w:pStyle w:val="GHTableBody"/>
            </w:pPr>
            <w:r>
              <w:t>Foam blowing</w:t>
            </w:r>
          </w:p>
        </w:tc>
        <w:tc>
          <w:tcPr>
            <w:tcW w:w="3093" w:type="dxa"/>
          </w:tcPr>
          <w:p w:rsidR="00130027" w:rsidRDefault="00130027" w:rsidP="00B265F3">
            <w:pPr>
              <w:pStyle w:val="GHTableBody"/>
            </w:pPr>
            <w:r>
              <w:t>HFOs</w:t>
            </w:r>
          </w:p>
          <w:p w:rsidR="00130027" w:rsidRDefault="00130027" w:rsidP="00B265F3">
            <w:pPr>
              <w:pStyle w:val="GHTableBody"/>
            </w:pPr>
            <w:r>
              <w:t>HFEs</w:t>
            </w:r>
          </w:p>
        </w:tc>
        <w:tc>
          <w:tcPr>
            <w:tcW w:w="3094" w:type="dxa"/>
          </w:tcPr>
          <w:p w:rsidR="00130027" w:rsidRPr="00DD515F" w:rsidRDefault="00130027" w:rsidP="00B265F3">
            <w:pPr>
              <w:pStyle w:val="GHTableBody"/>
            </w:pPr>
            <w:r>
              <w:t>CO</w:t>
            </w:r>
            <w:r>
              <w:rPr>
                <w:vertAlign w:val="subscript"/>
              </w:rPr>
              <w:t>2</w:t>
            </w:r>
            <w:r>
              <w:t>, water, HCs, methyl formate, natural insulations, fibre glass</w:t>
            </w:r>
          </w:p>
        </w:tc>
      </w:tr>
      <w:tr w:rsidR="00130027" w:rsidTr="00B265F3">
        <w:tc>
          <w:tcPr>
            <w:tcW w:w="3093" w:type="dxa"/>
          </w:tcPr>
          <w:p w:rsidR="00130027" w:rsidRDefault="00752F38" w:rsidP="00B265F3">
            <w:pPr>
              <w:pStyle w:val="GHTableBody"/>
            </w:pPr>
            <w:r>
              <w:lastRenderedPageBreak/>
              <w:t>Refrigeration and air-conditioners</w:t>
            </w:r>
          </w:p>
        </w:tc>
        <w:tc>
          <w:tcPr>
            <w:tcW w:w="3093" w:type="dxa"/>
          </w:tcPr>
          <w:p w:rsidR="00130027" w:rsidRDefault="00130027" w:rsidP="00B265F3">
            <w:pPr>
              <w:pStyle w:val="GHTableBody"/>
            </w:pPr>
            <w:r>
              <w:t>HFOs</w:t>
            </w:r>
          </w:p>
          <w:p w:rsidR="00130027" w:rsidRDefault="00130027" w:rsidP="00B265F3">
            <w:pPr>
              <w:pStyle w:val="GHTableBody"/>
            </w:pPr>
            <w:r>
              <w:t>HFEs</w:t>
            </w:r>
          </w:p>
        </w:tc>
        <w:tc>
          <w:tcPr>
            <w:tcW w:w="3094" w:type="dxa"/>
          </w:tcPr>
          <w:p w:rsidR="00130027" w:rsidRDefault="00130027" w:rsidP="00B265F3">
            <w:pPr>
              <w:pStyle w:val="GHTableBody"/>
            </w:pPr>
            <w:r>
              <w:t>HCs, natural refrigerants, evaporate cooling, electromagnetic cooling</w:t>
            </w:r>
          </w:p>
        </w:tc>
      </w:tr>
      <w:tr w:rsidR="00130027" w:rsidTr="00B265F3">
        <w:tc>
          <w:tcPr>
            <w:tcW w:w="3093" w:type="dxa"/>
          </w:tcPr>
          <w:p w:rsidR="00130027" w:rsidRDefault="00130027" w:rsidP="00B265F3">
            <w:pPr>
              <w:pStyle w:val="GHTableBody"/>
            </w:pPr>
            <w:r>
              <w:t>Fire protection</w:t>
            </w:r>
          </w:p>
        </w:tc>
        <w:tc>
          <w:tcPr>
            <w:tcW w:w="3093" w:type="dxa"/>
          </w:tcPr>
          <w:p w:rsidR="00130027" w:rsidRDefault="00130027" w:rsidP="00B265F3">
            <w:pPr>
              <w:pStyle w:val="GHTableBody"/>
            </w:pPr>
          </w:p>
        </w:tc>
        <w:tc>
          <w:tcPr>
            <w:tcW w:w="3094" w:type="dxa"/>
          </w:tcPr>
          <w:p w:rsidR="00130027" w:rsidRDefault="00130027" w:rsidP="00B265F3">
            <w:pPr>
              <w:pStyle w:val="GHTableBody"/>
            </w:pPr>
            <w:r>
              <w:t>Inert gases, dry powders, foams</w:t>
            </w:r>
            <w:r w:rsidR="00752F38">
              <w:t>, water</w:t>
            </w:r>
            <w:r w:rsidR="00B03583">
              <w:t>, reducing or eliminating combustible materials and sources of ignition</w:t>
            </w:r>
          </w:p>
        </w:tc>
      </w:tr>
    </w:tbl>
    <w:p w:rsidR="00130027" w:rsidRPr="00130027" w:rsidRDefault="00130027" w:rsidP="003B3F32">
      <w:r>
        <w:t xml:space="preserve">Source: </w:t>
      </w:r>
      <w:r>
        <w:fldChar w:fldCharType="begin" w:fldLock="1"/>
      </w:r>
      <w:r w:rsidR="00C47F73">
        <w:instrText>ADDIN CSL_CITATION {"citationItems":[{"id":"ITEM-1","itemData":{"author":[{"dropping-particle":"","family":"Andersen","given":"SO.","non-dropping-particle":"","parse-names":false,"suffix":""},{"dropping-particle":"","family":"Brack","given":"D.","non-dropping-particle":"","parse-names":false,"suffix":""},{"dropping-particle":"","family":"Depledge","given":"J.","non-dropping-particle":"","parse-names":false,"suffix":""}],"id":"ITEM-1","issued":{"date-parts":[["2014"]]},"title":"A Global Response to HFCs through Fair and Effective Ozone and Climate Policies","type":"report"},"uris":["http://www.mendeley.com/documents/?uuid=56d9ded5-fd4f-3d70-b561-99e8c15f0fd2"]},{"id":"ITEM-2","itemData":{"DOI":"10.1016/j.atmosenv.2015.10.071","abstract":"• Based on the current availability of non-fluori-nated alternatives and likely emission reductions, the overall opportunity for NIK alternatives to substitute for HFCs is expected to be on the order of 50 percent. • NIK alternatives to replace high-GWP HFCs also have the potential to significantly decrease energy use in the refrigeration and air conditioning sectors. • By providing a broader range of alternatives and emission reductions, NIKs provide market and price competition to next-generation HFO substitutes which are restricted by patents for a specified period of time. • Efforts are underway, but will require several more years to fully address changes in codes and standards to ensure a wider range of more flammable alternatives can be used safely.","author":[{"dropping-particle":"","family":"Seidel","given":"S.","non-dropping-particle":"","parse-names":false,"suffix":""},{"dropping-particle":"","family":"Ye","given":"J.","non-dropping-particle":"","parse-names":false,"suffix":""},{"dropping-particle":"","family":"Andersen","given":"SO.","non-dropping-particle":"","parse-names":false,"suffix":""},{"dropping-particle":"","family":"Hillbrand","given":"A.","non-dropping-particle":"","parse-names":false,"suffix":""}],"id":"ITEM-2","issued":{"date-parts":[["2016"]]},"title":"Not-in-kind Alternatives to High Global Warming HFCS","type":"report"},"uris":["http://www.mendeley.com/documents/?uuid=8afe53f8-58b5-3d6d-a58a-fe607b6a2691"]}],"mendeley":{"formattedCitation":"(Andersen, Brack and Depledge, 2014; Seidel &lt;i&gt;et al.&lt;/i&gt;, 2016)","plainTextFormattedCitation":"(Andersen, Brack and Depledge, 2014; Seidel et al., 2016)","previouslyFormattedCitation":"(Andersen, Brack and Depledge, 2014; Seidel &lt;i&gt;et al.&lt;/i&gt;, 2016)"},"properties":{"noteIndex":0},"schema":"https://github.com/citation-style-language/schema/raw/master/csl-citation.json"}</w:instrText>
      </w:r>
      <w:r>
        <w:fldChar w:fldCharType="separate"/>
      </w:r>
      <w:r w:rsidRPr="00D257AD">
        <w:rPr>
          <w:noProof/>
        </w:rPr>
        <w:t xml:space="preserve">(Andersen, Brack and Depledge, 2014; Seidel </w:t>
      </w:r>
      <w:r w:rsidRPr="00D257AD">
        <w:rPr>
          <w:i/>
          <w:noProof/>
        </w:rPr>
        <w:t>et al.</w:t>
      </w:r>
      <w:r w:rsidRPr="00D257AD">
        <w:rPr>
          <w:noProof/>
        </w:rPr>
        <w:t>, 2016)</w:t>
      </w:r>
      <w:r>
        <w:fldChar w:fldCharType="end"/>
      </w:r>
    </w:p>
    <w:p w:rsidR="003B3F32" w:rsidRDefault="004E4FB5" w:rsidP="003B3F32">
      <w:pPr>
        <w:pStyle w:val="Heading2"/>
      </w:pPr>
      <w:r>
        <w:t xml:space="preserve">Phase down of ODS and non-ODS </w:t>
      </w:r>
    </w:p>
    <w:p w:rsidR="00A650C9" w:rsidRDefault="00A650C9" w:rsidP="00A650C9">
      <w:pPr>
        <w:pStyle w:val="Heading3"/>
      </w:pPr>
      <w:r>
        <w:t>Phase down of HCFCs</w:t>
      </w:r>
    </w:p>
    <w:p w:rsidR="00056F03" w:rsidRPr="00056F03" w:rsidRDefault="00056F03" w:rsidP="00056F03">
      <w:r>
        <w:t xml:space="preserve">The phase-out schedule for HCFCs in South Africa is outlined </w:t>
      </w:r>
      <w:r w:rsidR="00BF31A3">
        <w:t>in the table below. Since of the phase out of HCFC-141b on the 1 January 2016, the vast majority</w:t>
      </w:r>
      <w:r w:rsidR="005E5187">
        <w:t xml:space="preserve"> (99%)</w:t>
      </w:r>
      <w:r w:rsidR="00BF31A3">
        <w:t xml:space="preserve"> of ODS consumption in So</w:t>
      </w:r>
      <w:r w:rsidR="005E5187">
        <w:t xml:space="preserve">uth </w:t>
      </w:r>
      <w:r w:rsidR="00B44C9B">
        <w:t>Africa is</w:t>
      </w:r>
      <w:r w:rsidR="00BF31A3">
        <w:t xml:space="preserve"> now HCFC-22</w:t>
      </w:r>
    </w:p>
    <w:p w:rsidR="00A650C9" w:rsidRDefault="00A650C9" w:rsidP="00A650C9">
      <w:pPr>
        <w:pStyle w:val="Caption"/>
      </w:pPr>
      <w:r>
        <w:t xml:space="preserve">Table </w:t>
      </w:r>
      <w:r w:rsidR="00A27D10">
        <w:fldChar w:fldCharType="begin"/>
      </w:r>
      <w:r w:rsidR="00A27D10">
        <w:instrText xml:space="preserve"> SEQ Table \* ARABIC </w:instrText>
      </w:r>
      <w:r w:rsidR="00A27D10">
        <w:fldChar w:fldCharType="separate"/>
      </w:r>
      <w:r w:rsidR="00045BFF">
        <w:rPr>
          <w:noProof/>
        </w:rPr>
        <w:t>3</w:t>
      </w:r>
      <w:r w:rsidR="00A27D10">
        <w:rPr>
          <w:noProof/>
        </w:rPr>
        <w:fldChar w:fldCharType="end"/>
      </w:r>
      <w:r>
        <w:t>: Phase-out schedule for HCFCs</w:t>
      </w:r>
    </w:p>
    <w:tbl>
      <w:tblPr>
        <w:tblStyle w:val="TGHnew"/>
        <w:tblW w:w="0" w:type="auto"/>
        <w:tblLook w:val="04A0" w:firstRow="1" w:lastRow="0" w:firstColumn="1" w:lastColumn="0" w:noHBand="0" w:noVBand="1"/>
      </w:tblPr>
      <w:tblGrid>
        <w:gridCol w:w="3173"/>
        <w:gridCol w:w="3242"/>
        <w:gridCol w:w="2865"/>
      </w:tblGrid>
      <w:tr w:rsidR="00A650C9" w:rsidTr="000F74E8">
        <w:trPr>
          <w:cnfStyle w:val="100000000000" w:firstRow="1" w:lastRow="0" w:firstColumn="0" w:lastColumn="0" w:oddVBand="0" w:evenVBand="0" w:oddHBand="0" w:evenHBand="0" w:firstRowFirstColumn="0" w:firstRowLastColumn="0" w:lastRowFirstColumn="0" w:lastRowLastColumn="0"/>
        </w:trPr>
        <w:tc>
          <w:tcPr>
            <w:tcW w:w="3173" w:type="dxa"/>
          </w:tcPr>
          <w:p w:rsidR="00A650C9" w:rsidRDefault="00A650C9" w:rsidP="000F74E8">
            <w:pPr>
              <w:pStyle w:val="GHTableH2"/>
            </w:pPr>
            <w:r>
              <w:t>Deadline</w:t>
            </w:r>
          </w:p>
        </w:tc>
        <w:tc>
          <w:tcPr>
            <w:tcW w:w="3242" w:type="dxa"/>
          </w:tcPr>
          <w:p w:rsidR="00A650C9" w:rsidRDefault="00A650C9" w:rsidP="000F74E8">
            <w:pPr>
              <w:pStyle w:val="GHTableH2"/>
            </w:pPr>
            <w:r>
              <w:t>Reduction</w:t>
            </w:r>
          </w:p>
        </w:tc>
        <w:tc>
          <w:tcPr>
            <w:tcW w:w="2865" w:type="dxa"/>
          </w:tcPr>
          <w:p w:rsidR="00A650C9" w:rsidRDefault="00A650C9" w:rsidP="000F74E8">
            <w:pPr>
              <w:pStyle w:val="GHTableH2"/>
            </w:pPr>
            <w:r>
              <w:t>Maximum annual consumption</w:t>
            </w:r>
          </w:p>
        </w:tc>
      </w:tr>
      <w:tr w:rsidR="00A650C9" w:rsidTr="000F74E8">
        <w:tc>
          <w:tcPr>
            <w:tcW w:w="3173" w:type="dxa"/>
          </w:tcPr>
          <w:p w:rsidR="00A650C9" w:rsidRDefault="00A650C9" w:rsidP="000F74E8">
            <w:pPr>
              <w:pStyle w:val="GHTableBody"/>
            </w:pPr>
            <w:r>
              <w:t>2008</w:t>
            </w:r>
          </w:p>
        </w:tc>
        <w:tc>
          <w:tcPr>
            <w:tcW w:w="3242" w:type="dxa"/>
          </w:tcPr>
          <w:p w:rsidR="00A650C9" w:rsidRDefault="00A650C9" w:rsidP="000F74E8">
            <w:pPr>
              <w:pStyle w:val="GHTableBody"/>
            </w:pPr>
            <w:r>
              <w:t>Monitor consumption</w:t>
            </w:r>
          </w:p>
        </w:tc>
        <w:tc>
          <w:tcPr>
            <w:tcW w:w="2865" w:type="dxa"/>
          </w:tcPr>
          <w:p w:rsidR="00A650C9" w:rsidRDefault="00A650C9" w:rsidP="000F74E8">
            <w:pPr>
              <w:pStyle w:val="GHTableBody"/>
            </w:pPr>
            <w:r>
              <w:t>Not applicable</w:t>
            </w:r>
          </w:p>
        </w:tc>
      </w:tr>
      <w:tr w:rsidR="00A650C9" w:rsidTr="000F74E8">
        <w:tc>
          <w:tcPr>
            <w:tcW w:w="3173" w:type="dxa"/>
          </w:tcPr>
          <w:p w:rsidR="00A650C9" w:rsidRDefault="00A650C9" w:rsidP="000F74E8">
            <w:pPr>
              <w:pStyle w:val="GHTableBody"/>
            </w:pPr>
            <w:r>
              <w:t>2009/2010</w:t>
            </w:r>
          </w:p>
        </w:tc>
        <w:tc>
          <w:tcPr>
            <w:tcW w:w="3242" w:type="dxa"/>
          </w:tcPr>
          <w:p w:rsidR="00A650C9" w:rsidRDefault="00A650C9" w:rsidP="000F74E8">
            <w:pPr>
              <w:pStyle w:val="GHTableBody"/>
            </w:pPr>
            <w:r>
              <w:t>Baseline consumption established (average of 2 years)</w:t>
            </w:r>
          </w:p>
        </w:tc>
        <w:tc>
          <w:tcPr>
            <w:tcW w:w="2865" w:type="dxa"/>
          </w:tcPr>
          <w:p w:rsidR="00A650C9" w:rsidRDefault="00A650C9" w:rsidP="000F74E8">
            <w:pPr>
              <w:pStyle w:val="GHTableBody"/>
            </w:pPr>
            <w:r>
              <w:t>Not applicable</w:t>
            </w:r>
          </w:p>
        </w:tc>
      </w:tr>
      <w:tr w:rsidR="00A650C9" w:rsidTr="000F74E8">
        <w:tc>
          <w:tcPr>
            <w:tcW w:w="3173" w:type="dxa"/>
          </w:tcPr>
          <w:p w:rsidR="00A650C9" w:rsidRDefault="00A650C9" w:rsidP="000F74E8">
            <w:pPr>
              <w:pStyle w:val="GHTableBody"/>
            </w:pPr>
            <w:r>
              <w:t>2013</w:t>
            </w:r>
          </w:p>
        </w:tc>
        <w:tc>
          <w:tcPr>
            <w:tcW w:w="3242" w:type="dxa"/>
          </w:tcPr>
          <w:p w:rsidR="00A650C9" w:rsidRDefault="00A650C9" w:rsidP="000F74E8">
            <w:pPr>
              <w:pStyle w:val="GHTableBody"/>
            </w:pPr>
            <w:r>
              <w:t>Consumption  freeze at baseline level</w:t>
            </w:r>
          </w:p>
        </w:tc>
        <w:tc>
          <w:tcPr>
            <w:tcW w:w="2865" w:type="dxa"/>
          </w:tcPr>
          <w:p w:rsidR="00A650C9" w:rsidRDefault="00A650C9" w:rsidP="000F74E8">
            <w:pPr>
              <w:pStyle w:val="GHTableBody"/>
            </w:pPr>
            <w:r>
              <w:t>Baseline (2013 – 2014)</w:t>
            </w:r>
          </w:p>
        </w:tc>
      </w:tr>
      <w:tr w:rsidR="00A650C9" w:rsidTr="000F74E8">
        <w:tc>
          <w:tcPr>
            <w:tcW w:w="3173" w:type="dxa"/>
          </w:tcPr>
          <w:p w:rsidR="00A650C9" w:rsidRDefault="00A650C9" w:rsidP="000F74E8">
            <w:pPr>
              <w:pStyle w:val="GHTableBody"/>
            </w:pPr>
            <w:r>
              <w:t>2015</w:t>
            </w:r>
          </w:p>
        </w:tc>
        <w:tc>
          <w:tcPr>
            <w:tcW w:w="3242" w:type="dxa"/>
          </w:tcPr>
          <w:p w:rsidR="00A650C9" w:rsidRDefault="00A650C9" w:rsidP="000F74E8">
            <w:pPr>
              <w:pStyle w:val="GHTableBody"/>
            </w:pPr>
            <w:r>
              <w:t>10% reduction from baseline</w:t>
            </w:r>
          </w:p>
        </w:tc>
        <w:tc>
          <w:tcPr>
            <w:tcW w:w="2865" w:type="dxa"/>
          </w:tcPr>
          <w:p w:rsidR="00A650C9" w:rsidRDefault="00A650C9" w:rsidP="000F74E8">
            <w:pPr>
              <w:pStyle w:val="GHTableBody"/>
            </w:pPr>
            <w:r>
              <w:t>90% of baseline (2015 – 2019)</w:t>
            </w:r>
          </w:p>
        </w:tc>
      </w:tr>
      <w:tr w:rsidR="00A650C9" w:rsidTr="000F74E8">
        <w:tc>
          <w:tcPr>
            <w:tcW w:w="3173" w:type="dxa"/>
          </w:tcPr>
          <w:p w:rsidR="00A650C9" w:rsidRDefault="00A650C9" w:rsidP="000F74E8">
            <w:pPr>
              <w:pStyle w:val="GHTableBody"/>
            </w:pPr>
            <w:r>
              <w:t>2020</w:t>
            </w:r>
          </w:p>
        </w:tc>
        <w:tc>
          <w:tcPr>
            <w:tcW w:w="3242" w:type="dxa"/>
          </w:tcPr>
          <w:p w:rsidR="00A650C9" w:rsidRDefault="00A650C9" w:rsidP="000F74E8">
            <w:pPr>
              <w:pStyle w:val="GHTableBody"/>
            </w:pPr>
            <w:r>
              <w:t>35% reduction from baseline</w:t>
            </w:r>
          </w:p>
        </w:tc>
        <w:tc>
          <w:tcPr>
            <w:tcW w:w="2865" w:type="dxa"/>
          </w:tcPr>
          <w:p w:rsidR="00A650C9" w:rsidRDefault="00A650C9" w:rsidP="000F74E8">
            <w:pPr>
              <w:pStyle w:val="GHTableBody"/>
            </w:pPr>
            <w:r>
              <w:t>65% of baseline (2020 -2024)</w:t>
            </w:r>
          </w:p>
        </w:tc>
      </w:tr>
      <w:tr w:rsidR="00A650C9" w:rsidTr="000F74E8">
        <w:tc>
          <w:tcPr>
            <w:tcW w:w="3173" w:type="dxa"/>
          </w:tcPr>
          <w:p w:rsidR="00A650C9" w:rsidRDefault="00A650C9" w:rsidP="000F74E8">
            <w:pPr>
              <w:pStyle w:val="GHTableBody"/>
            </w:pPr>
            <w:r>
              <w:t>2025</w:t>
            </w:r>
          </w:p>
        </w:tc>
        <w:tc>
          <w:tcPr>
            <w:tcW w:w="3242" w:type="dxa"/>
          </w:tcPr>
          <w:p w:rsidR="00A650C9" w:rsidRDefault="00A650C9" w:rsidP="000F74E8">
            <w:pPr>
              <w:pStyle w:val="GHTableBody"/>
            </w:pPr>
            <w:r>
              <w:t>67.5% reduction from baseline</w:t>
            </w:r>
          </w:p>
        </w:tc>
        <w:tc>
          <w:tcPr>
            <w:tcW w:w="2865" w:type="dxa"/>
          </w:tcPr>
          <w:p w:rsidR="00A650C9" w:rsidRDefault="00A650C9" w:rsidP="000F74E8">
            <w:pPr>
              <w:pStyle w:val="GHTableBody"/>
            </w:pPr>
            <w:r>
              <w:t>32.5% of baseline (2025 – 2029)</w:t>
            </w:r>
          </w:p>
        </w:tc>
      </w:tr>
      <w:tr w:rsidR="00A650C9" w:rsidTr="000F74E8">
        <w:tc>
          <w:tcPr>
            <w:tcW w:w="3173" w:type="dxa"/>
          </w:tcPr>
          <w:p w:rsidR="00A650C9" w:rsidRDefault="00A650C9" w:rsidP="000F74E8">
            <w:pPr>
              <w:pStyle w:val="GHTableBody"/>
            </w:pPr>
            <w:r>
              <w:t>2030</w:t>
            </w:r>
          </w:p>
        </w:tc>
        <w:tc>
          <w:tcPr>
            <w:tcW w:w="3242" w:type="dxa"/>
          </w:tcPr>
          <w:p w:rsidR="00A650C9" w:rsidRDefault="00A650C9" w:rsidP="000F74E8">
            <w:pPr>
              <w:pStyle w:val="GHTableBody"/>
            </w:pPr>
            <w:r>
              <w:t>97.5% reduction from baseline</w:t>
            </w:r>
          </w:p>
        </w:tc>
        <w:tc>
          <w:tcPr>
            <w:tcW w:w="2865" w:type="dxa"/>
          </w:tcPr>
          <w:p w:rsidR="00A650C9" w:rsidRDefault="00A650C9" w:rsidP="000F74E8">
            <w:pPr>
              <w:pStyle w:val="GHTableBody"/>
            </w:pPr>
            <w:r>
              <w:t>2.5% of baseline (2030 – 2040)</w:t>
            </w:r>
          </w:p>
        </w:tc>
      </w:tr>
      <w:tr w:rsidR="00A650C9" w:rsidTr="000F74E8">
        <w:tc>
          <w:tcPr>
            <w:tcW w:w="3173" w:type="dxa"/>
          </w:tcPr>
          <w:p w:rsidR="00A650C9" w:rsidRDefault="00A650C9" w:rsidP="000F74E8">
            <w:pPr>
              <w:pStyle w:val="GHTableBody"/>
            </w:pPr>
            <w:r>
              <w:t>2030 – 2039</w:t>
            </w:r>
          </w:p>
        </w:tc>
        <w:tc>
          <w:tcPr>
            <w:tcW w:w="3242" w:type="dxa"/>
          </w:tcPr>
          <w:p w:rsidR="00A650C9" w:rsidRDefault="00A650C9" w:rsidP="000F74E8">
            <w:pPr>
              <w:pStyle w:val="GHTableBody"/>
            </w:pPr>
            <w:r>
              <w:t>Maximum consumption 2.5% servicing only</w:t>
            </w:r>
          </w:p>
        </w:tc>
        <w:tc>
          <w:tcPr>
            <w:tcW w:w="2865" w:type="dxa"/>
          </w:tcPr>
          <w:p w:rsidR="00A650C9" w:rsidRDefault="00A650C9" w:rsidP="000F74E8">
            <w:pPr>
              <w:pStyle w:val="GHTableBody"/>
            </w:pPr>
            <w:r>
              <w:t>2.5% of baseline (2030 – 2040)</w:t>
            </w:r>
          </w:p>
        </w:tc>
      </w:tr>
      <w:tr w:rsidR="00A650C9" w:rsidTr="000F74E8">
        <w:tc>
          <w:tcPr>
            <w:tcW w:w="3173" w:type="dxa"/>
          </w:tcPr>
          <w:p w:rsidR="00A650C9" w:rsidRDefault="00A650C9" w:rsidP="000F74E8">
            <w:pPr>
              <w:pStyle w:val="GHTableBody"/>
            </w:pPr>
            <w:r>
              <w:t>2040</w:t>
            </w:r>
          </w:p>
        </w:tc>
        <w:tc>
          <w:tcPr>
            <w:tcW w:w="3242" w:type="dxa"/>
          </w:tcPr>
          <w:p w:rsidR="00A650C9" w:rsidRDefault="00A650C9" w:rsidP="000F74E8">
            <w:pPr>
              <w:pStyle w:val="GHTableBody"/>
            </w:pPr>
            <w:r>
              <w:t>Full phase-out</w:t>
            </w:r>
          </w:p>
        </w:tc>
        <w:tc>
          <w:tcPr>
            <w:tcW w:w="2865" w:type="dxa"/>
          </w:tcPr>
          <w:p w:rsidR="00A650C9" w:rsidRDefault="00A650C9" w:rsidP="000F74E8">
            <w:pPr>
              <w:pStyle w:val="GHTableBody"/>
            </w:pPr>
            <w:r>
              <w:t>0%</w:t>
            </w:r>
          </w:p>
        </w:tc>
      </w:tr>
    </w:tbl>
    <w:p w:rsidR="00A650C9" w:rsidRPr="00977923" w:rsidRDefault="00A650C9" w:rsidP="00977923">
      <w:pPr>
        <w:pStyle w:val="GHFeaturedlist"/>
        <w:numPr>
          <w:ilvl w:val="0"/>
          <w:numId w:val="0"/>
        </w:numPr>
        <w:rPr>
          <w:sz w:val="16"/>
          <w:szCs w:val="16"/>
        </w:rPr>
      </w:pPr>
      <w:r w:rsidRPr="00E878BA">
        <w:rPr>
          <w:sz w:val="16"/>
          <w:szCs w:val="16"/>
        </w:rPr>
        <w:t xml:space="preserve">Source: </w:t>
      </w:r>
      <w:r w:rsidRPr="00E878BA">
        <w:rPr>
          <w:sz w:val="16"/>
          <w:szCs w:val="16"/>
        </w:rPr>
        <w:fldChar w:fldCharType="begin" w:fldLock="1"/>
      </w:r>
      <w:r>
        <w:rPr>
          <w:sz w:val="16"/>
          <w:szCs w:val="16"/>
        </w:rPr>
        <w:instrText>ADDIN CSL_CITATION {"citationItems":[{"id":"ITEM-1","itemData":{"author":[{"dropping-particle":"","family":"DEA","given":"","non-dropping-particle":"","parse-names":false,"suffix":""}],"id":"ITEM-1","issue":"33925","issued":{"date-parts":[["2011"]]},"number-of-pages":"4-30","title":"National Environmental Management: Air Quality Act: Regulations: Phasing-out and management of ozone depleting substances in South Africa: Draft","type":"report"},"uris":["http://www.mendeley.com/documents/?uuid=8ed22e2a-757a-4f43-b357-707535cc7557"]}],"mendeley":{"formattedCitation":"(DEA, 2011)","plainTextFormattedCitation":"(DEA, 2011)","previouslyFormattedCitation":"(DEA, 2011)"},"properties":{"noteIndex":0},"schema":"https://github.com/citation-style-language/schema/raw/master/csl-citation.json"}</w:instrText>
      </w:r>
      <w:r w:rsidRPr="00E878BA">
        <w:rPr>
          <w:sz w:val="16"/>
          <w:szCs w:val="16"/>
        </w:rPr>
        <w:fldChar w:fldCharType="separate"/>
      </w:r>
      <w:r w:rsidRPr="00E878BA">
        <w:rPr>
          <w:noProof/>
          <w:sz w:val="16"/>
          <w:szCs w:val="16"/>
        </w:rPr>
        <w:t>(DEA, 2011)</w:t>
      </w:r>
      <w:r w:rsidRPr="00E878BA">
        <w:rPr>
          <w:sz w:val="16"/>
          <w:szCs w:val="16"/>
        </w:rPr>
        <w:fldChar w:fldCharType="end"/>
      </w:r>
    </w:p>
    <w:p w:rsidR="00785576" w:rsidRDefault="00785576" w:rsidP="00785576">
      <w:pPr>
        <w:pStyle w:val="Heading3"/>
      </w:pPr>
      <w:r>
        <w:t>Phase down of HFCs</w:t>
      </w:r>
    </w:p>
    <w:p w:rsidR="00785576" w:rsidRDefault="00E70F5A" w:rsidP="00785576">
      <w:r>
        <w:t>Under the Kigali Amendment</w:t>
      </w:r>
      <w:r w:rsidR="00B44C9B">
        <w:t>,</w:t>
      </w:r>
      <w:r>
        <w:t xml:space="preserve"> South Africa is classified as an Article 5 Group 1 country. Consequently, the fol</w:t>
      </w:r>
      <w:r w:rsidR="00A80F17">
        <w:t>lowing time was established for the phase down of HFCs</w:t>
      </w:r>
      <w:r w:rsidR="00785576">
        <w:t xml:space="preserve"> (also shown in </w:t>
      </w:r>
      <w:r w:rsidR="00785576">
        <w:fldChar w:fldCharType="begin"/>
      </w:r>
      <w:r w:rsidR="00785576">
        <w:instrText xml:space="preserve"> REF _Ref68176771 \h </w:instrText>
      </w:r>
      <w:r w:rsidR="00785576">
        <w:fldChar w:fldCharType="separate"/>
      </w:r>
      <w:r w:rsidR="00785576">
        <w:t xml:space="preserve">Figure </w:t>
      </w:r>
      <w:r w:rsidR="00785576">
        <w:rPr>
          <w:noProof/>
        </w:rPr>
        <w:t>1</w:t>
      </w:r>
      <w:r w:rsidR="00785576">
        <w:fldChar w:fldCharType="end"/>
      </w:r>
      <w:r w:rsidR="00785576">
        <w:t>):</w:t>
      </w:r>
    </w:p>
    <w:tbl>
      <w:tblPr>
        <w:tblStyle w:val="TGHnew"/>
        <w:tblW w:w="0" w:type="auto"/>
        <w:tblLook w:val="04A0" w:firstRow="1" w:lastRow="0" w:firstColumn="1" w:lastColumn="0" w:noHBand="0" w:noVBand="1"/>
      </w:tblPr>
      <w:tblGrid>
        <w:gridCol w:w="4640"/>
        <w:gridCol w:w="4640"/>
      </w:tblGrid>
      <w:tr w:rsidR="00A80F17" w:rsidTr="00A80F17">
        <w:trPr>
          <w:cnfStyle w:val="100000000000" w:firstRow="1" w:lastRow="0" w:firstColumn="0" w:lastColumn="0" w:oddVBand="0" w:evenVBand="0" w:oddHBand="0" w:evenHBand="0" w:firstRowFirstColumn="0" w:firstRowLastColumn="0" w:lastRowFirstColumn="0" w:lastRowLastColumn="0"/>
        </w:trPr>
        <w:tc>
          <w:tcPr>
            <w:tcW w:w="4640" w:type="dxa"/>
          </w:tcPr>
          <w:p w:rsidR="00A80F17" w:rsidRDefault="00A80F17" w:rsidP="00A80F17">
            <w:pPr>
              <w:pStyle w:val="GHTableH2"/>
            </w:pPr>
            <w:r>
              <w:t>Deadline</w:t>
            </w:r>
          </w:p>
        </w:tc>
        <w:tc>
          <w:tcPr>
            <w:tcW w:w="4640" w:type="dxa"/>
          </w:tcPr>
          <w:p w:rsidR="00A80F17" w:rsidRDefault="00A80F17" w:rsidP="00A80F17">
            <w:pPr>
              <w:pStyle w:val="GHTableH2"/>
            </w:pPr>
            <w:r>
              <w:t>Reduction</w:t>
            </w:r>
          </w:p>
        </w:tc>
      </w:tr>
      <w:tr w:rsidR="00A80F17" w:rsidTr="00A80F17">
        <w:tc>
          <w:tcPr>
            <w:tcW w:w="4640" w:type="dxa"/>
          </w:tcPr>
          <w:p w:rsidR="00A80F17" w:rsidRDefault="00A80F17" w:rsidP="00A80F17">
            <w:pPr>
              <w:pStyle w:val="GHTableBody"/>
            </w:pPr>
            <w:r>
              <w:t>2016 – 2020</w:t>
            </w:r>
          </w:p>
        </w:tc>
        <w:tc>
          <w:tcPr>
            <w:tcW w:w="4640" w:type="dxa"/>
          </w:tcPr>
          <w:p w:rsidR="00A80F17" w:rsidRDefault="00A80F17" w:rsidP="00A80F17">
            <w:pPr>
              <w:pStyle w:val="GHTableBody"/>
            </w:pPr>
            <w:r>
              <w:t>Ratification process</w:t>
            </w:r>
          </w:p>
        </w:tc>
      </w:tr>
      <w:tr w:rsidR="00A80F17" w:rsidTr="00A80F17">
        <w:tc>
          <w:tcPr>
            <w:tcW w:w="4640" w:type="dxa"/>
          </w:tcPr>
          <w:p w:rsidR="00A80F17" w:rsidRDefault="00A80F17" w:rsidP="00A80F17">
            <w:pPr>
              <w:pStyle w:val="GHTableBody"/>
            </w:pPr>
            <w:r>
              <w:t xml:space="preserve">2020 – </w:t>
            </w:r>
            <w:r w:rsidR="00C6242D">
              <w:t>2022</w:t>
            </w:r>
          </w:p>
        </w:tc>
        <w:tc>
          <w:tcPr>
            <w:tcW w:w="4640" w:type="dxa"/>
          </w:tcPr>
          <w:p w:rsidR="00A80F17" w:rsidRDefault="00A80F17" w:rsidP="00A80F17">
            <w:pPr>
              <w:pStyle w:val="GHTableBody"/>
            </w:pPr>
            <w:r>
              <w:t>Baseline years</w:t>
            </w:r>
          </w:p>
        </w:tc>
      </w:tr>
      <w:tr w:rsidR="00A80F17" w:rsidTr="00A80F17">
        <w:tc>
          <w:tcPr>
            <w:tcW w:w="4640" w:type="dxa"/>
          </w:tcPr>
          <w:p w:rsidR="00A80F17" w:rsidRDefault="00C6242D" w:rsidP="00A80F17">
            <w:pPr>
              <w:pStyle w:val="GHTableBody"/>
            </w:pPr>
            <w:r>
              <w:t>2024</w:t>
            </w:r>
          </w:p>
        </w:tc>
        <w:tc>
          <w:tcPr>
            <w:tcW w:w="4640" w:type="dxa"/>
          </w:tcPr>
          <w:p w:rsidR="00A80F17" w:rsidRDefault="00A80F17" w:rsidP="00A80F17">
            <w:pPr>
              <w:pStyle w:val="GHTableBody"/>
            </w:pPr>
            <w:r>
              <w:t>Freeze</w:t>
            </w:r>
          </w:p>
        </w:tc>
      </w:tr>
      <w:tr w:rsidR="00A80F17" w:rsidTr="00A80F17">
        <w:tc>
          <w:tcPr>
            <w:tcW w:w="4640" w:type="dxa"/>
          </w:tcPr>
          <w:p w:rsidR="00A80F17" w:rsidRDefault="00A80F17" w:rsidP="00A80F17">
            <w:pPr>
              <w:pStyle w:val="GHTableBody"/>
            </w:pPr>
            <w:r>
              <w:t>2029</w:t>
            </w:r>
          </w:p>
        </w:tc>
        <w:tc>
          <w:tcPr>
            <w:tcW w:w="4640" w:type="dxa"/>
          </w:tcPr>
          <w:p w:rsidR="00A80F17" w:rsidRDefault="00A80F17" w:rsidP="00A80F17">
            <w:pPr>
              <w:pStyle w:val="GHTableBody"/>
            </w:pPr>
            <w:r>
              <w:t>10% below baseline</w:t>
            </w:r>
          </w:p>
        </w:tc>
      </w:tr>
      <w:tr w:rsidR="00A80F17" w:rsidTr="00A80F17">
        <w:tc>
          <w:tcPr>
            <w:tcW w:w="4640" w:type="dxa"/>
          </w:tcPr>
          <w:p w:rsidR="00A80F17" w:rsidRDefault="00C6242D" w:rsidP="00A80F17">
            <w:pPr>
              <w:pStyle w:val="GHTableBody"/>
            </w:pPr>
            <w:r>
              <w:t>203</w:t>
            </w:r>
            <w:r w:rsidR="00A80F17">
              <w:t>5</w:t>
            </w:r>
          </w:p>
        </w:tc>
        <w:tc>
          <w:tcPr>
            <w:tcW w:w="4640" w:type="dxa"/>
          </w:tcPr>
          <w:p w:rsidR="00A80F17" w:rsidRDefault="00A80F17" w:rsidP="00A80F17">
            <w:pPr>
              <w:pStyle w:val="GHTableBody"/>
            </w:pPr>
            <w:r>
              <w:t>30% below baseline</w:t>
            </w:r>
          </w:p>
        </w:tc>
      </w:tr>
      <w:tr w:rsidR="00A80F17" w:rsidTr="00A80F17">
        <w:tc>
          <w:tcPr>
            <w:tcW w:w="4640" w:type="dxa"/>
          </w:tcPr>
          <w:p w:rsidR="00A80F17" w:rsidRDefault="00A80F17" w:rsidP="00A80F17">
            <w:pPr>
              <w:pStyle w:val="GHTableBody"/>
            </w:pPr>
            <w:r>
              <w:t>2040</w:t>
            </w:r>
          </w:p>
        </w:tc>
        <w:tc>
          <w:tcPr>
            <w:tcW w:w="4640" w:type="dxa"/>
          </w:tcPr>
          <w:p w:rsidR="00A80F17" w:rsidRDefault="00C6242D" w:rsidP="00A80F17">
            <w:pPr>
              <w:pStyle w:val="GHTableBody"/>
            </w:pPr>
            <w:r>
              <w:t>5</w:t>
            </w:r>
            <w:r w:rsidR="00A80F17">
              <w:t>0% below baseline</w:t>
            </w:r>
          </w:p>
        </w:tc>
      </w:tr>
      <w:tr w:rsidR="00A80F17" w:rsidTr="00A80F17">
        <w:tc>
          <w:tcPr>
            <w:tcW w:w="4640" w:type="dxa"/>
          </w:tcPr>
          <w:p w:rsidR="00A80F17" w:rsidRDefault="00C6242D" w:rsidP="00A80F17">
            <w:pPr>
              <w:pStyle w:val="GHTableBody"/>
            </w:pPr>
            <w:r>
              <w:t>2045</w:t>
            </w:r>
          </w:p>
        </w:tc>
        <w:tc>
          <w:tcPr>
            <w:tcW w:w="4640" w:type="dxa"/>
          </w:tcPr>
          <w:p w:rsidR="00A80F17" w:rsidRDefault="00A80F17" w:rsidP="00A80F17">
            <w:pPr>
              <w:pStyle w:val="GHTableBody"/>
            </w:pPr>
            <w:r>
              <w:t>80% below baseline</w:t>
            </w:r>
          </w:p>
        </w:tc>
      </w:tr>
    </w:tbl>
    <w:p w:rsidR="00785576" w:rsidRPr="00C6242D" w:rsidRDefault="00C6242D" w:rsidP="00785576">
      <w:pPr>
        <w:pStyle w:val="GHFeaturedlist"/>
        <w:numPr>
          <w:ilvl w:val="0"/>
          <w:numId w:val="0"/>
        </w:numPr>
        <w:rPr>
          <w:sz w:val="16"/>
          <w:szCs w:val="16"/>
        </w:rPr>
      </w:pPr>
      <w:r w:rsidRPr="00C6242D">
        <w:rPr>
          <w:sz w:val="16"/>
          <w:szCs w:val="16"/>
        </w:rPr>
        <w:t xml:space="preserve">Source: </w:t>
      </w:r>
      <w:r>
        <w:rPr>
          <w:sz w:val="16"/>
          <w:szCs w:val="16"/>
        </w:rPr>
        <w:fldChar w:fldCharType="begin" w:fldLock="1"/>
      </w:r>
      <w:r>
        <w:rPr>
          <w:sz w:val="16"/>
          <w:szCs w:val="16"/>
        </w:rPr>
        <w:instrText>ADDIN CSL_CITATION {"citationItems":[{"id":"ITEM-1","itemData":{"ISBN":"9789966076793","abstract":"Ozone Secretariat United Nations Environment Programme. (1999). The Montreal Protocol on Substances that Deplete the Ozone Layer (p. 54)","author":[{"dropping-particle":"","family":"UNDP","given":"","non-dropping-particle":"","parse-names":false,"suffix":""}],"id":"ITEM-1","issued":{"date-parts":[["2020"]]},"number-of-pages":"960","title":"The Montreal Protocol on Substances That Deplete the Ozone Layer","type":"report"},"uris":["http://www.mendeley.com/documents/?uuid=8875a60c-08d8-4ee2-97a9-33c0ec329c02"]}],"mendeley":{"formattedCitation":"(UNDP, 2020)","plainTextFormattedCitation":"(UNDP, 2020)","previouslyFormattedCitation":"(UNDP, 2020)"},"properties":{"noteIndex":0},"schema":"https://github.com/citation-style-language/schema/raw/master/csl-citation.json"}</w:instrText>
      </w:r>
      <w:r>
        <w:rPr>
          <w:sz w:val="16"/>
          <w:szCs w:val="16"/>
        </w:rPr>
        <w:fldChar w:fldCharType="separate"/>
      </w:r>
      <w:r w:rsidRPr="00C6242D">
        <w:rPr>
          <w:noProof/>
          <w:sz w:val="16"/>
          <w:szCs w:val="16"/>
        </w:rPr>
        <w:t>(UNDP, 2020)</w:t>
      </w:r>
      <w:r>
        <w:rPr>
          <w:sz w:val="16"/>
          <w:szCs w:val="16"/>
        </w:rPr>
        <w:fldChar w:fldCharType="end"/>
      </w:r>
    </w:p>
    <w:p w:rsidR="00C6242D" w:rsidRDefault="00C6242D" w:rsidP="00785576">
      <w:pPr>
        <w:pStyle w:val="GHFeaturedlist"/>
        <w:numPr>
          <w:ilvl w:val="0"/>
          <w:numId w:val="0"/>
        </w:numPr>
      </w:pPr>
    </w:p>
    <w:p w:rsidR="00785576" w:rsidRDefault="00785576" w:rsidP="00785576">
      <w:pPr>
        <w:pStyle w:val="GHFeaturedlist"/>
        <w:numPr>
          <w:ilvl w:val="0"/>
          <w:numId w:val="0"/>
        </w:numPr>
      </w:pPr>
      <w:r>
        <w:t xml:space="preserve">The baselines are calculated </w:t>
      </w:r>
      <w:r w:rsidR="00A80F17">
        <w:t>based on</w:t>
      </w:r>
      <w:r>
        <w:t xml:space="preserve"> past HCFC consumption/production baseline plus consumption/production of HFCs</w:t>
      </w:r>
      <w:r w:rsidR="00F80B26">
        <w:t xml:space="preserve"> (65%)</w:t>
      </w:r>
      <w:r>
        <w:t xml:space="preserve"> over </w:t>
      </w:r>
      <w:r w:rsidR="00A12EEC">
        <w:t>the baseline period (2020 – 202</w:t>
      </w:r>
      <w:r w:rsidR="00C6242D">
        <w:t>2</w:t>
      </w:r>
      <w:r>
        <w:t>).</w:t>
      </w:r>
    </w:p>
    <w:p w:rsidR="00785576" w:rsidRDefault="00785576" w:rsidP="0078557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0"/>
      </w:tblGrid>
      <w:tr w:rsidR="00785576" w:rsidTr="000F74E8">
        <w:tc>
          <w:tcPr>
            <w:tcW w:w="9280" w:type="dxa"/>
          </w:tcPr>
          <w:p w:rsidR="00785576" w:rsidRDefault="00C6242D" w:rsidP="000F74E8">
            <w:pPr>
              <w:rPr>
                <w:lang w:val="en-ZA"/>
              </w:rPr>
            </w:pPr>
            <w:r>
              <w:rPr>
                <w:noProof/>
                <w:lang w:eastAsia="en-GB"/>
              </w:rPr>
              <w:drawing>
                <wp:inline distT="0" distB="0" distL="0" distR="0" wp14:anchorId="21780051" wp14:editId="13B0E0B8">
                  <wp:extent cx="5056094" cy="348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5497" t="33131" r="30199" b="12508"/>
                          <a:stretch/>
                        </pic:blipFill>
                        <pic:spPr bwMode="auto">
                          <a:xfrm>
                            <a:off x="0" y="0"/>
                            <a:ext cx="5051522" cy="3484521"/>
                          </a:xfrm>
                          <a:prstGeom prst="rect">
                            <a:avLst/>
                          </a:prstGeom>
                          <a:ln>
                            <a:noFill/>
                          </a:ln>
                          <a:extLst>
                            <a:ext uri="{53640926-AAD7-44D8-BBD7-CCE9431645EC}">
                              <a14:shadowObscured xmlns:a14="http://schemas.microsoft.com/office/drawing/2010/main"/>
                            </a:ext>
                          </a:extLst>
                        </pic:spPr>
                      </pic:pic>
                    </a:graphicData>
                  </a:graphic>
                </wp:inline>
              </w:drawing>
            </w:r>
          </w:p>
        </w:tc>
      </w:tr>
      <w:tr w:rsidR="00785576" w:rsidTr="000F74E8">
        <w:tc>
          <w:tcPr>
            <w:tcW w:w="9280" w:type="dxa"/>
          </w:tcPr>
          <w:p w:rsidR="00785576" w:rsidRPr="00216AE6" w:rsidRDefault="00785576" w:rsidP="00C6242D">
            <w:pPr>
              <w:pStyle w:val="Caption"/>
            </w:pPr>
            <w:bookmarkStart w:id="3" w:name="_Ref68176771"/>
            <w:r>
              <w:t xml:space="preserve">Figure </w:t>
            </w:r>
            <w:r w:rsidR="00A27D10">
              <w:fldChar w:fldCharType="begin"/>
            </w:r>
            <w:r w:rsidR="00A27D10">
              <w:instrText xml:space="preserve"> SEQ Figure \* ARABIC </w:instrText>
            </w:r>
            <w:r w:rsidR="00A27D10">
              <w:fldChar w:fldCharType="separate"/>
            </w:r>
            <w:r>
              <w:rPr>
                <w:noProof/>
              </w:rPr>
              <w:t>1</w:t>
            </w:r>
            <w:r w:rsidR="00A27D10">
              <w:rPr>
                <w:noProof/>
              </w:rPr>
              <w:fldChar w:fldCharType="end"/>
            </w:r>
            <w:bookmarkEnd w:id="3"/>
            <w:r>
              <w:t xml:space="preserve">: HFC phase-down schedule, South Africa is classified as an Article 5 Group 1 country </w:t>
            </w:r>
            <w:r w:rsidR="00C6242D">
              <w:fldChar w:fldCharType="begin" w:fldLock="1"/>
            </w:r>
            <w:r w:rsidR="004278A7">
              <w:instrText>ADDIN CSL_CITATION {"citationItems":[{"id":"ITEM-1","itemData":{"ISBN":"9789966076793","abstract":"Ozone Secretariat United Nations Environment Programme. (1999). The Montreal Protocol on Substances that Deplete the Ozone Layer (p. 54)","author":[{"dropping-particle":"","family":"UNDP","given":"","non-dropping-particle":"","parse-names":false,"suffix":""}],"id":"ITEM-1","issued":{"date-parts":[["2020"]]},"number-of-pages":"960","title":"The Montreal Protocol on Substances That Deplete the Ozone Layer","type":"report"},"uris":["http://www.mendeley.com/documents/?uuid=8875a60c-08d8-4ee2-97a9-33c0ec329c02"]}],"mendeley":{"formattedCitation":"(UNDP, 2020)","plainTextFormattedCitation":"(UNDP, 2020)","previouslyFormattedCitation":"(UNDP, 2020)"},"properties":{"noteIndex":0},"schema":"https://github.com/citation-style-language/schema/raw/master/csl-citation.json"}</w:instrText>
            </w:r>
            <w:r w:rsidR="00C6242D">
              <w:fldChar w:fldCharType="separate"/>
            </w:r>
            <w:r w:rsidR="00C6242D" w:rsidRPr="00C6242D">
              <w:rPr>
                <w:noProof/>
              </w:rPr>
              <w:t>(UNDP, 2020)</w:t>
            </w:r>
            <w:r w:rsidR="00C6242D">
              <w:fldChar w:fldCharType="end"/>
            </w:r>
          </w:p>
        </w:tc>
      </w:tr>
    </w:tbl>
    <w:p w:rsidR="00E008F9" w:rsidRDefault="00E008F9" w:rsidP="00E008F9">
      <w:pPr>
        <w:rPr>
          <w:b/>
        </w:rPr>
      </w:pPr>
    </w:p>
    <w:sectPr w:rsidR="00E008F9" w:rsidSect="002E0C09">
      <w:headerReference w:type="default" r:id="rId10"/>
      <w:footerReference w:type="default" r:id="rId11"/>
      <w:headerReference w:type="first" r:id="rId12"/>
      <w:footerReference w:type="first" r:id="rId13"/>
      <w:pgSz w:w="11900" w:h="16840"/>
      <w:pgMar w:top="1418" w:right="1418" w:bottom="1418" w:left="1418" w:header="11" w:footer="567" w:gutter="0"/>
      <w:pgNumType w:start="1"/>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42CDA6" w15:done="0"/>
  <w15:commentEx w15:paraId="7EBE0260" w15:done="0"/>
  <w15:commentEx w15:paraId="36DDE6E7" w15:done="0"/>
  <w15:commentEx w15:paraId="7CD2D5BF" w15:done="0"/>
  <w15:commentEx w15:paraId="50B82F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83A43" w16cex:dateUtc="2021-04-07T12:03:00Z"/>
  <w16cex:commentExtensible w16cex:durableId="24183B01" w16cex:dateUtc="2021-04-07T12:06:00Z"/>
  <w16cex:commentExtensible w16cex:durableId="24183B65" w16cex:dateUtc="2021-04-07T12:08:00Z"/>
  <w16cex:commentExtensible w16cex:durableId="24183BF5" w16cex:dateUtc="2021-04-07T12:11:00Z"/>
  <w16cex:commentExtensible w16cex:durableId="24183C9E" w16cex:dateUtc="2021-04-07T1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42CDA6" w16cid:durableId="24183A43"/>
  <w16cid:commentId w16cid:paraId="7EBE0260" w16cid:durableId="24183B01"/>
  <w16cid:commentId w16cid:paraId="36DDE6E7" w16cid:durableId="24183B65"/>
  <w16cid:commentId w16cid:paraId="7CD2D5BF" w16cid:durableId="24183BF5"/>
  <w16cid:commentId w16cid:paraId="50B82F2E" w16cid:durableId="24183C9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D10" w:rsidRDefault="00A27D10" w:rsidP="001E7B5F">
      <w:r>
        <w:separator/>
      </w:r>
    </w:p>
  </w:endnote>
  <w:endnote w:type="continuationSeparator" w:id="0">
    <w:p w:rsidR="00A27D10" w:rsidRDefault="00A27D10" w:rsidP="001E7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500000000000000"/>
    <w:charset w:val="80"/>
    <w:family w:val="swiss"/>
    <w:pitch w:val="variable"/>
    <w:sig w:usb0="E00002FF" w:usb1="6AC7FDFB" w:usb2="08000012" w:usb3="00000000" w:csb0="0002009F" w:csb1="00000000"/>
  </w:font>
  <w:font w:name="Roboto Light">
    <w:altName w:val="﷽﷽﷽﷽﷽﷽﷽﷽ight"/>
    <w:panose1 w:val="02000000000000000000"/>
    <w:charset w:val="00"/>
    <w:family w:val="auto"/>
    <w:pitch w:val="variable"/>
    <w:sig w:usb0="E00002FF" w:usb1="5000205B" w:usb2="00000020" w:usb3="00000000" w:csb0="0000019F" w:csb1="00000000"/>
  </w:font>
  <w:font w:name="Roboto Condensed">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swiss"/>
    <w:pitch w:val="variable"/>
    <w:sig w:usb0="00000000" w:usb1="5000A1FF" w:usb2="00000000" w:usb3="00000000" w:csb0="000001BF" w:csb1="00000000"/>
  </w:font>
  <w:font w:name="Roboto Condensed Light">
    <w:altName w:val="Arial"/>
    <w:charset w:val="00"/>
    <w:family w:val="auto"/>
    <w:pitch w:val="variable"/>
    <w:sig w:usb0="E00002FF" w:usb1="5000205B" w:usb2="00000020" w:usb3="00000000" w:csb0="0000019F" w:csb1="00000000"/>
  </w:font>
  <w:font w:name="Roboto">
    <w:altName w:val="Arial"/>
    <w:charset w:val="00"/>
    <w:family w:val="auto"/>
    <w:pitch w:val="variable"/>
    <w:sig w:usb0="00000001"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F0C" w:rsidRPr="00F7798B" w:rsidRDefault="00024F0C" w:rsidP="006E0FF0">
    <w:pPr>
      <w:pStyle w:val="GHNumbering"/>
      <w:numPr>
        <w:ilvl w:val="0"/>
        <w:numId w:val="0"/>
      </w:numPr>
      <w:ind w:left="567"/>
      <w:jc w:val="right"/>
    </w:pPr>
    <w:r>
      <w:rPr>
        <w:rStyle w:val="FooterChar"/>
        <w:rFonts w:ascii="Roboto Condensed Light" w:hAnsi="Roboto Condensed Light"/>
      </w:rPr>
      <w:t>Artifical GHG and other niche industrial rpocess emissions</w:t>
    </w:r>
    <w:r w:rsidRPr="00F7798B">
      <w:t xml:space="preserve">  </w:t>
    </w:r>
    <w:r w:rsidRPr="00F7798B">
      <w:rPr>
        <w:rStyle w:val="PageNumber"/>
        <w:rFonts w:ascii="Roboto Condensed Light" w:hAnsi="Roboto Condensed Light"/>
      </w:rPr>
      <w:t xml:space="preserve">|  </w:t>
    </w:r>
    <w:r w:rsidRPr="00F7798B">
      <w:rPr>
        <w:rStyle w:val="PageNumber"/>
        <w:rFonts w:ascii="Roboto Condensed Light" w:hAnsi="Roboto Condensed Light"/>
        <w:caps/>
        <w:szCs w:val="14"/>
      </w:rPr>
      <w:fldChar w:fldCharType="begin"/>
    </w:r>
    <w:r w:rsidRPr="00F7798B">
      <w:rPr>
        <w:rStyle w:val="PageNumber"/>
        <w:rFonts w:ascii="Roboto Condensed Light" w:hAnsi="Roboto Condensed Light"/>
        <w:caps/>
        <w:szCs w:val="14"/>
      </w:rPr>
      <w:instrText xml:space="preserve"> PAGE </w:instrText>
    </w:r>
    <w:r w:rsidRPr="00F7798B">
      <w:rPr>
        <w:rStyle w:val="PageNumber"/>
        <w:rFonts w:ascii="Roboto Condensed Light" w:hAnsi="Roboto Condensed Light"/>
        <w:caps/>
        <w:szCs w:val="14"/>
      </w:rPr>
      <w:fldChar w:fldCharType="separate"/>
    </w:r>
    <w:r w:rsidR="00CF0BB5">
      <w:rPr>
        <w:rStyle w:val="PageNumber"/>
        <w:rFonts w:ascii="Roboto Condensed Light" w:hAnsi="Roboto Condensed Light"/>
        <w:caps/>
        <w:noProof/>
        <w:szCs w:val="14"/>
      </w:rPr>
      <w:t>1</w:t>
    </w:r>
    <w:r w:rsidRPr="00F7798B">
      <w:rPr>
        <w:rStyle w:val="PageNumber"/>
        <w:rFonts w:ascii="Roboto Condensed Light" w:hAnsi="Roboto Condensed Light"/>
        <w:caps/>
        <w:szCs w:val="1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F0C" w:rsidRDefault="00024F0C" w:rsidP="00131B75">
    <w:pPr>
      <w:pStyle w:val="GHNumbering"/>
      <w:ind w:left="-1276"/>
    </w:pPr>
    <w:r>
      <w:rPr>
        <w:noProof/>
        <w:lang w:eastAsia="en-GB"/>
      </w:rPr>
      <w:drawing>
        <wp:anchor distT="0" distB="0" distL="114300" distR="114300" simplePos="0" relativeHeight="251661824" behindDoc="1" locked="0" layoutInCell="1" allowOverlap="1" wp14:anchorId="33DA74B6" wp14:editId="5EBC4289">
          <wp:simplePos x="0" y="0"/>
          <wp:positionH relativeFrom="column">
            <wp:posOffset>-1203325</wp:posOffset>
          </wp:positionH>
          <wp:positionV relativeFrom="paragraph">
            <wp:posOffset>-198120</wp:posOffset>
          </wp:positionV>
          <wp:extent cx="7997825" cy="5211445"/>
          <wp:effectExtent l="0" t="0" r="3175" b="0"/>
          <wp:wrapNone/>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7825" cy="5211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6704" behindDoc="1" locked="0" layoutInCell="1" allowOverlap="1" wp14:anchorId="77515922" wp14:editId="06D5659E">
          <wp:simplePos x="0" y="0"/>
          <wp:positionH relativeFrom="column">
            <wp:posOffset>-1205230</wp:posOffset>
          </wp:positionH>
          <wp:positionV relativeFrom="paragraph">
            <wp:posOffset>-30422850</wp:posOffset>
          </wp:positionV>
          <wp:extent cx="7997825" cy="5211445"/>
          <wp:effectExtent l="0" t="0" r="3175" b="0"/>
          <wp:wrapNone/>
          <wp:docPr id="3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7825" cy="521144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D10" w:rsidRDefault="00A27D10" w:rsidP="001E7B5F">
      <w:r>
        <w:separator/>
      </w:r>
    </w:p>
  </w:footnote>
  <w:footnote w:type="continuationSeparator" w:id="0">
    <w:p w:rsidR="00A27D10" w:rsidRDefault="00A27D10" w:rsidP="001E7B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F0C" w:rsidRDefault="00024F0C" w:rsidP="00131B75">
    <w:pPr>
      <w:ind w:hanging="1418"/>
    </w:pPr>
    <w:r>
      <w:rPr>
        <w:noProof/>
        <w:lang w:eastAsia="en-GB"/>
      </w:rPr>
      <w:drawing>
        <wp:anchor distT="0" distB="0" distL="114300" distR="114300" simplePos="0" relativeHeight="251666944" behindDoc="1" locked="0" layoutInCell="1" allowOverlap="1" wp14:anchorId="3D2302F6" wp14:editId="03356E70">
          <wp:simplePos x="0" y="0"/>
          <wp:positionH relativeFrom="page">
            <wp:align>right</wp:align>
          </wp:positionH>
          <wp:positionV relativeFrom="page">
            <wp:align>top</wp:align>
          </wp:positionV>
          <wp:extent cx="7569200" cy="490855"/>
          <wp:effectExtent l="0" t="0" r="0" b="0"/>
          <wp:wrapNone/>
          <wp:docPr id="2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9200" cy="490855"/>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F0C" w:rsidRDefault="00024F0C" w:rsidP="001E7B5F">
    <w:pPr>
      <w:ind w:left="-179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9.3pt;height:7.75pt" o:bullet="t">
        <v:imagedata r:id="rId1" o:title="Featured listfin"/>
      </v:shape>
    </w:pict>
  </w:numPicBullet>
  <w:abstractNum w:abstractNumId="0">
    <w:nsid w:val="00CD54AE"/>
    <w:multiLevelType w:val="hybridMultilevel"/>
    <w:tmpl w:val="11BCA406"/>
    <w:lvl w:ilvl="0" w:tplc="F00A6FE4">
      <w:start w:val="1"/>
      <w:numFmt w:val="decimal"/>
      <w:pStyle w:val="GHTOC2"/>
      <w:lvlText w:val="%1.1"/>
      <w:lvlJc w:val="left"/>
      <w:pPr>
        <w:ind w:left="852" w:hanging="284"/>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1">
    <w:nsid w:val="050C44F0"/>
    <w:multiLevelType w:val="multilevel"/>
    <w:tmpl w:val="FF109100"/>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Restart w:val="1"/>
      <w:lvlText w:val="%1.%2.%3"/>
      <w:lvlJc w:val="left"/>
      <w:pPr>
        <w:ind w:left="720" w:hanging="720"/>
      </w:pPr>
      <w:rPr>
        <w:rFonts w:hint="default"/>
      </w:rPr>
    </w:lvl>
    <w:lvl w:ilvl="3">
      <w:start w:val="1"/>
      <w:numFmt w:val="decimal"/>
      <w:lvlRestart w:val="1"/>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05F6591C"/>
    <w:multiLevelType w:val="multilevel"/>
    <w:tmpl w:val="CA047A5C"/>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07EF7F5E"/>
    <w:multiLevelType w:val="multilevel"/>
    <w:tmpl w:val="1F9035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0B4D497B"/>
    <w:multiLevelType w:val="multilevel"/>
    <w:tmpl w:val="4E00A5FA"/>
    <w:lvl w:ilvl="0">
      <w:start w:val="1"/>
      <w:numFmt w:val="bullet"/>
      <w:lvlText w:val=""/>
      <w:lvlJc w:val="left"/>
      <w:pPr>
        <w:ind w:left="720" w:hanging="360"/>
      </w:pPr>
      <w:rPr>
        <w:rFonts w:ascii="Symbol" w:hAnsi="Symbol" w:hint="default"/>
        <w:color w:val="4472C4"/>
        <w:sz w:val="28"/>
      </w:rPr>
    </w:lvl>
    <w:lvl w:ilvl="1">
      <w:start w:val="1"/>
      <w:numFmt w:val="bullet"/>
      <w:lvlText w:val="o"/>
      <w:lvlJc w:val="left"/>
      <w:pPr>
        <w:ind w:left="1440" w:hanging="360"/>
      </w:pPr>
      <w:rPr>
        <w:rFonts w:ascii="Courier New" w:hAnsi="Courier New" w:hint="default"/>
        <w:color w:val="70AD47"/>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E131A1C"/>
    <w:multiLevelType w:val="hybridMultilevel"/>
    <w:tmpl w:val="890ADF2C"/>
    <w:lvl w:ilvl="0" w:tplc="275AEF78">
      <w:start w:val="1"/>
      <w:numFmt w:val="decimal"/>
      <w:pStyle w:val="GHNumbering"/>
      <w:lvlText w:val="%1."/>
      <w:lvlJc w:val="left"/>
      <w:pPr>
        <w:tabs>
          <w:tab w:val="num" w:pos="284"/>
        </w:tabs>
        <w:ind w:left="284" w:hanging="284"/>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11E47E56"/>
    <w:multiLevelType w:val="hybridMultilevel"/>
    <w:tmpl w:val="6054CF6A"/>
    <w:lvl w:ilvl="0" w:tplc="90F6C44E">
      <w:start w:val="1"/>
      <w:numFmt w:val="decimal"/>
      <w:pStyle w:val="GHTermsandConditionstext"/>
      <w:lvlText w:val="%1."/>
      <w:lvlJc w:val="left"/>
      <w:pPr>
        <w:tabs>
          <w:tab w:val="num" w:pos="454"/>
        </w:tabs>
        <w:ind w:left="45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840624"/>
    <w:multiLevelType w:val="multilevel"/>
    <w:tmpl w:val="9A7CF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17461B90"/>
    <w:multiLevelType w:val="hybridMultilevel"/>
    <w:tmpl w:val="5D68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54376C"/>
    <w:multiLevelType w:val="multilevel"/>
    <w:tmpl w:val="E4425744"/>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Restart w:val="1"/>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21E1726C"/>
    <w:multiLevelType w:val="hybridMultilevel"/>
    <w:tmpl w:val="EE4C7C74"/>
    <w:lvl w:ilvl="0" w:tplc="A2B46CF8">
      <w:start w:val="1"/>
      <w:numFmt w:val="lowerRoman"/>
      <w:pStyle w:val="GHNumerals"/>
      <w:lvlText w:val="(%1)"/>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AD19D8"/>
    <w:multiLevelType w:val="hybridMultilevel"/>
    <w:tmpl w:val="860280B6"/>
    <w:lvl w:ilvl="0" w:tplc="4F36516E">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C77E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BB571ED"/>
    <w:multiLevelType w:val="hybridMultilevel"/>
    <w:tmpl w:val="06DC7730"/>
    <w:lvl w:ilvl="0" w:tplc="E508D160">
      <w:start w:val="1"/>
      <w:numFmt w:val="bullet"/>
      <w:pStyle w:val="GHBullet2"/>
      <w:lvlText w:val=""/>
      <w:lvlJc w:val="left"/>
      <w:pPr>
        <w:tabs>
          <w:tab w:val="num" w:pos="1497"/>
        </w:tabs>
        <w:ind w:left="1497" w:hanging="284"/>
      </w:pPr>
      <w:rPr>
        <w:rFonts w:ascii="Wingdings" w:hAnsi="Wingdings" w:hint="default"/>
        <w:sz w:val="10"/>
        <w:szCs w:val="10"/>
      </w:rPr>
    </w:lvl>
    <w:lvl w:ilvl="1" w:tplc="04090003" w:tentative="1">
      <w:start w:val="1"/>
      <w:numFmt w:val="bullet"/>
      <w:lvlText w:val="o"/>
      <w:lvlJc w:val="left"/>
      <w:pPr>
        <w:ind w:left="2086" w:hanging="360"/>
      </w:pPr>
      <w:rPr>
        <w:rFonts w:ascii="Courier New" w:hAnsi="Courier New" w:hint="default"/>
      </w:rPr>
    </w:lvl>
    <w:lvl w:ilvl="2" w:tplc="04090005" w:tentative="1">
      <w:start w:val="1"/>
      <w:numFmt w:val="bullet"/>
      <w:lvlText w:val=""/>
      <w:lvlJc w:val="left"/>
      <w:pPr>
        <w:ind w:left="2806" w:hanging="360"/>
      </w:pPr>
      <w:rPr>
        <w:rFonts w:ascii="Wingdings" w:hAnsi="Wingdings" w:hint="default"/>
      </w:rPr>
    </w:lvl>
    <w:lvl w:ilvl="3" w:tplc="04090001" w:tentative="1">
      <w:start w:val="1"/>
      <w:numFmt w:val="bullet"/>
      <w:lvlText w:val=""/>
      <w:lvlJc w:val="left"/>
      <w:pPr>
        <w:ind w:left="3526" w:hanging="360"/>
      </w:pPr>
      <w:rPr>
        <w:rFonts w:ascii="Symbol" w:hAnsi="Symbol" w:hint="default"/>
      </w:rPr>
    </w:lvl>
    <w:lvl w:ilvl="4" w:tplc="04090003" w:tentative="1">
      <w:start w:val="1"/>
      <w:numFmt w:val="bullet"/>
      <w:lvlText w:val="o"/>
      <w:lvlJc w:val="left"/>
      <w:pPr>
        <w:ind w:left="4246" w:hanging="360"/>
      </w:pPr>
      <w:rPr>
        <w:rFonts w:ascii="Courier New" w:hAnsi="Courier New" w:hint="default"/>
      </w:rPr>
    </w:lvl>
    <w:lvl w:ilvl="5" w:tplc="04090005" w:tentative="1">
      <w:start w:val="1"/>
      <w:numFmt w:val="bullet"/>
      <w:lvlText w:val=""/>
      <w:lvlJc w:val="left"/>
      <w:pPr>
        <w:ind w:left="4966" w:hanging="360"/>
      </w:pPr>
      <w:rPr>
        <w:rFonts w:ascii="Wingdings" w:hAnsi="Wingdings" w:hint="default"/>
      </w:rPr>
    </w:lvl>
    <w:lvl w:ilvl="6" w:tplc="04090001" w:tentative="1">
      <w:start w:val="1"/>
      <w:numFmt w:val="bullet"/>
      <w:lvlText w:val=""/>
      <w:lvlJc w:val="left"/>
      <w:pPr>
        <w:ind w:left="5686" w:hanging="360"/>
      </w:pPr>
      <w:rPr>
        <w:rFonts w:ascii="Symbol" w:hAnsi="Symbol" w:hint="default"/>
      </w:rPr>
    </w:lvl>
    <w:lvl w:ilvl="7" w:tplc="04090003" w:tentative="1">
      <w:start w:val="1"/>
      <w:numFmt w:val="bullet"/>
      <w:lvlText w:val="o"/>
      <w:lvlJc w:val="left"/>
      <w:pPr>
        <w:ind w:left="6406" w:hanging="360"/>
      </w:pPr>
      <w:rPr>
        <w:rFonts w:ascii="Courier New" w:hAnsi="Courier New" w:hint="default"/>
      </w:rPr>
    </w:lvl>
    <w:lvl w:ilvl="8" w:tplc="04090005" w:tentative="1">
      <w:start w:val="1"/>
      <w:numFmt w:val="bullet"/>
      <w:lvlText w:val=""/>
      <w:lvlJc w:val="left"/>
      <w:pPr>
        <w:ind w:left="7126" w:hanging="360"/>
      </w:pPr>
      <w:rPr>
        <w:rFonts w:ascii="Wingdings" w:hAnsi="Wingdings" w:hint="default"/>
      </w:rPr>
    </w:lvl>
  </w:abstractNum>
  <w:abstractNum w:abstractNumId="14">
    <w:nsid w:val="2E095819"/>
    <w:multiLevelType w:val="multilevel"/>
    <w:tmpl w:val="49780AA4"/>
    <w:lvl w:ilvl="0">
      <w:start w:val="1"/>
      <w:numFmt w:val="upperLetter"/>
      <w:pStyle w:val="Appendixlevel1"/>
      <w:lvlText w:val="Appendix %1"/>
      <w:lvlJc w:val="left"/>
      <w:pPr>
        <w:ind w:left="432" w:hanging="432"/>
      </w:pPr>
      <w:rPr>
        <w:rFonts w:hint="default"/>
      </w:rPr>
    </w:lvl>
    <w:lvl w:ilvl="1">
      <w:start w:val="1"/>
      <w:numFmt w:val="decimal"/>
      <w:pStyle w:val="Appendixlevel2"/>
      <w:lvlText w:val="%1.%2"/>
      <w:lvlJc w:val="left"/>
      <w:pPr>
        <w:ind w:left="576" w:hanging="576"/>
      </w:pPr>
      <w:rPr>
        <w:rFonts w:hint="default"/>
      </w:rPr>
    </w:lvl>
    <w:lvl w:ilvl="2">
      <w:start w:val="1"/>
      <w:numFmt w:val="decimal"/>
      <w:pStyle w:val="Appendixlevel3"/>
      <w:lvlText w:val="%1.%2.%3"/>
      <w:lvlJc w:val="left"/>
      <w:pPr>
        <w:ind w:left="720" w:hanging="720"/>
      </w:pPr>
      <w:rPr>
        <w:rFonts w:hint="default"/>
      </w:rPr>
    </w:lvl>
    <w:lvl w:ilvl="3">
      <w:start w:val="1"/>
      <w:numFmt w:val="decimal"/>
      <w:pStyle w:val="Appendixlevel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3C4A2BD4"/>
    <w:multiLevelType w:val="hybridMultilevel"/>
    <w:tmpl w:val="3098A1D6"/>
    <w:lvl w:ilvl="0" w:tplc="58147522">
      <w:start w:val="1"/>
      <w:numFmt w:val="bullet"/>
      <w:pStyle w:val="GHFeaturedlist"/>
      <w:lvlText w:val=""/>
      <w:lvlJc w:val="left"/>
      <w:pPr>
        <w:tabs>
          <w:tab w:val="num" w:pos="851"/>
        </w:tabs>
        <w:ind w:left="851" w:hanging="284"/>
      </w:pPr>
      <w:rPr>
        <w:rFonts w:ascii="Symbol" w:hAnsi="Symbol" w:hint="default"/>
        <w:color w:val="94B953"/>
      </w:rPr>
    </w:lvl>
    <w:lvl w:ilvl="1" w:tplc="B25268BA">
      <w:start w:val="1"/>
      <w:numFmt w:val="bullet"/>
      <w:lvlText w:val="o"/>
      <w:lvlJc w:val="left"/>
      <w:pPr>
        <w:ind w:left="1440" w:hanging="360"/>
      </w:pPr>
      <w:rPr>
        <w:rFonts w:ascii="Courier New" w:hAnsi="Courier New" w:hint="default"/>
      </w:rPr>
    </w:lvl>
    <w:lvl w:ilvl="2" w:tplc="04464938">
      <w:start w:val="1"/>
      <w:numFmt w:val="bullet"/>
      <w:lvlText w:val=""/>
      <w:lvlJc w:val="left"/>
      <w:pPr>
        <w:ind w:left="2160" w:hanging="360"/>
      </w:pPr>
      <w:rPr>
        <w:rFonts w:ascii="Wingdings" w:hAnsi="Wingdings" w:hint="default"/>
      </w:rPr>
    </w:lvl>
    <w:lvl w:ilvl="3" w:tplc="56149B08" w:tentative="1">
      <w:start w:val="1"/>
      <w:numFmt w:val="bullet"/>
      <w:lvlText w:val=""/>
      <w:lvlJc w:val="left"/>
      <w:pPr>
        <w:ind w:left="2880" w:hanging="360"/>
      </w:pPr>
      <w:rPr>
        <w:rFonts w:ascii="Symbol" w:hAnsi="Symbol" w:hint="default"/>
      </w:rPr>
    </w:lvl>
    <w:lvl w:ilvl="4" w:tplc="EBCC9F9E" w:tentative="1">
      <w:start w:val="1"/>
      <w:numFmt w:val="bullet"/>
      <w:lvlText w:val="o"/>
      <w:lvlJc w:val="left"/>
      <w:pPr>
        <w:ind w:left="3600" w:hanging="360"/>
      </w:pPr>
      <w:rPr>
        <w:rFonts w:ascii="Courier New" w:hAnsi="Courier New" w:hint="default"/>
      </w:rPr>
    </w:lvl>
    <w:lvl w:ilvl="5" w:tplc="EC041288" w:tentative="1">
      <w:start w:val="1"/>
      <w:numFmt w:val="bullet"/>
      <w:lvlText w:val=""/>
      <w:lvlJc w:val="left"/>
      <w:pPr>
        <w:ind w:left="4320" w:hanging="360"/>
      </w:pPr>
      <w:rPr>
        <w:rFonts w:ascii="Wingdings" w:hAnsi="Wingdings" w:hint="default"/>
      </w:rPr>
    </w:lvl>
    <w:lvl w:ilvl="6" w:tplc="6818DA3C" w:tentative="1">
      <w:start w:val="1"/>
      <w:numFmt w:val="bullet"/>
      <w:lvlText w:val=""/>
      <w:lvlJc w:val="left"/>
      <w:pPr>
        <w:ind w:left="5040" w:hanging="360"/>
      </w:pPr>
      <w:rPr>
        <w:rFonts w:ascii="Symbol" w:hAnsi="Symbol" w:hint="default"/>
      </w:rPr>
    </w:lvl>
    <w:lvl w:ilvl="7" w:tplc="EA80E482" w:tentative="1">
      <w:start w:val="1"/>
      <w:numFmt w:val="bullet"/>
      <w:lvlText w:val="o"/>
      <w:lvlJc w:val="left"/>
      <w:pPr>
        <w:ind w:left="5760" w:hanging="360"/>
      </w:pPr>
      <w:rPr>
        <w:rFonts w:ascii="Courier New" w:hAnsi="Courier New" w:hint="default"/>
      </w:rPr>
    </w:lvl>
    <w:lvl w:ilvl="8" w:tplc="E25216FC" w:tentative="1">
      <w:start w:val="1"/>
      <w:numFmt w:val="bullet"/>
      <w:lvlText w:val=""/>
      <w:lvlJc w:val="left"/>
      <w:pPr>
        <w:ind w:left="6480" w:hanging="360"/>
      </w:pPr>
      <w:rPr>
        <w:rFonts w:ascii="Wingdings" w:hAnsi="Wingdings" w:hint="default"/>
      </w:rPr>
    </w:lvl>
  </w:abstractNum>
  <w:abstractNum w:abstractNumId="16">
    <w:nsid w:val="43165390"/>
    <w:multiLevelType w:val="hybridMultilevel"/>
    <w:tmpl w:val="0DF8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4204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71C38EA"/>
    <w:multiLevelType w:val="multilevel"/>
    <w:tmpl w:val="BE6E040C"/>
    <w:lvl w:ilvl="0">
      <w:start w:val="1"/>
      <w:numFmt w:val="bullet"/>
      <w:lvlText w:val=""/>
      <w:lvlJc w:val="left"/>
      <w:pPr>
        <w:ind w:left="216" w:hanging="216"/>
      </w:pPr>
      <w:rPr>
        <w:rFonts w:ascii="Symbol" w:hAnsi="Symbol"/>
        <w:color w:val="8EAE30"/>
        <w:sz w:val="18"/>
      </w:rPr>
    </w:lvl>
    <w:lvl w:ilvl="1">
      <w:start w:val="1"/>
      <w:numFmt w:val="bullet"/>
      <w:lvlText w:val=""/>
      <w:lvlJc w:val="left"/>
      <w:pPr>
        <w:ind w:left="461" w:hanging="216"/>
      </w:pPr>
      <w:rPr>
        <w:rFonts w:ascii="Wingdings" w:hAnsi="Wingdings" w:hint="default"/>
        <w:b w:val="0"/>
        <w:i w:val="0"/>
        <w:color w:val="C0504D"/>
        <w:sz w:val="12"/>
      </w:rPr>
    </w:lvl>
    <w:lvl w:ilvl="2">
      <w:start w:val="1"/>
      <w:numFmt w:val="bullet"/>
      <w:lvlText w:val=""/>
      <w:lvlJc w:val="left"/>
      <w:pPr>
        <w:ind w:left="706" w:hanging="216"/>
      </w:pPr>
      <w:rPr>
        <w:rFonts w:ascii="Symbol" w:hAnsi="Symbol" w:hint="default"/>
        <w:b w:val="0"/>
        <w:i w:val="0"/>
        <w:color w:val="4F81BD"/>
        <w:sz w:val="16"/>
      </w:rPr>
    </w:lvl>
    <w:lvl w:ilvl="3">
      <w:start w:val="1"/>
      <w:numFmt w:val="bullet"/>
      <w:lvlText w:val=""/>
      <w:lvlJc w:val="left"/>
      <w:pPr>
        <w:ind w:left="951" w:hanging="216"/>
      </w:pPr>
      <w:rPr>
        <w:rFonts w:ascii="Symbol" w:hAnsi="Symbol" w:hint="default"/>
        <w:b w:val="0"/>
        <w:i w:val="0"/>
        <w:color w:val="4F81BD"/>
        <w:sz w:val="16"/>
      </w:rPr>
    </w:lvl>
    <w:lvl w:ilvl="4">
      <w:start w:val="1"/>
      <w:numFmt w:val="bullet"/>
      <w:lvlText w:val=""/>
      <w:lvlJc w:val="left"/>
      <w:pPr>
        <w:ind w:left="1196" w:hanging="216"/>
      </w:pPr>
      <w:rPr>
        <w:rFonts w:ascii="Symbol" w:hAnsi="Symbol" w:hint="default"/>
        <w:color w:val="4F81BD"/>
        <w:sz w:val="16"/>
      </w:rPr>
    </w:lvl>
    <w:lvl w:ilvl="5">
      <w:start w:val="1"/>
      <w:numFmt w:val="bullet"/>
      <w:lvlText w:val=""/>
      <w:lvlJc w:val="left"/>
      <w:pPr>
        <w:ind w:left="1441" w:hanging="216"/>
      </w:pPr>
      <w:rPr>
        <w:rFonts w:ascii="Symbol" w:hAnsi="Symbol" w:hint="default"/>
        <w:color w:val="4F81BD"/>
        <w:sz w:val="16"/>
      </w:rPr>
    </w:lvl>
    <w:lvl w:ilvl="6">
      <w:start w:val="1"/>
      <w:numFmt w:val="bullet"/>
      <w:lvlText w:val=""/>
      <w:lvlJc w:val="left"/>
      <w:pPr>
        <w:ind w:left="1686" w:hanging="216"/>
      </w:pPr>
      <w:rPr>
        <w:rFonts w:ascii="Symbol" w:hAnsi="Symbol" w:hint="default"/>
        <w:color w:val="4F81BD"/>
        <w:sz w:val="16"/>
      </w:rPr>
    </w:lvl>
    <w:lvl w:ilvl="7">
      <w:start w:val="1"/>
      <w:numFmt w:val="bullet"/>
      <w:lvlText w:val=""/>
      <w:lvlJc w:val="left"/>
      <w:pPr>
        <w:ind w:left="1931" w:hanging="216"/>
      </w:pPr>
      <w:rPr>
        <w:rFonts w:ascii="Symbol" w:hAnsi="Symbol" w:hint="default"/>
        <w:color w:val="4F81BD"/>
        <w:sz w:val="16"/>
      </w:rPr>
    </w:lvl>
    <w:lvl w:ilvl="8">
      <w:start w:val="1"/>
      <w:numFmt w:val="bullet"/>
      <w:lvlText w:val=""/>
      <w:lvlJc w:val="left"/>
      <w:pPr>
        <w:ind w:left="2176" w:hanging="216"/>
      </w:pPr>
      <w:rPr>
        <w:rFonts w:ascii="Symbol" w:hAnsi="Symbol" w:hint="default"/>
        <w:color w:val="4F81BD"/>
        <w:sz w:val="16"/>
      </w:rPr>
    </w:lvl>
  </w:abstractNum>
  <w:abstractNum w:abstractNumId="19">
    <w:nsid w:val="4A6538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A7F34EA"/>
    <w:multiLevelType w:val="multilevel"/>
    <w:tmpl w:val="7D56DAF4"/>
    <w:lvl w:ilvl="0">
      <w:start w:val="1"/>
      <w:numFmt w:val="decimal"/>
      <w:lvlText w:val="%1"/>
      <w:lvlJc w:val="left"/>
      <w:pPr>
        <w:ind w:left="432" w:hanging="432"/>
      </w:pPr>
      <w:rPr>
        <w:rFonts w:hint="default"/>
      </w:rPr>
    </w:lvl>
    <w:lvl w:ilvl="1">
      <w:start w:val="5"/>
      <w:numFmt w:val="decimal"/>
      <w:lvlText w:val="%1.%2"/>
      <w:lvlJc w:val="left"/>
      <w:pPr>
        <w:ind w:left="576" w:hanging="576"/>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4B7806A3"/>
    <w:multiLevelType w:val="hybridMultilevel"/>
    <w:tmpl w:val="5734FFDA"/>
    <w:lvl w:ilvl="0" w:tplc="B00C5ED0">
      <w:start w:val="1"/>
      <w:numFmt w:val="bullet"/>
      <w:pStyle w:val="GHBullet1"/>
      <w:lvlText w:val="&gt;"/>
      <w:lvlJc w:val="left"/>
      <w:pPr>
        <w:tabs>
          <w:tab w:val="num" w:pos="851"/>
        </w:tabs>
        <w:ind w:left="851" w:hanging="284"/>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7562B3"/>
    <w:multiLevelType w:val="multilevel"/>
    <w:tmpl w:val="F2727FEA"/>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51EF00FB"/>
    <w:multiLevelType w:val="multilevel"/>
    <w:tmpl w:val="F06E7454"/>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563613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AC20884"/>
    <w:multiLevelType w:val="multilevel"/>
    <w:tmpl w:val="6FBE5B3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Restart w:val="1"/>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5C9D3247"/>
    <w:multiLevelType w:val="multilevel"/>
    <w:tmpl w:val="A8E83AA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nsid w:val="5CCC59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6CD12A7"/>
    <w:multiLevelType w:val="hybridMultilevel"/>
    <w:tmpl w:val="E6E20A38"/>
    <w:lvl w:ilvl="0" w:tplc="54825590">
      <w:start w:val="1"/>
      <w:numFmt w:val="decimal"/>
      <w:pStyle w:val="GHTOC3"/>
      <w:lvlText w:val="%1.1.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0908A1"/>
    <w:multiLevelType w:val="multilevel"/>
    <w:tmpl w:val="1C5E8E48"/>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677B1D30"/>
    <w:multiLevelType w:val="multilevel"/>
    <w:tmpl w:val="F2727FEA"/>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71EE179E"/>
    <w:multiLevelType w:val="multilevel"/>
    <w:tmpl w:val="B7AAAE9A"/>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nsid w:val="756855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79BB5A8E"/>
    <w:multiLevelType w:val="multilevel"/>
    <w:tmpl w:val="F2727FEA"/>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nsid w:val="79FF6D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5"/>
  </w:num>
  <w:num w:numId="3">
    <w:abstractNumId w:val="13"/>
  </w:num>
  <w:num w:numId="4">
    <w:abstractNumId w:val="21"/>
  </w:num>
  <w:num w:numId="5">
    <w:abstractNumId w:val="5"/>
  </w:num>
  <w:num w:numId="6">
    <w:abstractNumId w:val="10"/>
  </w:num>
  <w:num w:numId="7">
    <w:abstractNumId w:val="11"/>
  </w:num>
  <w:num w:numId="8">
    <w:abstractNumId w:val="3"/>
  </w:num>
  <w:num w:numId="9">
    <w:abstractNumId w:val="0"/>
  </w:num>
  <w:num w:numId="10">
    <w:abstractNumId w:val="28"/>
  </w:num>
  <w:num w:numId="11">
    <w:abstractNumId w:val="6"/>
  </w:num>
  <w:num w:numId="12">
    <w:abstractNumId w:val="32"/>
  </w:num>
  <w:num w:numId="13">
    <w:abstractNumId w:val="26"/>
  </w:num>
  <w:num w:numId="14">
    <w:abstractNumId w:val="34"/>
  </w:num>
  <w:num w:numId="15">
    <w:abstractNumId w:val="12"/>
  </w:num>
  <w:num w:numId="16">
    <w:abstractNumId w:val="14"/>
  </w:num>
  <w:num w:numId="17">
    <w:abstractNumId w:val="17"/>
  </w:num>
  <w:num w:numId="18">
    <w:abstractNumId w:val="20"/>
  </w:num>
  <w:num w:numId="19">
    <w:abstractNumId w:val="27"/>
  </w:num>
  <w:num w:numId="20">
    <w:abstractNumId w:val="2"/>
  </w:num>
  <w:num w:numId="21">
    <w:abstractNumId w:val="29"/>
  </w:num>
  <w:num w:numId="22">
    <w:abstractNumId w:val="25"/>
  </w:num>
  <w:num w:numId="23">
    <w:abstractNumId w:val="30"/>
  </w:num>
  <w:num w:numId="24">
    <w:abstractNumId w:val="1"/>
  </w:num>
  <w:num w:numId="25">
    <w:abstractNumId w:val="9"/>
  </w:num>
  <w:num w:numId="26">
    <w:abstractNumId w:val="16"/>
  </w:num>
  <w:num w:numId="27">
    <w:abstractNumId w:val="22"/>
  </w:num>
  <w:num w:numId="28">
    <w:abstractNumId w:val="33"/>
  </w:num>
  <w:num w:numId="29">
    <w:abstractNumId w:val="23"/>
  </w:num>
  <w:num w:numId="30">
    <w:abstractNumId w:val="31"/>
  </w:num>
  <w:num w:numId="31">
    <w:abstractNumId w:val="8"/>
  </w:num>
  <w:num w:numId="32">
    <w:abstractNumId w:val="4"/>
  </w:num>
  <w:num w:numId="33">
    <w:abstractNumId w:val="26"/>
  </w:num>
  <w:num w:numId="34">
    <w:abstractNumId w:val="24"/>
  </w:num>
  <w:num w:numId="35">
    <w:abstractNumId w:val="19"/>
  </w:num>
  <w:num w:numId="36">
    <w:abstractNumId w:val="7"/>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ett Cohen">
    <w15:presenceInfo w15:providerId="Windows Live" w15:userId="d8cf7c8899082c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A70"/>
    <w:rsid w:val="00020433"/>
    <w:rsid w:val="00021655"/>
    <w:rsid w:val="00024F0C"/>
    <w:rsid w:val="00026A2F"/>
    <w:rsid w:val="000347AB"/>
    <w:rsid w:val="000417B1"/>
    <w:rsid w:val="00045BFF"/>
    <w:rsid w:val="0004661C"/>
    <w:rsid w:val="00056F03"/>
    <w:rsid w:val="000623E3"/>
    <w:rsid w:val="00083C55"/>
    <w:rsid w:val="000927FF"/>
    <w:rsid w:val="0009286D"/>
    <w:rsid w:val="00095D70"/>
    <w:rsid w:val="0009665C"/>
    <w:rsid w:val="000A0053"/>
    <w:rsid w:val="000A0BC8"/>
    <w:rsid w:val="000B34F0"/>
    <w:rsid w:val="000B37CB"/>
    <w:rsid w:val="000B3850"/>
    <w:rsid w:val="000E34A3"/>
    <w:rsid w:val="000E5FA2"/>
    <w:rsid w:val="001227DD"/>
    <w:rsid w:val="00130027"/>
    <w:rsid w:val="00131B75"/>
    <w:rsid w:val="00137BF4"/>
    <w:rsid w:val="00151646"/>
    <w:rsid w:val="00182910"/>
    <w:rsid w:val="001A3146"/>
    <w:rsid w:val="001A7122"/>
    <w:rsid w:val="001B273F"/>
    <w:rsid w:val="001C3A70"/>
    <w:rsid w:val="001D2EFE"/>
    <w:rsid w:val="001D5908"/>
    <w:rsid w:val="001E5BD8"/>
    <w:rsid w:val="001E7B5F"/>
    <w:rsid w:val="001E7BCB"/>
    <w:rsid w:val="001F0028"/>
    <w:rsid w:val="001F38B2"/>
    <w:rsid w:val="00200FE5"/>
    <w:rsid w:val="002023FE"/>
    <w:rsid w:val="00202BAD"/>
    <w:rsid w:val="00216AE6"/>
    <w:rsid w:val="0022044E"/>
    <w:rsid w:val="0022163E"/>
    <w:rsid w:val="00247482"/>
    <w:rsid w:val="002520CE"/>
    <w:rsid w:val="002616B6"/>
    <w:rsid w:val="00271137"/>
    <w:rsid w:val="002A036C"/>
    <w:rsid w:val="002A56DB"/>
    <w:rsid w:val="002B0019"/>
    <w:rsid w:val="002B065A"/>
    <w:rsid w:val="002B2A99"/>
    <w:rsid w:val="002B74F0"/>
    <w:rsid w:val="002C1721"/>
    <w:rsid w:val="002C47E0"/>
    <w:rsid w:val="002C7BCB"/>
    <w:rsid w:val="002D049F"/>
    <w:rsid w:val="002D1764"/>
    <w:rsid w:val="002E0C09"/>
    <w:rsid w:val="002F3ACE"/>
    <w:rsid w:val="003032ED"/>
    <w:rsid w:val="00316C38"/>
    <w:rsid w:val="00316DEE"/>
    <w:rsid w:val="00321D7B"/>
    <w:rsid w:val="00324493"/>
    <w:rsid w:val="00335ACA"/>
    <w:rsid w:val="00337872"/>
    <w:rsid w:val="00357470"/>
    <w:rsid w:val="00361F64"/>
    <w:rsid w:val="00381E63"/>
    <w:rsid w:val="003822DD"/>
    <w:rsid w:val="00395EA5"/>
    <w:rsid w:val="003A20E7"/>
    <w:rsid w:val="003B3F32"/>
    <w:rsid w:val="003D0821"/>
    <w:rsid w:val="00405521"/>
    <w:rsid w:val="00414AA9"/>
    <w:rsid w:val="004278A7"/>
    <w:rsid w:val="00446D5E"/>
    <w:rsid w:val="00451402"/>
    <w:rsid w:val="0046276E"/>
    <w:rsid w:val="004629D3"/>
    <w:rsid w:val="00462A65"/>
    <w:rsid w:val="0046529E"/>
    <w:rsid w:val="0046766A"/>
    <w:rsid w:val="004769F2"/>
    <w:rsid w:val="00477C7E"/>
    <w:rsid w:val="004836A4"/>
    <w:rsid w:val="00487AE6"/>
    <w:rsid w:val="0049428C"/>
    <w:rsid w:val="00495E1D"/>
    <w:rsid w:val="004B7880"/>
    <w:rsid w:val="004C2664"/>
    <w:rsid w:val="004C5C37"/>
    <w:rsid w:val="004D4957"/>
    <w:rsid w:val="004E01E1"/>
    <w:rsid w:val="004E41B9"/>
    <w:rsid w:val="004E4FB5"/>
    <w:rsid w:val="004E65E6"/>
    <w:rsid w:val="004F43B2"/>
    <w:rsid w:val="004F7C67"/>
    <w:rsid w:val="00523683"/>
    <w:rsid w:val="00531D6D"/>
    <w:rsid w:val="00536DC3"/>
    <w:rsid w:val="00541D73"/>
    <w:rsid w:val="005678FE"/>
    <w:rsid w:val="00584EB9"/>
    <w:rsid w:val="00585A23"/>
    <w:rsid w:val="005A5CA0"/>
    <w:rsid w:val="005D15DA"/>
    <w:rsid w:val="005E4EF9"/>
    <w:rsid w:val="005E5187"/>
    <w:rsid w:val="005F0228"/>
    <w:rsid w:val="005F7B6C"/>
    <w:rsid w:val="00610706"/>
    <w:rsid w:val="00627E8C"/>
    <w:rsid w:val="00630083"/>
    <w:rsid w:val="00664BA1"/>
    <w:rsid w:val="00666268"/>
    <w:rsid w:val="0067370B"/>
    <w:rsid w:val="00687549"/>
    <w:rsid w:val="0069767B"/>
    <w:rsid w:val="006A19C6"/>
    <w:rsid w:val="006B235B"/>
    <w:rsid w:val="006B4D48"/>
    <w:rsid w:val="006B519F"/>
    <w:rsid w:val="006D4F00"/>
    <w:rsid w:val="006E016F"/>
    <w:rsid w:val="006E0FF0"/>
    <w:rsid w:val="006E4351"/>
    <w:rsid w:val="006E48EE"/>
    <w:rsid w:val="007109F1"/>
    <w:rsid w:val="007118D7"/>
    <w:rsid w:val="00715F8F"/>
    <w:rsid w:val="007329C4"/>
    <w:rsid w:val="00733CAF"/>
    <w:rsid w:val="00743C0B"/>
    <w:rsid w:val="00747FC4"/>
    <w:rsid w:val="00752F38"/>
    <w:rsid w:val="00756E15"/>
    <w:rsid w:val="007641A6"/>
    <w:rsid w:val="00765B63"/>
    <w:rsid w:val="00774DC9"/>
    <w:rsid w:val="007802E7"/>
    <w:rsid w:val="00785576"/>
    <w:rsid w:val="00792C8A"/>
    <w:rsid w:val="007B6C16"/>
    <w:rsid w:val="007C5D7B"/>
    <w:rsid w:val="007E2752"/>
    <w:rsid w:val="00804611"/>
    <w:rsid w:val="00805E5F"/>
    <w:rsid w:val="0081427E"/>
    <w:rsid w:val="008210AF"/>
    <w:rsid w:val="00822D2D"/>
    <w:rsid w:val="00826D5E"/>
    <w:rsid w:val="00827059"/>
    <w:rsid w:val="008515C5"/>
    <w:rsid w:val="00852860"/>
    <w:rsid w:val="0087186B"/>
    <w:rsid w:val="008805D5"/>
    <w:rsid w:val="00887398"/>
    <w:rsid w:val="00887AA4"/>
    <w:rsid w:val="008940FD"/>
    <w:rsid w:val="008973AE"/>
    <w:rsid w:val="008A3B20"/>
    <w:rsid w:val="008A4B65"/>
    <w:rsid w:val="008B0E68"/>
    <w:rsid w:val="008C4E1F"/>
    <w:rsid w:val="008D183A"/>
    <w:rsid w:val="008D6CA8"/>
    <w:rsid w:val="008E1A3D"/>
    <w:rsid w:val="008E46BE"/>
    <w:rsid w:val="008F0B6E"/>
    <w:rsid w:val="008F550A"/>
    <w:rsid w:val="009010F3"/>
    <w:rsid w:val="00901C58"/>
    <w:rsid w:val="00903EFA"/>
    <w:rsid w:val="009158EA"/>
    <w:rsid w:val="0091642E"/>
    <w:rsid w:val="00941684"/>
    <w:rsid w:val="009540B8"/>
    <w:rsid w:val="00956EB9"/>
    <w:rsid w:val="00961814"/>
    <w:rsid w:val="00965749"/>
    <w:rsid w:val="0097387F"/>
    <w:rsid w:val="0097538E"/>
    <w:rsid w:val="00975399"/>
    <w:rsid w:val="00977923"/>
    <w:rsid w:val="009858E8"/>
    <w:rsid w:val="009A07DE"/>
    <w:rsid w:val="009B5907"/>
    <w:rsid w:val="009B70A8"/>
    <w:rsid w:val="009D7C50"/>
    <w:rsid w:val="009E0DE2"/>
    <w:rsid w:val="009F426E"/>
    <w:rsid w:val="009F438C"/>
    <w:rsid w:val="00A009CA"/>
    <w:rsid w:val="00A12008"/>
    <w:rsid w:val="00A12EEC"/>
    <w:rsid w:val="00A2140B"/>
    <w:rsid w:val="00A24021"/>
    <w:rsid w:val="00A265B2"/>
    <w:rsid w:val="00A27D10"/>
    <w:rsid w:val="00A55D66"/>
    <w:rsid w:val="00A60625"/>
    <w:rsid w:val="00A61E79"/>
    <w:rsid w:val="00A645AC"/>
    <w:rsid w:val="00A650C9"/>
    <w:rsid w:val="00A678FF"/>
    <w:rsid w:val="00A73DA2"/>
    <w:rsid w:val="00A76C46"/>
    <w:rsid w:val="00A80A44"/>
    <w:rsid w:val="00A80F17"/>
    <w:rsid w:val="00A848F7"/>
    <w:rsid w:val="00A91AB0"/>
    <w:rsid w:val="00AA6679"/>
    <w:rsid w:val="00AB17B4"/>
    <w:rsid w:val="00AB6250"/>
    <w:rsid w:val="00AC0077"/>
    <w:rsid w:val="00AC26CC"/>
    <w:rsid w:val="00AF228D"/>
    <w:rsid w:val="00AF2487"/>
    <w:rsid w:val="00AF77B9"/>
    <w:rsid w:val="00B00DF4"/>
    <w:rsid w:val="00B03583"/>
    <w:rsid w:val="00B056F4"/>
    <w:rsid w:val="00B175D2"/>
    <w:rsid w:val="00B2336F"/>
    <w:rsid w:val="00B265F3"/>
    <w:rsid w:val="00B36376"/>
    <w:rsid w:val="00B44C9B"/>
    <w:rsid w:val="00B60637"/>
    <w:rsid w:val="00B64893"/>
    <w:rsid w:val="00B64F3A"/>
    <w:rsid w:val="00B6707B"/>
    <w:rsid w:val="00B710AA"/>
    <w:rsid w:val="00BB2E26"/>
    <w:rsid w:val="00BB5E92"/>
    <w:rsid w:val="00BB7E37"/>
    <w:rsid w:val="00BF31A3"/>
    <w:rsid w:val="00BF6211"/>
    <w:rsid w:val="00C00693"/>
    <w:rsid w:val="00C35E8F"/>
    <w:rsid w:val="00C36C95"/>
    <w:rsid w:val="00C36D0B"/>
    <w:rsid w:val="00C37716"/>
    <w:rsid w:val="00C452A2"/>
    <w:rsid w:val="00C47F73"/>
    <w:rsid w:val="00C517E3"/>
    <w:rsid w:val="00C538E9"/>
    <w:rsid w:val="00C6242D"/>
    <w:rsid w:val="00C62EEC"/>
    <w:rsid w:val="00C6742E"/>
    <w:rsid w:val="00C764C4"/>
    <w:rsid w:val="00C82C1F"/>
    <w:rsid w:val="00CB2622"/>
    <w:rsid w:val="00CB3F0D"/>
    <w:rsid w:val="00CC49E3"/>
    <w:rsid w:val="00CE2301"/>
    <w:rsid w:val="00CE6696"/>
    <w:rsid w:val="00CF0BB5"/>
    <w:rsid w:val="00CF4B39"/>
    <w:rsid w:val="00D10B50"/>
    <w:rsid w:val="00D257AD"/>
    <w:rsid w:val="00D26B3F"/>
    <w:rsid w:val="00D64C80"/>
    <w:rsid w:val="00D80132"/>
    <w:rsid w:val="00D8164B"/>
    <w:rsid w:val="00D94533"/>
    <w:rsid w:val="00DB0E02"/>
    <w:rsid w:val="00DB5768"/>
    <w:rsid w:val="00DD10F3"/>
    <w:rsid w:val="00DD515F"/>
    <w:rsid w:val="00DD676C"/>
    <w:rsid w:val="00DD6A76"/>
    <w:rsid w:val="00DE50CF"/>
    <w:rsid w:val="00DE6215"/>
    <w:rsid w:val="00E008F9"/>
    <w:rsid w:val="00E045A7"/>
    <w:rsid w:val="00E065DA"/>
    <w:rsid w:val="00E07D81"/>
    <w:rsid w:val="00E21DD5"/>
    <w:rsid w:val="00E30688"/>
    <w:rsid w:val="00E37213"/>
    <w:rsid w:val="00E4733D"/>
    <w:rsid w:val="00E50130"/>
    <w:rsid w:val="00E63643"/>
    <w:rsid w:val="00E70F5A"/>
    <w:rsid w:val="00E85A3C"/>
    <w:rsid w:val="00E878BA"/>
    <w:rsid w:val="00EA6A85"/>
    <w:rsid w:val="00EA6FEA"/>
    <w:rsid w:val="00EB6666"/>
    <w:rsid w:val="00EC4005"/>
    <w:rsid w:val="00EC461B"/>
    <w:rsid w:val="00ED52CD"/>
    <w:rsid w:val="00EE40B5"/>
    <w:rsid w:val="00EE654D"/>
    <w:rsid w:val="00EF589D"/>
    <w:rsid w:val="00F10297"/>
    <w:rsid w:val="00F12A74"/>
    <w:rsid w:val="00F175B1"/>
    <w:rsid w:val="00F229FD"/>
    <w:rsid w:val="00F3623D"/>
    <w:rsid w:val="00F4696F"/>
    <w:rsid w:val="00F6263D"/>
    <w:rsid w:val="00F655D4"/>
    <w:rsid w:val="00F72A22"/>
    <w:rsid w:val="00F7798B"/>
    <w:rsid w:val="00F80B26"/>
    <w:rsid w:val="00F8522F"/>
    <w:rsid w:val="00F96B09"/>
    <w:rsid w:val="00FA4C7D"/>
    <w:rsid w:val="00FB1B10"/>
    <w:rsid w:val="00FB285C"/>
    <w:rsid w:val="00FB732E"/>
    <w:rsid w:val="00FF2114"/>
    <w:rsid w:val="00FF233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166E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PGothic" w:hAnsi="Calibri" w:cs="Times New Roman"/>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A6A85"/>
    <w:pPr>
      <w:spacing w:after="180" w:line="360" w:lineRule="auto"/>
      <w:jc w:val="both"/>
    </w:pPr>
    <w:rPr>
      <w:rFonts w:ascii="Roboto Light" w:hAnsi="Roboto Light"/>
      <w:sz w:val="18"/>
      <w:szCs w:val="18"/>
    </w:rPr>
  </w:style>
  <w:style w:type="paragraph" w:styleId="Heading1">
    <w:name w:val="heading 1"/>
    <w:basedOn w:val="Normal"/>
    <w:next w:val="Normal"/>
    <w:link w:val="Heading1Char"/>
    <w:uiPriority w:val="9"/>
    <w:qFormat/>
    <w:rsid w:val="00DE50CF"/>
    <w:pPr>
      <w:keepNext/>
      <w:keepLines/>
      <w:numPr>
        <w:numId w:val="13"/>
      </w:numPr>
      <w:spacing w:after="360" w:line="240" w:lineRule="auto"/>
      <w:ind w:left="709" w:hanging="709"/>
      <w:outlineLvl w:val="0"/>
    </w:pPr>
    <w:rPr>
      <w:rFonts w:ascii="Roboto Condensed" w:hAnsi="Roboto Condensed"/>
      <w:bCs/>
      <w:caps/>
      <w:color w:val="75A712"/>
      <w:sz w:val="34"/>
      <w:szCs w:val="40"/>
    </w:rPr>
  </w:style>
  <w:style w:type="paragraph" w:styleId="Heading2">
    <w:name w:val="heading 2"/>
    <w:basedOn w:val="Normal"/>
    <w:next w:val="Normal"/>
    <w:link w:val="Heading2Char"/>
    <w:uiPriority w:val="9"/>
    <w:qFormat/>
    <w:rsid w:val="00DE50CF"/>
    <w:pPr>
      <w:keepNext/>
      <w:keepLines/>
      <w:numPr>
        <w:ilvl w:val="1"/>
        <w:numId w:val="13"/>
      </w:numPr>
      <w:spacing w:before="240" w:after="120"/>
      <w:outlineLvl w:val="1"/>
    </w:pPr>
    <w:rPr>
      <w:rFonts w:ascii="Roboto Condensed" w:hAnsi="Roboto Condensed"/>
      <w:bCs/>
      <w:color w:val="0D0D0D"/>
      <w:sz w:val="28"/>
      <w:szCs w:val="28"/>
    </w:rPr>
  </w:style>
  <w:style w:type="paragraph" w:styleId="Heading3">
    <w:name w:val="heading 3"/>
    <w:basedOn w:val="Normal"/>
    <w:next w:val="Normal"/>
    <w:link w:val="Heading3Char"/>
    <w:uiPriority w:val="9"/>
    <w:qFormat/>
    <w:rsid w:val="00E30688"/>
    <w:pPr>
      <w:keepNext/>
      <w:keepLines/>
      <w:numPr>
        <w:ilvl w:val="2"/>
        <w:numId w:val="13"/>
      </w:numPr>
      <w:spacing w:before="200"/>
      <w:outlineLvl w:val="2"/>
    </w:pPr>
    <w:rPr>
      <w:i/>
      <w:iCs/>
      <w:color w:val="000000"/>
      <w:sz w:val="24"/>
    </w:rPr>
  </w:style>
  <w:style w:type="paragraph" w:styleId="Heading4">
    <w:name w:val="heading 4"/>
    <w:basedOn w:val="Normal"/>
    <w:next w:val="Normal"/>
    <w:link w:val="Heading4Char"/>
    <w:uiPriority w:val="9"/>
    <w:qFormat/>
    <w:rsid w:val="00451402"/>
    <w:pPr>
      <w:keepNext/>
      <w:keepLines/>
      <w:numPr>
        <w:ilvl w:val="3"/>
        <w:numId w:val="13"/>
      </w:numPr>
      <w:spacing w:before="200"/>
      <w:outlineLvl w:val="3"/>
    </w:pPr>
    <w:rPr>
      <w:b/>
      <w:color w:val="94B953"/>
      <w:sz w:val="22"/>
      <w:szCs w:val="22"/>
    </w:rPr>
  </w:style>
  <w:style w:type="paragraph" w:styleId="Heading5">
    <w:name w:val="heading 5"/>
    <w:basedOn w:val="Normal"/>
    <w:next w:val="Normal"/>
    <w:link w:val="Heading5Char"/>
    <w:uiPriority w:val="9"/>
    <w:qFormat/>
    <w:rsid w:val="00E30688"/>
    <w:pPr>
      <w:keepNext/>
      <w:keepLines/>
      <w:numPr>
        <w:ilvl w:val="4"/>
        <w:numId w:val="13"/>
      </w:numPr>
      <w:spacing w:before="200"/>
      <w:outlineLvl w:val="4"/>
    </w:pPr>
    <w:rPr>
      <w:color w:val="000000"/>
      <w:sz w:val="20"/>
      <w:szCs w:val="20"/>
    </w:rPr>
  </w:style>
  <w:style w:type="paragraph" w:styleId="Heading6">
    <w:name w:val="heading 6"/>
    <w:basedOn w:val="Normal"/>
    <w:next w:val="Normal"/>
    <w:link w:val="Heading6Char"/>
    <w:uiPriority w:val="9"/>
    <w:qFormat/>
    <w:rsid w:val="00E30688"/>
    <w:pPr>
      <w:keepNext/>
      <w:keepLines/>
      <w:numPr>
        <w:ilvl w:val="5"/>
        <w:numId w:val="13"/>
      </w:numPr>
      <w:spacing w:before="200"/>
      <w:outlineLvl w:val="5"/>
    </w:pPr>
    <w:rPr>
      <w:i/>
      <w:iCs/>
      <w:color w:val="000000"/>
    </w:rPr>
  </w:style>
  <w:style w:type="paragraph" w:styleId="Heading7">
    <w:name w:val="heading 7"/>
    <w:basedOn w:val="Normal"/>
    <w:next w:val="Normal"/>
    <w:link w:val="Heading7Char"/>
    <w:uiPriority w:val="9"/>
    <w:semiHidden/>
    <w:unhideWhenUsed/>
    <w:qFormat/>
    <w:rsid w:val="00E30688"/>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0688"/>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0688"/>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E50CF"/>
    <w:rPr>
      <w:rFonts w:ascii="Roboto Condensed" w:hAnsi="Roboto Condensed"/>
      <w:bCs/>
      <w:caps/>
      <w:color w:val="75A712"/>
      <w:sz w:val="34"/>
      <w:szCs w:val="40"/>
    </w:rPr>
  </w:style>
  <w:style w:type="character" w:customStyle="1" w:styleId="Heading2Char">
    <w:name w:val="Heading 2 Char"/>
    <w:link w:val="Heading2"/>
    <w:uiPriority w:val="9"/>
    <w:rsid w:val="00DE50CF"/>
    <w:rPr>
      <w:rFonts w:ascii="Roboto Condensed" w:hAnsi="Roboto Condensed"/>
      <w:bCs/>
      <w:color w:val="0D0D0D"/>
      <w:sz w:val="28"/>
      <w:szCs w:val="28"/>
    </w:rPr>
  </w:style>
  <w:style w:type="character" w:customStyle="1" w:styleId="Heading3Char">
    <w:name w:val="Heading 3 Char"/>
    <w:link w:val="Heading3"/>
    <w:uiPriority w:val="9"/>
    <w:rsid w:val="00E30688"/>
    <w:rPr>
      <w:rFonts w:ascii="Arial" w:hAnsi="Arial"/>
      <w:i/>
      <w:iCs/>
      <w:color w:val="000000"/>
      <w:sz w:val="24"/>
      <w:szCs w:val="24"/>
    </w:rPr>
  </w:style>
  <w:style w:type="character" w:customStyle="1" w:styleId="Heading4Char">
    <w:name w:val="Heading 4 Char"/>
    <w:link w:val="Heading4"/>
    <w:uiPriority w:val="9"/>
    <w:rsid w:val="00451402"/>
    <w:rPr>
      <w:rFonts w:ascii="Roboto Light" w:hAnsi="Roboto Light"/>
      <w:b/>
      <w:color w:val="94B953"/>
      <w:sz w:val="22"/>
      <w:szCs w:val="22"/>
    </w:rPr>
  </w:style>
  <w:style w:type="character" w:customStyle="1" w:styleId="Heading5Char">
    <w:name w:val="Heading 5 Char"/>
    <w:link w:val="Heading5"/>
    <w:uiPriority w:val="9"/>
    <w:rsid w:val="00E30688"/>
    <w:rPr>
      <w:rFonts w:ascii="Arial" w:hAnsi="Arial"/>
      <w:color w:val="000000"/>
    </w:rPr>
  </w:style>
  <w:style w:type="character" w:customStyle="1" w:styleId="Heading6Char">
    <w:name w:val="Heading 6 Char"/>
    <w:link w:val="Heading6"/>
    <w:uiPriority w:val="9"/>
    <w:rsid w:val="00E30688"/>
    <w:rPr>
      <w:rFonts w:ascii="Arial" w:hAnsi="Arial"/>
      <w:i/>
      <w:iCs/>
      <w:color w:val="000000"/>
      <w:sz w:val="18"/>
      <w:szCs w:val="24"/>
    </w:rPr>
  </w:style>
  <w:style w:type="character" w:customStyle="1" w:styleId="Heading7Char">
    <w:name w:val="Heading 7 Char"/>
    <w:basedOn w:val="DefaultParagraphFont"/>
    <w:link w:val="Heading7"/>
    <w:uiPriority w:val="9"/>
    <w:semiHidden/>
    <w:rsid w:val="00E30688"/>
    <w:rPr>
      <w:rFonts w:asciiTheme="majorHAnsi" w:eastAsiaTheme="majorEastAsia" w:hAnsiTheme="majorHAnsi" w:cstheme="majorBidi"/>
      <w:i/>
      <w:iCs/>
      <w:color w:val="404040" w:themeColor="text1" w:themeTint="BF"/>
      <w:sz w:val="18"/>
      <w:szCs w:val="24"/>
    </w:rPr>
  </w:style>
  <w:style w:type="character" w:customStyle="1" w:styleId="Heading8Char">
    <w:name w:val="Heading 8 Char"/>
    <w:basedOn w:val="DefaultParagraphFont"/>
    <w:link w:val="Heading8"/>
    <w:uiPriority w:val="9"/>
    <w:semiHidden/>
    <w:rsid w:val="00E3068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E30688"/>
    <w:rPr>
      <w:rFonts w:asciiTheme="majorHAnsi" w:eastAsiaTheme="majorEastAsia" w:hAnsiTheme="majorHAnsi" w:cstheme="majorBidi"/>
      <w:i/>
      <w:iCs/>
      <w:color w:val="404040" w:themeColor="text1" w:themeTint="BF"/>
    </w:rPr>
  </w:style>
  <w:style w:type="paragraph" w:customStyle="1" w:styleId="GHBodytextindent2">
    <w:name w:val="GH_Body text indent 2"/>
    <w:basedOn w:val="Normal"/>
    <w:qFormat/>
    <w:rsid w:val="003731BB"/>
    <w:pPr>
      <w:tabs>
        <w:tab w:val="left" w:pos="7180"/>
      </w:tabs>
      <w:ind w:left="1134"/>
    </w:pPr>
  </w:style>
  <w:style w:type="paragraph" w:customStyle="1" w:styleId="GHTableH2">
    <w:name w:val="GH_Table H2"/>
    <w:qFormat/>
    <w:rsid w:val="001A63F2"/>
    <w:pPr>
      <w:spacing w:before="120" w:after="120"/>
      <w:jc w:val="center"/>
    </w:pPr>
    <w:rPr>
      <w:rFonts w:ascii="Arial" w:hAnsi="Arial"/>
      <w:b/>
      <w:bCs/>
      <w:sz w:val="16"/>
      <w:szCs w:val="16"/>
    </w:rPr>
  </w:style>
  <w:style w:type="character" w:styleId="Hyperlink">
    <w:name w:val="Hyperlink"/>
    <w:uiPriority w:val="99"/>
    <w:unhideWhenUsed/>
    <w:rsid w:val="00AD4023"/>
    <w:rPr>
      <w:rFonts w:ascii="Arial" w:hAnsi="Arial"/>
      <w:color w:val="0000FF"/>
      <w:sz w:val="18"/>
      <w:u w:val="single"/>
    </w:rPr>
  </w:style>
  <w:style w:type="paragraph" w:styleId="Header">
    <w:name w:val="header"/>
    <w:basedOn w:val="Normal"/>
    <w:link w:val="HeaderChar"/>
    <w:uiPriority w:val="99"/>
    <w:unhideWhenUsed/>
    <w:rsid w:val="00DF37E2"/>
    <w:pPr>
      <w:tabs>
        <w:tab w:val="center" w:pos="4320"/>
        <w:tab w:val="right" w:pos="8640"/>
      </w:tabs>
      <w:spacing w:line="240" w:lineRule="auto"/>
    </w:pPr>
  </w:style>
  <w:style w:type="character" w:customStyle="1" w:styleId="HeaderChar">
    <w:name w:val="Header Char"/>
    <w:link w:val="Header"/>
    <w:uiPriority w:val="99"/>
    <w:rsid w:val="00DF37E2"/>
    <w:rPr>
      <w:rFonts w:ascii="Arial" w:hAnsi="Arial"/>
      <w:sz w:val="18"/>
    </w:rPr>
  </w:style>
  <w:style w:type="paragraph" w:styleId="Footer">
    <w:name w:val="footer"/>
    <w:basedOn w:val="Normal"/>
    <w:link w:val="FooterChar"/>
    <w:uiPriority w:val="99"/>
    <w:unhideWhenUsed/>
    <w:qFormat/>
    <w:rsid w:val="00DF37E2"/>
    <w:pPr>
      <w:tabs>
        <w:tab w:val="center" w:pos="4320"/>
        <w:tab w:val="right" w:pos="8640"/>
      </w:tabs>
      <w:jc w:val="right"/>
    </w:pPr>
    <w:rPr>
      <w:caps/>
      <w:sz w:val="14"/>
      <w:szCs w:val="14"/>
    </w:rPr>
  </w:style>
  <w:style w:type="character" w:customStyle="1" w:styleId="FooterChar">
    <w:name w:val="Footer Char"/>
    <w:link w:val="Footer"/>
    <w:uiPriority w:val="99"/>
    <w:rsid w:val="00DF37E2"/>
    <w:rPr>
      <w:rFonts w:ascii="Arial" w:hAnsi="Arial"/>
      <w:caps/>
      <w:sz w:val="14"/>
      <w:szCs w:val="14"/>
    </w:rPr>
  </w:style>
  <w:style w:type="paragraph" w:styleId="BalloonText">
    <w:name w:val="Balloon Text"/>
    <w:basedOn w:val="Normal"/>
    <w:link w:val="BalloonTextChar"/>
    <w:uiPriority w:val="99"/>
    <w:semiHidden/>
    <w:unhideWhenUsed/>
    <w:rsid w:val="005E4EF9"/>
    <w:pPr>
      <w:spacing w:after="0" w:line="240" w:lineRule="auto"/>
    </w:pPr>
    <w:rPr>
      <w:rFonts w:ascii="Lucida Grande" w:hAnsi="Lucida Grande" w:cs="Lucida Grande"/>
    </w:rPr>
  </w:style>
  <w:style w:type="character" w:customStyle="1" w:styleId="BalloonTextChar">
    <w:name w:val="Balloon Text Char"/>
    <w:basedOn w:val="DefaultParagraphFont"/>
    <w:link w:val="BalloonText"/>
    <w:uiPriority w:val="99"/>
    <w:semiHidden/>
    <w:rsid w:val="005E4EF9"/>
    <w:rPr>
      <w:rFonts w:ascii="Lucida Grande" w:hAnsi="Lucida Grande" w:cs="Lucida Grande"/>
      <w:sz w:val="18"/>
      <w:szCs w:val="18"/>
    </w:rPr>
  </w:style>
  <w:style w:type="paragraph" w:customStyle="1" w:styleId="GHIntrotext">
    <w:name w:val="GH_Intro text"/>
    <w:basedOn w:val="Normal"/>
    <w:qFormat/>
    <w:rsid w:val="00C764C4"/>
    <w:pPr>
      <w:spacing w:before="100" w:beforeAutospacing="1"/>
      <w:ind w:left="57"/>
    </w:pPr>
    <w:rPr>
      <w:sz w:val="22"/>
    </w:rPr>
  </w:style>
  <w:style w:type="paragraph" w:customStyle="1" w:styleId="GHDisclaimertext">
    <w:name w:val="GH_Disclaimer text"/>
    <w:basedOn w:val="Normal"/>
    <w:qFormat/>
    <w:rsid w:val="00D363AB"/>
    <w:rPr>
      <w:sz w:val="12"/>
    </w:rPr>
  </w:style>
  <w:style w:type="paragraph" w:customStyle="1" w:styleId="GHNumbering">
    <w:name w:val="GH_Numbering"/>
    <w:basedOn w:val="GHBullet2"/>
    <w:qFormat/>
    <w:rsid w:val="00EF589D"/>
    <w:pPr>
      <w:numPr>
        <w:numId w:val="5"/>
      </w:numPr>
      <w:ind w:left="851"/>
    </w:pPr>
    <w:rPr>
      <w:rFonts w:ascii="Roboto Condensed Light" w:hAnsi="Roboto Condensed Light"/>
    </w:rPr>
  </w:style>
  <w:style w:type="paragraph" w:customStyle="1" w:styleId="GHBullet2">
    <w:name w:val="GH_Bullet 2"/>
    <w:basedOn w:val="Normal"/>
    <w:qFormat/>
    <w:rsid w:val="005E4EF9"/>
    <w:pPr>
      <w:numPr>
        <w:numId w:val="3"/>
      </w:numPr>
      <w:tabs>
        <w:tab w:val="left" w:pos="1213"/>
      </w:tabs>
      <w:contextualSpacing/>
    </w:pPr>
  </w:style>
  <w:style w:type="paragraph" w:customStyle="1" w:styleId="GHBullet1">
    <w:name w:val="GH_Bullet 1"/>
    <w:basedOn w:val="Normal"/>
    <w:qFormat/>
    <w:rsid w:val="005E4EF9"/>
    <w:pPr>
      <w:numPr>
        <w:numId w:val="4"/>
      </w:numPr>
    </w:pPr>
  </w:style>
  <w:style w:type="paragraph" w:styleId="ListParagraph">
    <w:name w:val="List Paragraph"/>
    <w:basedOn w:val="Normal"/>
    <w:uiPriority w:val="34"/>
    <w:qFormat/>
    <w:rsid w:val="00021655"/>
    <w:pPr>
      <w:ind w:left="720"/>
      <w:contextualSpacing/>
    </w:pPr>
  </w:style>
  <w:style w:type="character" w:styleId="SubtleEmphasis">
    <w:name w:val="Subtle Emphasis"/>
    <w:uiPriority w:val="19"/>
    <w:rsid w:val="00DF37E2"/>
    <w:rPr>
      <w:rFonts w:ascii="Arial" w:hAnsi="Arial"/>
      <w:i/>
      <w:iCs/>
      <w:color w:val="808080"/>
      <w:sz w:val="18"/>
    </w:rPr>
  </w:style>
  <w:style w:type="paragraph" w:customStyle="1" w:styleId="GHSubtitle">
    <w:name w:val="GH_Subtitle"/>
    <w:basedOn w:val="Normal"/>
    <w:next w:val="Normal"/>
    <w:qFormat/>
    <w:rsid w:val="00451402"/>
    <w:rPr>
      <w:rFonts w:ascii="Roboto Condensed Light" w:hAnsi="Roboto Condensed Light"/>
      <w:color w:val="94B953"/>
      <w:sz w:val="28"/>
      <w:szCs w:val="28"/>
    </w:rPr>
  </w:style>
  <w:style w:type="character" w:styleId="Strong">
    <w:name w:val="Strong"/>
    <w:uiPriority w:val="22"/>
    <w:rsid w:val="00D22923"/>
    <w:rPr>
      <w:rFonts w:ascii="Arial" w:hAnsi="Arial"/>
      <w:b/>
      <w:bCs/>
      <w:sz w:val="18"/>
    </w:rPr>
  </w:style>
  <w:style w:type="character" w:styleId="Emphasis">
    <w:name w:val="Emphasis"/>
    <w:aliases w:val="GH"/>
    <w:uiPriority w:val="20"/>
    <w:rsid w:val="00D22923"/>
    <w:rPr>
      <w:rFonts w:ascii="Arial" w:hAnsi="Arial"/>
      <w:i/>
      <w:iCs/>
      <w:sz w:val="18"/>
    </w:rPr>
  </w:style>
  <w:style w:type="character" w:styleId="IntenseEmphasis">
    <w:name w:val="Intense Emphasis"/>
    <w:uiPriority w:val="21"/>
    <w:rsid w:val="00D22923"/>
    <w:rPr>
      <w:rFonts w:ascii="Arial" w:hAnsi="Arial"/>
      <w:b/>
      <w:bCs/>
      <w:i/>
      <w:iCs/>
      <w:color w:val="000000"/>
      <w:sz w:val="18"/>
      <w:szCs w:val="18"/>
    </w:rPr>
  </w:style>
  <w:style w:type="table" w:styleId="TableGrid">
    <w:name w:val="Table Grid"/>
    <w:basedOn w:val="TableNormal"/>
    <w:uiPriority w:val="59"/>
    <w:rsid w:val="00D22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HBodytextindent">
    <w:name w:val="GH_Body text indent"/>
    <w:basedOn w:val="Normal"/>
    <w:qFormat/>
    <w:rsid w:val="005E4EF9"/>
    <w:pPr>
      <w:tabs>
        <w:tab w:val="left" w:pos="7180"/>
      </w:tabs>
      <w:ind w:left="567"/>
    </w:pPr>
  </w:style>
  <w:style w:type="paragraph" w:customStyle="1" w:styleId="GHFeaturedlist">
    <w:name w:val="GH_Featured list"/>
    <w:basedOn w:val="Normal"/>
    <w:qFormat/>
    <w:rsid w:val="00D26B3F"/>
    <w:pPr>
      <w:numPr>
        <w:numId w:val="2"/>
      </w:numPr>
      <w:contextualSpacing/>
    </w:pPr>
  </w:style>
  <w:style w:type="paragraph" w:customStyle="1" w:styleId="GHNumerals">
    <w:name w:val="GH_Numerals"/>
    <w:basedOn w:val="Normal"/>
    <w:qFormat/>
    <w:rsid w:val="005E4EF9"/>
    <w:pPr>
      <w:numPr>
        <w:numId w:val="6"/>
      </w:numPr>
      <w:tabs>
        <w:tab w:val="left" w:pos="284"/>
        <w:tab w:val="left" w:pos="7180"/>
      </w:tabs>
      <w:ind w:left="1497" w:hanging="284"/>
      <w:contextualSpacing/>
    </w:pPr>
  </w:style>
  <w:style w:type="character" w:styleId="PageNumber">
    <w:name w:val="page number"/>
    <w:basedOn w:val="DefaultParagraphFont"/>
    <w:uiPriority w:val="99"/>
    <w:unhideWhenUsed/>
    <w:rsid w:val="00903EFA"/>
    <w:rPr>
      <w:rFonts w:ascii="Arial" w:hAnsi="Arial"/>
      <w:sz w:val="14"/>
    </w:rPr>
  </w:style>
  <w:style w:type="paragraph" w:customStyle="1" w:styleId="GHTableH1">
    <w:name w:val="GH_Table H1"/>
    <w:basedOn w:val="Normal"/>
    <w:qFormat/>
    <w:rsid w:val="00536DC3"/>
    <w:pPr>
      <w:keepNext/>
      <w:spacing w:before="60" w:after="60" w:line="240" w:lineRule="auto"/>
      <w:jc w:val="left"/>
    </w:pPr>
    <w:rPr>
      <w:rFonts w:ascii="Roboto Condensed" w:eastAsia="Calibri" w:hAnsi="Roboto Condensed" w:cs="Calibri"/>
      <w:bCs/>
      <w:lang w:eastAsia="ja-JP"/>
    </w:rPr>
  </w:style>
  <w:style w:type="paragraph" w:styleId="Caption">
    <w:name w:val="caption"/>
    <w:basedOn w:val="Normal"/>
    <w:next w:val="Normal"/>
    <w:uiPriority w:val="99"/>
    <w:qFormat/>
    <w:rsid w:val="00026A2F"/>
    <w:pPr>
      <w:keepNext/>
      <w:spacing w:after="120"/>
    </w:pPr>
    <w:rPr>
      <w:rFonts w:ascii="Roboto" w:eastAsia="Cambria" w:hAnsi="Roboto" w:cs="Cambria"/>
      <w:lang w:eastAsia="ja-JP"/>
    </w:rPr>
  </w:style>
  <w:style w:type="paragraph" w:styleId="NormalIndent">
    <w:name w:val="Normal Indent"/>
    <w:basedOn w:val="Normal"/>
    <w:uiPriority w:val="99"/>
    <w:semiHidden/>
    <w:unhideWhenUsed/>
    <w:rsid w:val="00447699"/>
    <w:pPr>
      <w:ind w:left="720"/>
    </w:pPr>
  </w:style>
  <w:style w:type="paragraph" w:customStyle="1" w:styleId="GHFigure">
    <w:name w:val="GH_Figure"/>
    <w:basedOn w:val="Caption"/>
    <w:next w:val="Normal"/>
    <w:rsid w:val="00D05AE3"/>
    <w:pPr>
      <w:pBdr>
        <w:top w:val="single" w:sz="2" w:space="1" w:color="808080"/>
      </w:pBdr>
      <w:spacing w:before="60"/>
      <w:jc w:val="left"/>
    </w:pPr>
    <w:rPr>
      <w:rFonts w:eastAsia="Calibri"/>
    </w:rPr>
  </w:style>
  <w:style w:type="paragraph" w:styleId="Title">
    <w:name w:val="Title"/>
    <w:basedOn w:val="Normal"/>
    <w:next w:val="Normal"/>
    <w:link w:val="TitleChar"/>
    <w:uiPriority w:val="10"/>
    <w:rsid w:val="005E4EF9"/>
    <w:pPr>
      <w:spacing w:before="120" w:after="120" w:line="240" w:lineRule="auto"/>
      <w:ind w:left="1134" w:hanging="567"/>
      <w:contextualSpacing/>
    </w:pPr>
    <w:rPr>
      <w:b/>
      <w:bCs/>
      <w:caps/>
      <w:color w:val="75A712"/>
      <w:spacing w:val="5"/>
      <w:kern w:val="28"/>
      <w:sz w:val="34"/>
      <w:szCs w:val="28"/>
    </w:rPr>
  </w:style>
  <w:style w:type="character" w:customStyle="1" w:styleId="TitleChar">
    <w:name w:val="Title Char"/>
    <w:link w:val="Title"/>
    <w:uiPriority w:val="10"/>
    <w:rsid w:val="00703494"/>
    <w:rPr>
      <w:rFonts w:ascii="Arial" w:eastAsia="MS PGothic" w:hAnsi="Arial" w:cs="Times New Roman"/>
      <w:b/>
      <w:bCs/>
      <w:caps/>
      <w:color w:val="75A712"/>
      <w:spacing w:val="5"/>
      <w:kern w:val="28"/>
      <w:sz w:val="34"/>
      <w:szCs w:val="28"/>
    </w:rPr>
  </w:style>
  <w:style w:type="paragraph" w:customStyle="1" w:styleId="GHTermsandconditions">
    <w:name w:val="GH_Terms and conditions"/>
    <w:basedOn w:val="Normal"/>
    <w:next w:val="GHTermsandConditionstext"/>
    <w:rsid w:val="005E4EF9"/>
    <w:pPr>
      <w:pBdr>
        <w:bottom w:val="single" w:sz="8" w:space="1" w:color="75A712"/>
      </w:pBdr>
      <w:spacing w:line="240" w:lineRule="auto"/>
      <w:ind w:left="567" w:hanging="567"/>
    </w:pPr>
    <w:rPr>
      <w:color w:val="75A712"/>
      <w:sz w:val="28"/>
    </w:rPr>
  </w:style>
  <w:style w:type="paragraph" w:customStyle="1" w:styleId="GHTermsandConditionstext">
    <w:name w:val="GH_Terms and Conditions text"/>
    <w:basedOn w:val="Normal"/>
    <w:qFormat/>
    <w:rsid w:val="00220F50"/>
    <w:pPr>
      <w:numPr>
        <w:numId w:val="11"/>
      </w:numPr>
      <w:spacing w:after="160" w:line="240" w:lineRule="auto"/>
    </w:pPr>
    <w:rPr>
      <w:sz w:val="15"/>
      <w:szCs w:val="16"/>
    </w:rPr>
  </w:style>
  <w:style w:type="paragraph" w:styleId="FootnoteText">
    <w:name w:val="footnote text"/>
    <w:basedOn w:val="Normal"/>
    <w:link w:val="FootnoteTextChar"/>
    <w:uiPriority w:val="99"/>
    <w:rsid w:val="00A265B2"/>
    <w:pPr>
      <w:keepNext/>
      <w:keepLines/>
      <w:spacing w:line="240" w:lineRule="auto"/>
      <w:contextualSpacing/>
    </w:pPr>
    <w:rPr>
      <w:rFonts w:ascii="Roboto Condensed Light" w:eastAsia="Cambria" w:hAnsi="Roboto Condensed Light"/>
      <w:sz w:val="16"/>
      <w:szCs w:val="20"/>
      <w:lang w:val="en-ZA"/>
    </w:rPr>
  </w:style>
  <w:style w:type="character" w:customStyle="1" w:styleId="FootnoteTextChar">
    <w:name w:val="Footnote Text Char"/>
    <w:link w:val="FootnoteText"/>
    <w:uiPriority w:val="99"/>
    <w:rsid w:val="00A265B2"/>
    <w:rPr>
      <w:rFonts w:ascii="Roboto Condensed Light" w:eastAsia="Cambria" w:hAnsi="Roboto Condensed Light"/>
      <w:sz w:val="16"/>
      <w:szCs w:val="20"/>
      <w:lang w:val="en-ZA"/>
    </w:rPr>
  </w:style>
  <w:style w:type="character" w:styleId="FootnoteReference">
    <w:name w:val="footnote reference"/>
    <w:uiPriority w:val="99"/>
    <w:rsid w:val="00D05AE3"/>
    <w:rPr>
      <w:rFonts w:cs="Times New Roman"/>
      <w:vertAlign w:val="superscript"/>
    </w:rPr>
  </w:style>
  <w:style w:type="paragraph" w:customStyle="1" w:styleId="GHTableheading2">
    <w:name w:val="GH_Table heading 2"/>
    <w:basedOn w:val="Normal"/>
    <w:rsid w:val="003F61CA"/>
    <w:pPr>
      <w:pBdr>
        <w:bottom w:val="single" w:sz="2" w:space="1" w:color="808080"/>
      </w:pBdr>
      <w:spacing w:before="120" w:after="120"/>
      <w:ind w:left="284" w:right="284"/>
      <w:jc w:val="right"/>
    </w:pPr>
    <w:rPr>
      <w:b/>
      <w:bCs/>
      <w:caps/>
    </w:rPr>
  </w:style>
  <w:style w:type="paragraph" w:customStyle="1" w:styleId="GHHighlight">
    <w:name w:val="GH_Highlight"/>
    <w:basedOn w:val="Normal"/>
    <w:qFormat/>
    <w:rsid w:val="002115A3"/>
    <w:pPr>
      <w:shd w:val="clear" w:color="auto" w:fill="C1E68D"/>
    </w:pPr>
  </w:style>
  <w:style w:type="paragraph" w:styleId="TOC4">
    <w:name w:val="toc 4"/>
    <w:basedOn w:val="Normal"/>
    <w:next w:val="Normal"/>
    <w:autoRedefine/>
    <w:uiPriority w:val="39"/>
    <w:semiHidden/>
    <w:unhideWhenUsed/>
    <w:rsid w:val="00A81BAE"/>
    <w:rPr>
      <w:rFonts w:ascii="Calibri" w:hAnsi="Calibri"/>
      <w:sz w:val="22"/>
      <w:szCs w:val="22"/>
    </w:rPr>
  </w:style>
  <w:style w:type="paragraph" w:styleId="TOC5">
    <w:name w:val="toc 5"/>
    <w:basedOn w:val="Normal"/>
    <w:next w:val="Normal"/>
    <w:autoRedefine/>
    <w:uiPriority w:val="39"/>
    <w:semiHidden/>
    <w:unhideWhenUsed/>
    <w:rsid w:val="00A81BAE"/>
    <w:rPr>
      <w:rFonts w:ascii="Calibri" w:hAnsi="Calibri"/>
      <w:sz w:val="22"/>
      <w:szCs w:val="22"/>
    </w:rPr>
  </w:style>
  <w:style w:type="paragraph" w:styleId="TOC6">
    <w:name w:val="toc 6"/>
    <w:basedOn w:val="Normal"/>
    <w:next w:val="Normal"/>
    <w:autoRedefine/>
    <w:uiPriority w:val="39"/>
    <w:semiHidden/>
    <w:unhideWhenUsed/>
    <w:rsid w:val="00A81BAE"/>
    <w:rPr>
      <w:rFonts w:ascii="Calibri" w:hAnsi="Calibri"/>
      <w:sz w:val="22"/>
      <w:szCs w:val="22"/>
    </w:rPr>
  </w:style>
  <w:style w:type="paragraph" w:styleId="TOC7">
    <w:name w:val="toc 7"/>
    <w:basedOn w:val="Normal"/>
    <w:next w:val="Normal"/>
    <w:autoRedefine/>
    <w:uiPriority w:val="39"/>
    <w:semiHidden/>
    <w:unhideWhenUsed/>
    <w:rsid w:val="00A81BAE"/>
    <w:rPr>
      <w:rFonts w:ascii="Calibri" w:hAnsi="Calibri"/>
      <w:sz w:val="22"/>
      <w:szCs w:val="22"/>
    </w:rPr>
  </w:style>
  <w:style w:type="paragraph" w:styleId="TOC8">
    <w:name w:val="toc 8"/>
    <w:basedOn w:val="Normal"/>
    <w:next w:val="Normal"/>
    <w:autoRedefine/>
    <w:uiPriority w:val="39"/>
    <w:semiHidden/>
    <w:unhideWhenUsed/>
    <w:rsid w:val="00A81BAE"/>
    <w:rPr>
      <w:rFonts w:ascii="Calibri" w:hAnsi="Calibri"/>
      <w:sz w:val="22"/>
      <w:szCs w:val="22"/>
    </w:rPr>
  </w:style>
  <w:style w:type="paragraph" w:styleId="TOC9">
    <w:name w:val="toc 9"/>
    <w:basedOn w:val="Normal"/>
    <w:next w:val="Normal"/>
    <w:autoRedefine/>
    <w:uiPriority w:val="39"/>
    <w:semiHidden/>
    <w:unhideWhenUsed/>
    <w:rsid w:val="00A81BAE"/>
    <w:rPr>
      <w:rFonts w:ascii="Calibri" w:hAnsi="Calibri"/>
      <w:sz w:val="22"/>
      <w:szCs w:val="22"/>
    </w:rPr>
  </w:style>
  <w:style w:type="paragraph" w:customStyle="1" w:styleId="GHTOCHeading1">
    <w:name w:val="GH_TOC Heading 1"/>
    <w:basedOn w:val="Normal"/>
    <w:rsid w:val="005E4EF9"/>
    <w:pPr>
      <w:pBdr>
        <w:bottom w:val="single" w:sz="4" w:space="1" w:color="75A712"/>
      </w:pBdr>
      <w:spacing w:line="240" w:lineRule="auto"/>
    </w:pPr>
    <w:rPr>
      <w:bCs/>
      <w:color w:val="75A712"/>
      <w:sz w:val="28"/>
      <w:szCs w:val="28"/>
    </w:rPr>
  </w:style>
  <w:style w:type="paragraph" w:customStyle="1" w:styleId="GHTOC1">
    <w:name w:val="GH_TOC 1"/>
    <w:basedOn w:val="Normal"/>
    <w:qFormat/>
    <w:rsid w:val="00DF37E2"/>
    <w:pPr>
      <w:tabs>
        <w:tab w:val="left" w:pos="567"/>
        <w:tab w:val="right" w:pos="8963"/>
      </w:tabs>
      <w:spacing w:before="240"/>
    </w:pPr>
    <w:rPr>
      <w:rFonts w:cs="Arial"/>
      <w:b/>
      <w:bCs/>
      <w:noProof/>
      <w:color w:val="000000"/>
      <w:lang w:eastAsia="ja-JP"/>
    </w:rPr>
  </w:style>
  <w:style w:type="paragraph" w:customStyle="1" w:styleId="GHTOC2">
    <w:name w:val="GH_TOC 2"/>
    <w:basedOn w:val="Normal"/>
    <w:qFormat/>
    <w:rsid w:val="00DF37E2"/>
    <w:pPr>
      <w:numPr>
        <w:numId w:val="9"/>
      </w:numPr>
      <w:tabs>
        <w:tab w:val="left" w:pos="567"/>
        <w:tab w:val="right" w:pos="8963"/>
      </w:tabs>
      <w:ind w:left="0" w:firstLine="0"/>
    </w:pPr>
    <w:rPr>
      <w:rFonts w:cs="Arial"/>
      <w:i/>
      <w:noProof/>
    </w:rPr>
  </w:style>
  <w:style w:type="paragraph" w:customStyle="1" w:styleId="GHTOC4">
    <w:name w:val="GH_TOC 4"/>
    <w:basedOn w:val="Normal"/>
    <w:qFormat/>
    <w:rsid w:val="005E4EF9"/>
    <w:pPr>
      <w:tabs>
        <w:tab w:val="right" w:pos="8964"/>
      </w:tabs>
    </w:pPr>
    <w:rPr>
      <w:i/>
      <w:iCs/>
    </w:rPr>
  </w:style>
  <w:style w:type="paragraph" w:customStyle="1" w:styleId="GHTOC3">
    <w:name w:val="GH_TOC 3"/>
    <w:basedOn w:val="Normal"/>
    <w:qFormat/>
    <w:rsid w:val="00DF37E2"/>
    <w:pPr>
      <w:numPr>
        <w:numId w:val="10"/>
      </w:numPr>
      <w:tabs>
        <w:tab w:val="left" w:pos="567"/>
        <w:tab w:val="right" w:pos="8964"/>
      </w:tabs>
    </w:pPr>
    <w:rPr>
      <w:i/>
      <w:iCs/>
    </w:rPr>
  </w:style>
  <w:style w:type="paragraph" w:customStyle="1" w:styleId="GHTOC5">
    <w:name w:val="GH_TOC 5"/>
    <w:basedOn w:val="Normal"/>
    <w:qFormat/>
    <w:rsid w:val="00DF37E2"/>
    <w:pPr>
      <w:tabs>
        <w:tab w:val="right" w:pos="8963"/>
      </w:tabs>
      <w:spacing w:before="240" w:after="120"/>
    </w:pPr>
    <w:rPr>
      <w:rFonts w:cs="Arial"/>
      <w:b/>
      <w:bCs/>
      <w:i/>
      <w:noProof/>
      <w:color w:val="000000"/>
    </w:rPr>
  </w:style>
  <w:style w:type="paragraph" w:customStyle="1" w:styleId="GHTOC6">
    <w:name w:val="GH_TOC 6"/>
    <w:basedOn w:val="Normal"/>
    <w:qFormat/>
    <w:rsid w:val="00DF37E2"/>
    <w:pPr>
      <w:tabs>
        <w:tab w:val="left" w:pos="421"/>
        <w:tab w:val="right" w:pos="8963"/>
      </w:tabs>
      <w:ind w:left="1134" w:hanging="567"/>
    </w:pPr>
    <w:rPr>
      <w:rFonts w:cs="Arial"/>
      <w:i/>
      <w:noProof/>
    </w:rPr>
  </w:style>
  <w:style w:type="paragraph" w:customStyle="1" w:styleId="GHTableBody">
    <w:name w:val="GH_Table Body"/>
    <w:basedOn w:val="Normal"/>
    <w:qFormat/>
    <w:rsid w:val="006D4F00"/>
    <w:pPr>
      <w:spacing w:before="60" w:after="60" w:line="240" w:lineRule="auto"/>
      <w:jc w:val="left"/>
    </w:pPr>
    <w:rPr>
      <w:sz w:val="16"/>
    </w:rPr>
  </w:style>
  <w:style w:type="paragraph" w:styleId="IntenseQuote">
    <w:name w:val="Intense Quote"/>
    <w:basedOn w:val="Normal"/>
    <w:next w:val="Normal"/>
    <w:link w:val="IntenseQuoteChar"/>
    <w:uiPriority w:val="30"/>
    <w:qFormat/>
    <w:rsid w:val="00CF1954"/>
    <w:pPr>
      <w:pBdr>
        <w:bottom w:val="single" w:sz="4" w:space="4" w:color="000000"/>
      </w:pBdr>
      <w:spacing w:before="200" w:after="280"/>
      <w:ind w:left="936" w:right="936"/>
    </w:pPr>
    <w:rPr>
      <w:b/>
      <w:bCs/>
      <w:i/>
      <w:iCs/>
    </w:rPr>
  </w:style>
  <w:style w:type="character" w:customStyle="1" w:styleId="IntenseQuoteChar">
    <w:name w:val="Intense Quote Char"/>
    <w:link w:val="IntenseQuote"/>
    <w:uiPriority w:val="30"/>
    <w:rsid w:val="00CF1954"/>
    <w:rPr>
      <w:rFonts w:ascii="Arial" w:hAnsi="Arial"/>
      <w:b/>
      <w:bCs/>
      <w:i/>
      <w:iCs/>
      <w:sz w:val="18"/>
    </w:rPr>
  </w:style>
  <w:style w:type="character" w:styleId="IntenseReference">
    <w:name w:val="Intense Reference"/>
    <w:uiPriority w:val="32"/>
    <w:rsid w:val="00CF1954"/>
    <w:rPr>
      <w:rFonts w:ascii="Arial" w:hAnsi="Arial"/>
      <w:b/>
      <w:bCs/>
      <w:caps w:val="0"/>
      <w:smallCaps w:val="0"/>
      <w:strike w:val="0"/>
      <w:dstrike w:val="0"/>
      <w:vanish/>
      <w:color w:val="auto"/>
      <w:spacing w:val="5"/>
      <w:sz w:val="18"/>
      <w:szCs w:val="18"/>
      <w:u w:val="single"/>
      <w:vertAlign w:val="baseline"/>
    </w:rPr>
  </w:style>
  <w:style w:type="character" w:styleId="SubtleReference">
    <w:name w:val="Subtle Reference"/>
    <w:uiPriority w:val="31"/>
    <w:rsid w:val="00CF1954"/>
    <w:rPr>
      <w:rFonts w:ascii="Arial" w:hAnsi="Arial"/>
      <w:caps w:val="0"/>
      <w:smallCaps w:val="0"/>
      <w:strike w:val="0"/>
      <w:dstrike w:val="0"/>
      <w:vanish/>
      <w:color w:val="75A712"/>
      <w:sz w:val="18"/>
      <w:szCs w:val="18"/>
      <w:u w:val="single"/>
      <w:vertAlign w:val="baseline"/>
    </w:rPr>
  </w:style>
  <w:style w:type="paragraph" w:styleId="DocumentMap">
    <w:name w:val="Document Map"/>
    <w:basedOn w:val="Normal"/>
    <w:link w:val="DocumentMapChar"/>
    <w:uiPriority w:val="99"/>
    <w:semiHidden/>
    <w:unhideWhenUsed/>
    <w:rsid w:val="004B7880"/>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B7880"/>
    <w:rPr>
      <w:rFonts w:ascii="Lucida Grande" w:hAnsi="Lucida Grande" w:cs="Lucida Grande"/>
      <w:sz w:val="24"/>
      <w:szCs w:val="24"/>
    </w:rPr>
  </w:style>
  <w:style w:type="paragraph" w:styleId="TOC1">
    <w:name w:val="toc 1"/>
    <w:basedOn w:val="Normal"/>
    <w:next w:val="Normal"/>
    <w:autoRedefine/>
    <w:uiPriority w:val="39"/>
    <w:unhideWhenUsed/>
    <w:qFormat/>
    <w:rsid w:val="00C764C4"/>
    <w:pPr>
      <w:spacing w:after="100"/>
    </w:pPr>
    <w:rPr>
      <w:b/>
      <w:bCs/>
      <w:caps/>
    </w:rPr>
  </w:style>
  <w:style w:type="paragraph" w:styleId="TOC2">
    <w:name w:val="toc 2"/>
    <w:basedOn w:val="Normal"/>
    <w:next w:val="Normal"/>
    <w:autoRedefine/>
    <w:uiPriority w:val="39"/>
    <w:unhideWhenUsed/>
    <w:qFormat/>
    <w:rsid w:val="00C764C4"/>
    <w:pPr>
      <w:spacing w:after="100"/>
      <w:ind w:left="180"/>
    </w:pPr>
  </w:style>
  <w:style w:type="paragraph" w:styleId="TOC3">
    <w:name w:val="toc 3"/>
    <w:basedOn w:val="Normal"/>
    <w:next w:val="Normal"/>
    <w:autoRedefine/>
    <w:uiPriority w:val="39"/>
    <w:unhideWhenUsed/>
    <w:qFormat/>
    <w:rsid w:val="00C764C4"/>
    <w:pPr>
      <w:spacing w:after="100"/>
      <w:ind w:left="360"/>
    </w:pPr>
    <w:rPr>
      <w:i/>
    </w:rPr>
  </w:style>
  <w:style w:type="paragraph" w:customStyle="1" w:styleId="Appendixlevel1">
    <w:name w:val="Appendix level 1"/>
    <w:basedOn w:val="Heading1"/>
    <w:next w:val="Normal"/>
    <w:link w:val="Appendixlevel1Char"/>
    <w:qFormat/>
    <w:rsid w:val="00451402"/>
    <w:pPr>
      <w:numPr>
        <w:numId w:val="16"/>
      </w:numPr>
    </w:pPr>
    <w:rPr>
      <w:color w:val="94B953"/>
      <w:szCs w:val="34"/>
    </w:rPr>
  </w:style>
  <w:style w:type="character" w:customStyle="1" w:styleId="Appendixlevel1Char">
    <w:name w:val="Appendix level 1 Char"/>
    <w:basedOn w:val="Heading1Char"/>
    <w:link w:val="Appendixlevel1"/>
    <w:rsid w:val="00451402"/>
    <w:rPr>
      <w:rFonts w:ascii="Roboto Condensed" w:hAnsi="Roboto Condensed"/>
      <w:bCs/>
      <w:caps/>
      <w:color w:val="94B953"/>
      <w:sz w:val="34"/>
      <w:szCs w:val="34"/>
    </w:rPr>
  </w:style>
  <w:style w:type="paragraph" w:customStyle="1" w:styleId="Appendixlevel2">
    <w:name w:val="Appendix level 2"/>
    <w:basedOn w:val="Heading2"/>
    <w:next w:val="Normal"/>
    <w:qFormat/>
    <w:rsid w:val="007109F1"/>
    <w:pPr>
      <w:numPr>
        <w:numId w:val="16"/>
      </w:numPr>
    </w:pPr>
  </w:style>
  <w:style w:type="paragraph" w:customStyle="1" w:styleId="Appendixlevel3">
    <w:name w:val="Appendix level 3"/>
    <w:basedOn w:val="Heading3"/>
    <w:next w:val="Normal"/>
    <w:qFormat/>
    <w:rsid w:val="007109F1"/>
    <w:pPr>
      <w:numPr>
        <w:numId w:val="16"/>
      </w:numPr>
      <w:tabs>
        <w:tab w:val="left" w:pos="2368"/>
      </w:tabs>
    </w:pPr>
  </w:style>
  <w:style w:type="paragraph" w:customStyle="1" w:styleId="Appendixlevel4">
    <w:name w:val="Appendix level 4"/>
    <w:basedOn w:val="Normal"/>
    <w:next w:val="Normal"/>
    <w:qFormat/>
    <w:rsid w:val="00451402"/>
    <w:pPr>
      <w:numPr>
        <w:ilvl w:val="3"/>
        <w:numId w:val="16"/>
      </w:numPr>
      <w:tabs>
        <w:tab w:val="left" w:pos="2368"/>
      </w:tabs>
    </w:pPr>
    <w:rPr>
      <w:b/>
      <w:color w:val="94B953"/>
      <w:sz w:val="22"/>
    </w:rPr>
  </w:style>
  <w:style w:type="table" w:styleId="LightShading">
    <w:name w:val="Light Shading"/>
    <w:basedOn w:val="TableNormal"/>
    <w:uiPriority w:val="60"/>
    <w:rsid w:val="001B27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B273F"/>
    <w:rPr>
      <w:color w:val="31479E" w:themeColor="accent1" w:themeShade="BF"/>
    </w:rPr>
    <w:tblPr>
      <w:tblStyleRowBandSize w:val="1"/>
      <w:tblStyleColBandSize w:val="1"/>
      <w:tblBorders>
        <w:top w:val="single" w:sz="8" w:space="0" w:color="4E67C8" w:themeColor="accent1"/>
        <w:bottom w:val="single" w:sz="8" w:space="0" w:color="4E67C8" w:themeColor="accent1"/>
      </w:tblBorders>
    </w:tblPr>
    <w:tblStylePr w:type="firstRow">
      <w:pPr>
        <w:spacing w:before="0" w:after="0" w:line="240" w:lineRule="auto"/>
      </w:pPr>
      <w:rPr>
        <w:b/>
        <w:bCs/>
      </w:rPr>
      <w:tblPr/>
      <w:tcPr>
        <w:tcBorders>
          <w:top w:val="single" w:sz="8" w:space="0" w:color="4E67C8" w:themeColor="accent1"/>
          <w:left w:val="nil"/>
          <w:bottom w:val="single" w:sz="8" w:space="0" w:color="4E67C8" w:themeColor="accent1"/>
          <w:right w:val="nil"/>
          <w:insideH w:val="nil"/>
          <w:insideV w:val="nil"/>
        </w:tcBorders>
      </w:tcPr>
    </w:tblStylePr>
    <w:tblStylePr w:type="lastRow">
      <w:pPr>
        <w:spacing w:before="0" w:after="0" w:line="240" w:lineRule="auto"/>
      </w:pPr>
      <w:rPr>
        <w:b/>
        <w:bCs/>
      </w:rPr>
      <w:tblPr/>
      <w:tcPr>
        <w:tcBorders>
          <w:top w:val="single" w:sz="8" w:space="0" w:color="4E67C8" w:themeColor="accent1"/>
          <w:left w:val="nil"/>
          <w:bottom w:val="single" w:sz="8" w:space="0" w:color="4E67C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9F1" w:themeFill="accent1" w:themeFillTint="3F"/>
      </w:tcPr>
    </w:tblStylePr>
    <w:tblStylePr w:type="band1Horz">
      <w:tblPr/>
      <w:tcPr>
        <w:tcBorders>
          <w:left w:val="nil"/>
          <w:right w:val="nil"/>
          <w:insideH w:val="nil"/>
          <w:insideV w:val="nil"/>
        </w:tcBorders>
        <w:shd w:val="clear" w:color="auto" w:fill="D3D9F1" w:themeFill="accent1" w:themeFillTint="3F"/>
      </w:tcPr>
    </w:tblStylePr>
  </w:style>
  <w:style w:type="table" w:styleId="LightList">
    <w:name w:val="Light List"/>
    <w:basedOn w:val="TableNormal"/>
    <w:uiPriority w:val="61"/>
    <w:rsid w:val="001B27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1B27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1B273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B273F"/>
    <w:tblPr>
      <w:tblStyleRowBandSize w:val="1"/>
      <w:tblStyleColBandSize w:val="1"/>
      <w:tblBorders>
        <w:top w:val="single" w:sz="8" w:space="0" w:color="7A8CD5" w:themeColor="accent1" w:themeTint="BF"/>
        <w:left w:val="single" w:sz="8" w:space="0" w:color="7A8CD5" w:themeColor="accent1" w:themeTint="BF"/>
        <w:bottom w:val="single" w:sz="8" w:space="0" w:color="7A8CD5" w:themeColor="accent1" w:themeTint="BF"/>
        <w:right w:val="single" w:sz="8" w:space="0" w:color="7A8CD5" w:themeColor="accent1" w:themeTint="BF"/>
        <w:insideH w:val="single" w:sz="8" w:space="0" w:color="7A8CD5" w:themeColor="accent1" w:themeTint="BF"/>
      </w:tblBorders>
    </w:tblPr>
    <w:tblStylePr w:type="firstRow">
      <w:pPr>
        <w:spacing w:before="0" w:after="0" w:line="240" w:lineRule="auto"/>
      </w:pPr>
      <w:rPr>
        <w:b/>
        <w:bCs/>
        <w:color w:val="FFFFFF" w:themeColor="background1"/>
      </w:rPr>
      <w:tblPr/>
      <w:tcPr>
        <w:tcBorders>
          <w:top w:val="single" w:sz="8" w:space="0" w:color="7A8CD5" w:themeColor="accent1" w:themeTint="BF"/>
          <w:left w:val="single" w:sz="8" w:space="0" w:color="7A8CD5" w:themeColor="accent1" w:themeTint="BF"/>
          <w:bottom w:val="single" w:sz="8" w:space="0" w:color="7A8CD5" w:themeColor="accent1" w:themeTint="BF"/>
          <w:right w:val="single" w:sz="8" w:space="0" w:color="7A8CD5" w:themeColor="accent1" w:themeTint="BF"/>
          <w:insideH w:val="nil"/>
          <w:insideV w:val="nil"/>
        </w:tcBorders>
        <w:shd w:val="clear" w:color="auto" w:fill="4E67C8" w:themeFill="accent1"/>
      </w:tcPr>
    </w:tblStylePr>
    <w:tblStylePr w:type="lastRow">
      <w:pPr>
        <w:spacing w:before="0" w:after="0" w:line="240" w:lineRule="auto"/>
      </w:pPr>
      <w:rPr>
        <w:b/>
        <w:bCs/>
      </w:rPr>
      <w:tblPr/>
      <w:tcPr>
        <w:tcBorders>
          <w:top w:val="double" w:sz="6" w:space="0" w:color="7A8CD5" w:themeColor="accent1" w:themeTint="BF"/>
          <w:left w:val="single" w:sz="8" w:space="0" w:color="7A8CD5" w:themeColor="accent1" w:themeTint="BF"/>
          <w:bottom w:val="single" w:sz="8" w:space="0" w:color="7A8CD5" w:themeColor="accent1" w:themeTint="BF"/>
          <w:right w:val="single" w:sz="8" w:space="0" w:color="7A8CD5"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9F1" w:themeFill="accent1" w:themeFillTint="3F"/>
      </w:tcPr>
    </w:tblStylePr>
    <w:tblStylePr w:type="band1Horz">
      <w:tblPr/>
      <w:tcPr>
        <w:tcBorders>
          <w:insideH w:val="nil"/>
          <w:insideV w:val="nil"/>
        </w:tcBorders>
        <w:shd w:val="clear" w:color="auto" w:fill="D3D9F1"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1B273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1B273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4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GHBody">
    <w:name w:val="GH_Body"/>
    <w:basedOn w:val="Normal"/>
    <w:qFormat/>
    <w:rsid w:val="00903EFA"/>
    <w:pPr>
      <w:spacing w:after="0"/>
    </w:pPr>
  </w:style>
  <w:style w:type="paragraph" w:customStyle="1" w:styleId="GHAppendixA">
    <w:name w:val="GH_Appendix A"/>
    <w:basedOn w:val="Normal"/>
    <w:next w:val="GHBody"/>
    <w:rsid w:val="00903EFA"/>
    <w:pPr>
      <w:pBdr>
        <w:bottom w:val="single" w:sz="8" w:space="1" w:color="75A712"/>
      </w:pBdr>
      <w:tabs>
        <w:tab w:val="left" w:pos="7180"/>
      </w:tabs>
      <w:spacing w:after="0" w:line="240" w:lineRule="auto"/>
    </w:pPr>
    <w:rPr>
      <w:color w:val="75A712"/>
      <w:sz w:val="28"/>
    </w:rPr>
  </w:style>
  <w:style w:type="paragraph" w:styleId="Quote">
    <w:name w:val="Quote"/>
    <w:basedOn w:val="Normal"/>
    <w:next w:val="Normal"/>
    <w:link w:val="QuoteChar"/>
    <w:uiPriority w:val="29"/>
    <w:qFormat/>
    <w:rsid w:val="000927FF"/>
    <w:rPr>
      <w:i/>
      <w:iCs/>
      <w:color w:val="000000" w:themeColor="text1"/>
    </w:rPr>
  </w:style>
  <w:style w:type="paragraph" w:customStyle="1" w:styleId="TOCheader">
    <w:name w:val="TOC header"/>
    <w:basedOn w:val="Normal"/>
    <w:link w:val="TOCheaderChar"/>
    <w:qFormat/>
    <w:rsid w:val="00451402"/>
    <w:pPr>
      <w:spacing w:after="360" w:line="240" w:lineRule="auto"/>
      <w:ind w:left="284" w:hanging="284"/>
    </w:pPr>
    <w:rPr>
      <w:rFonts w:ascii="Roboto Condensed" w:hAnsi="Roboto Condensed"/>
      <w:bCs/>
      <w:caps/>
      <w:color w:val="94B953"/>
      <w:sz w:val="34"/>
      <w:szCs w:val="40"/>
    </w:rPr>
  </w:style>
  <w:style w:type="character" w:customStyle="1" w:styleId="TOCheaderChar">
    <w:name w:val="TOC header Char"/>
    <w:basedOn w:val="DefaultParagraphFont"/>
    <w:link w:val="TOCheader"/>
    <w:rsid w:val="00451402"/>
    <w:rPr>
      <w:rFonts w:ascii="Roboto Condensed" w:hAnsi="Roboto Condensed"/>
      <w:bCs/>
      <w:caps/>
      <w:color w:val="94B953"/>
      <w:sz w:val="34"/>
      <w:szCs w:val="40"/>
    </w:rPr>
  </w:style>
  <w:style w:type="character" w:customStyle="1" w:styleId="QuoteChar">
    <w:name w:val="Quote Char"/>
    <w:basedOn w:val="DefaultParagraphFont"/>
    <w:link w:val="Quote"/>
    <w:uiPriority w:val="29"/>
    <w:rsid w:val="000927FF"/>
    <w:rPr>
      <w:rFonts w:ascii="Arial" w:hAnsi="Arial"/>
      <w:i/>
      <w:iCs/>
      <w:color w:val="000000" w:themeColor="text1"/>
      <w:sz w:val="18"/>
      <w:szCs w:val="24"/>
    </w:rPr>
  </w:style>
  <w:style w:type="character" w:styleId="BookTitle">
    <w:name w:val="Book Title"/>
    <w:basedOn w:val="DefaultParagraphFont"/>
    <w:uiPriority w:val="33"/>
    <w:rsid w:val="009A07DE"/>
    <w:rPr>
      <w:b/>
      <w:bCs/>
      <w:smallCaps/>
      <w:spacing w:val="5"/>
    </w:rPr>
  </w:style>
  <w:style w:type="paragraph" w:styleId="NormalWeb">
    <w:name w:val="Normal (Web)"/>
    <w:basedOn w:val="Normal"/>
    <w:uiPriority w:val="99"/>
    <w:semiHidden/>
    <w:unhideWhenUsed/>
    <w:rsid w:val="008F0B6E"/>
    <w:pPr>
      <w:spacing w:before="100" w:beforeAutospacing="1" w:after="100" w:afterAutospacing="1" w:line="240" w:lineRule="auto"/>
      <w:jc w:val="left"/>
    </w:pPr>
    <w:rPr>
      <w:rFonts w:ascii="Times New Roman" w:eastAsiaTheme="minorEastAsia" w:hAnsi="Times New Roman"/>
      <w:sz w:val="20"/>
      <w:szCs w:val="20"/>
      <w:lang w:val="en-ZA"/>
    </w:rPr>
  </w:style>
  <w:style w:type="table" w:customStyle="1" w:styleId="TGHnew">
    <w:name w:val="TGH new"/>
    <w:basedOn w:val="TableNormal"/>
    <w:uiPriority w:val="99"/>
    <w:rsid w:val="008B0E68"/>
    <w:rPr>
      <w:rFonts w:ascii="Roboto Light" w:hAnsi="Roboto Light"/>
      <w:sz w:val="16"/>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rFonts w:ascii="Roboto Condensed" w:hAnsi="Roboto Condensed"/>
        <w:color w:val="FFFFFF" w:themeColor="background1"/>
      </w:rPr>
      <w:tblPr/>
      <w:tcPr>
        <w:shd w:val="clear" w:color="auto" w:fill="808080" w:themeFill="background1" w:themeFillShade="80"/>
      </w:tcPr>
    </w:tblStylePr>
  </w:style>
  <w:style w:type="table" w:styleId="LightList-Accent3">
    <w:name w:val="Light List Accent 3"/>
    <w:basedOn w:val="TableNormal"/>
    <w:uiPriority w:val="61"/>
    <w:rsid w:val="00536DC3"/>
    <w:tblPr>
      <w:tblStyleRowBandSize w:val="1"/>
      <w:tblStyleColBandSize w:val="1"/>
      <w:tblBorders>
        <w:top w:val="single" w:sz="8" w:space="0" w:color="A7EA52" w:themeColor="accent3"/>
        <w:left w:val="single" w:sz="8" w:space="0" w:color="A7EA52" w:themeColor="accent3"/>
        <w:bottom w:val="single" w:sz="8" w:space="0" w:color="A7EA52" w:themeColor="accent3"/>
        <w:right w:val="single" w:sz="8" w:space="0" w:color="A7EA52" w:themeColor="accent3"/>
      </w:tblBorders>
    </w:tblPr>
    <w:tblStylePr w:type="firstRow">
      <w:pPr>
        <w:spacing w:before="0" w:after="0" w:line="240" w:lineRule="auto"/>
      </w:pPr>
      <w:rPr>
        <w:b/>
        <w:bCs/>
        <w:color w:val="FFFFFF" w:themeColor="background1"/>
      </w:rPr>
      <w:tblPr/>
      <w:tcPr>
        <w:shd w:val="clear" w:color="auto" w:fill="A7EA52" w:themeFill="accent3"/>
      </w:tcPr>
    </w:tblStylePr>
    <w:tblStylePr w:type="lastRow">
      <w:pPr>
        <w:spacing w:before="0" w:after="0" w:line="240" w:lineRule="auto"/>
      </w:pPr>
      <w:rPr>
        <w:b/>
        <w:bCs/>
      </w:rPr>
      <w:tblPr/>
      <w:tcPr>
        <w:tcBorders>
          <w:top w:val="double" w:sz="6" w:space="0" w:color="A7EA52" w:themeColor="accent3"/>
          <w:left w:val="single" w:sz="8" w:space="0" w:color="A7EA52" w:themeColor="accent3"/>
          <w:bottom w:val="single" w:sz="8" w:space="0" w:color="A7EA52" w:themeColor="accent3"/>
          <w:right w:val="single" w:sz="8" w:space="0" w:color="A7EA52" w:themeColor="accent3"/>
        </w:tcBorders>
      </w:tcPr>
    </w:tblStylePr>
    <w:tblStylePr w:type="firstCol">
      <w:rPr>
        <w:b/>
        <w:bCs/>
      </w:rPr>
    </w:tblStylePr>
    <w:tblStylePr w:type="lastCol">
      <w:rPr>
        <w:b/>
        <w:bCs/>
      </w:rPr>
    </w:tblStylePr>
    <w:tblStylePr w:type="band1Vert">
      <w:tblPr/>
      <w:tcPr>
        <w:tcBorders>
          <w:top w:val="single" w:sz="8" w:space="0" w:color="A7EA52" w:themeColor="accent3"/>
          <w:left w:val="single" w:sz="8" w:space="0" w:color="A7EA52" w:themeColor="accent3"/>
          <w:bottom w:val="single" w:sz="8" w:space="0" w:color="A7EA52" w:themeColor="accent3"/>
          <w:right w:val="single" w:sz="8" w:space="0" w:color="A7EA52" w:themeColor="accent3"/>
        </w:tcBorders>
      </w:tcPr>
    </w:tblStylePr>
    <w:tblStylePr w:type="band1Horz">
      <w:tblPr/>
      <w:tcPr>
        <w:tcBorders>
          <w:top w:val="single" w:sz="8" w:space="0" w:color="A7EA52" w:themeColor="accent3"/>
          <w:left w:val="single" w:sz="8" w:space="0" w:color="A7EA52" w:themeColor="accent3"/>
          <w:bottom w:val="single" w:sz="8" w:space="0" w:color="A7EA52" w:themeColor="accent3"/>
          <w:right w:val="single" w:sz="8" w:space="0" w:color="A7EA52" w:themeColor="accent3"/>
        </w:tcBorders>
      </w:tcPr>
    </w:tblStylePr>
  </w:style>
  <w:style w:type="table" w:styleId="ColorfulShading-Accent3">
    <w:name w:val="Colorful Shading Accent 3"/>
    <w:basedOn w:val="TableNormal"/>
    <w:uiPriority w:val="71"/>
    <w:rsid w:val="00536DC3"/>
    <w:rPr>
      <w:color w:val="000000" w:themeColor="text1"/>
    </w:rPr>
    <w:tblPr>
      <w:tblStyleRowBandSize w:val="1"/>
      <w:tblStyleColBandSize w:val="1"/>
      <w:tblBorders>
        <w:top w:val="single" w:sz="24" w:space="0" w:color="5DCEAF" w:themeColor="accent4"/>
        <w:left w:val="single" w:sz="4" w:space="0" w:color="A7EA52" w:themeColor="accent3"/>
        <w:bottom w:val="single" w:sz="4" w:space="0" w:color="A7EA52" w:themeColor="accent3"/>
        <w:right w:val="single" w:sz="4" w:space="0" w:color="A7EA52" w:themeColor="accent3"/>
        <w:insideH w:val="single" w:sz="4" w:space="0" w:color="FFFFFF" w:themeColor="background1"/>
        <w:insideV w:val="single" w:sz="4" w:space="0" w:color="FFFFFF" w:themeColor="background1"/>
      </w:tblBorders>
    </w:tblPr>
    <w:tcPr>
      <w:shd w:val="clear" w:color="auto" w:fill="F6FDED" w:themeFill="accent3" w:themeFillTint="19"/>
    </w:tcPr>
    <w:tblStylePr w:type="firstRow">
      <w:rPr>
        <w:b/>
        <w:bCs/>
      </w:rPr>
      <w:tblPr/>
      <w:tcPr>
        <w:tcBorders>
          <w:top w:val="nil"/>
          <w:left w:val="nil"/>
          <w:bottom w:val="single" w:sz="24" w:space="0" w:color="5DCEA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7A814" w:themeFill="accent3" w:themeFillShade="99"/>
      </w:tcPr>
    </w:tblStylePr>
    <w:tblStylePr w:type="firstCol">
      <w:rPr>
        <w:color w:val="FFFFFF" w:themeColor="background1"/>
      </w:rPr>
      <w:tblPr/>
      <w:tcPr>
        <w:tcBorders>
          <w:top w:val="nil"/>
          <w:left w:val="nil"/>
          <w:bottom w:val="nil"/>
          <w:right w:val="nil"/>
          <w:insideH w:val="single" w:sz="4" w:space="0" w:color="67A814" w:themeColor="accent3" w:themeShade="99"/>
          <w:insideV w:val="nil"/>
        </w:tcBorders>
        <w:shd w:val="clear" w:color="auto" w:fill="67A81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7A814" w:themeFill="accent3" w:themeFillShade="99"/>
      </w:tcPr>
    </w:tblStylePr>
    <w:tblStylePr w:type="band1Vert">
      <w:tblPr/>
      <w:tcPr>
        <w:shd w:val="clear" w:color="auto" w:fill="DBF6B9" w:themeFill="accent3" w:themeFillTint="66"/>
      </w:tcPr>
    </w:tblStylePr>
    <w:tblStylePr w:type="band1Horz">
      <w:tblPr/>
      <w:tcPr>
        <w:shd w:val="clear" w:color="auto" w:fill="D2F4A8" w:themeFill="accent3" w:themeFillTint="7F"/>
      </w:tcPr>
    </w:tblStylePr>
  </w:style>
  <w:style w:type="paragraph" w:customStyle="1" w:styleId="Default">
    <w:name w:val="Default"/>
    <w:rsid w:val="00E008F9"/>
    <w:pPr>
      <w:autoSpaceDE w:val="0"/>
      <w:autoSpaceDN w:val="0"/>
      <w:adjustRightInd w:val="0"/>
    </w:pPr>
    <w:rPr>
      <w:rFonts w:cs="Calibri"/>
      <w:color w:val="000000"/>
    </w:rPr>
  </w:style>
  <w:style w:type="character" w:styleId="CommentReference">
    <w:name w:val="annotation reference"/>
    <w:basedOn w:val="DefaultParagraphFont"/>
    <w:uiPriority w:val="99"/>
    <w:semiHidden/>
    <w:unhideWhenUsed/>
    <w:rsid w:val="00630083"/>
    <w:rPr>
      <w:sz w:val="16"/>
      <w:szCs w:val="16"/>
    </w:rPr>
  </w:style>
  <w:style w:type="paragraph" w:styleId="CommentText">
    <w:name w:val="annotation text"/>
    <w:basedOn w:val="Normal"/>
    <w:link w:val="CommentTextChar"/>
    <w:uiPriority w:val="99"/>
    <w:semiHidden/>
    <w:unhideWhenUsed/>
    <w:rsid w:val="00630083"/>
    <w:pPr>
      <w:spacing w:line="240" w:lineRule="auto"/>
    </w:pPr>
    <w:rPr>
      <w:sz w:val="20"/>
      <w:szCs w:val="20"/>
    </w:rPr>
  </w:style>
  <w:style w:type="character" w:customStyle="1" w:styleId="CommentTextChar">
    <w:name w:val="Comment Text Char"/>
    <w:basedOn w:val="DefaultParagraphFont"/>
    <w:link w:val="CommentText"/>
    <w:uiPriority w:val="99"/>
    <w:semiHidden/>
    <w:rsid w:val="00630083"/>
    <w:rPr>
      <w:rFonts w:ascii="Roboto Light" w:hAnsi="Roboto Light"/>
      <w:sz w:val="20"/>
      <w:szCs w:val="20"/>
    </w:rPr>
  </w:style>
  <w:style w:type="paragraph" w:styleId="CommentSubject">
    <w:name w:val="annotation subject"/>
    <w:basedOn w:val="CommentText"/>
    <w:next w:val="CommentText"/>
    <w:link w:val="CommentSubjectChar"/>
    <w:uiPriority w:val="99"/>
    <w:semiHidden/>
    <w:unhideWhenUsed/>
    <w:rsid w:val="00630083"/>
    <w:rPr>
      <w:b/>
      <w:bCs/>
    </w:rPr>
  </w:style>
  <w:style w:type="character" w:customStyle="1" w:styleId="CommentSubjectChar">
    <w:name w:val="Comment Subject Char"/>
    <w:basedOn w:val="CommentTextChar"/>
    <w:link w:val="CommentSubject"/>
    <w:uiPriority w:val="99"/>
    <w:semiHidden/>
    <w:rsid w:val="00630083"/>
    <w:rPr>
      <w:rFonts w:ascii="Roboto Light" w:hAnsi="Roboto Light"/>
      <w:b/>
      <w:bCs/>
      <w:sz w:val="20"/>
      <w:szCs w:val="20"/>
    </w:rPr>
  </w:style>
  <w:style w:type="paragraph" w:styleId="NoSpacing">
    <w:name w:val="No Spacing"/>
    <w:uiPriority w:val="1"/>
    <w:qFormat/>
    <w:rsid w:val="004278A7"/>
    <w:pPr>
      <w:jc w:val="both"/>
    </w:pPr>
    <w:rPr>
      <w:rFonts w:ascii="Roboto Light" w:hAnsi="Roboto Light"/>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PGothic" w:hAnsi="Calibri" w:cs="Times New Roman"/>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A6A85"/>
    <w:pPr>
      <w:spacing w:after="180" w:line="360" w:lineRule="auto"/>
      <w:jc w:val="both"/>
    </w:pPr>
    <w:rPr>
      <w:rFonts w:ascii="Roboto Light" w:hAnsi="Roboto Light"/>
      <w:sz w:val="18"/>
      <w:szCs w:val="18"/>
    </w:rPr>
  </w:style>
  <w:style w:type="paragraph" w:styleId="Heading1">
    <w:name w:val="heading 1"/>
    <w:basedOn w:val="Normal"/>
    <w:next w:val="Normal"/>
    <w:link w:val="Heading1Char"/>
    <w:uiPriority w:val="9"/>
    <w:qFormat/>
    <w:rsid w:val="00DE50CF"/>
    <w:pPr>
      <w:keepNext/>
      <w:keepLines/>
      <w:numPr>
        <w:numId w:val="13"/>
      </w:numPr>
      <w:spacing w:after="360" w:line="240" w:lineRule="auto"/>
      <w:ind w:left="709" w:hanging="709"/>
      <w:outlineLvl w:val="0"/>
    </w:pPr>
    <w:rPr>
      <w:rFonts w:ascii="Roboto Condensed" w:hAnsi="Roboto Condensed"/>
      <w:bCs/>
      <w:caps/>
      <w:color w:val="75A712"/>
      <w:sz w:val="34"/>
      <w:szCs w:val="40"/>
    </w:rPr>
  </w:style>
  <w:style w:type="paragraph" w:styleId="Heading2">
    <w:name w:val="heading 2"/>
    <w:basedOn w:val="Normal"/>
    <w:next w:val="Normal"/>
    <w:link w:val="Heading2Char"/>
    <w:uiPriority w:val="9"/>
    <w:qFormat/>
    <w:rsid w:val="00DE50CF"/>
    <w:pPr>
      <w:keepNext/>
      <w:keepLines/>
      <w:numPr>
        <w:ilvl w:val="1"/>
        <w:numId w:val="13"/>
      </w:numPr>
      <w:spacing w:before="240" w:after="120"/>
      <w:outlineLvl w:val="1"/>
    </w:pPr>
    <w:rPr>
      <w:rFonts w:ascii="Roboto Condensed" w:hAnsi="Roboto Condensed"/>
      <w:bCs/>
      <w:color w:val="0D0D0D"/>
      <w:sz w:val="28"/>
      <w:szCs w:val="28"/>
    </w:rPr>
  </w:style>
  <w:style w:type="paragraph" w:styleId="Heading3">
    <w:name w:val="heading 3"/>
    <w:basedOn w:val="Normal"/>
    <w:next w:val="Normal"/>
    <w:link w:val="Heading3Char"/>
    <w:uiPriority w:val="9"/>
    <w:qFormat/>
    <w:rsid w:val="00E30688"/>
    <w:pPr>
      <w:keepNext/>
      <w:keepLines/>
      <w:numPr>
        <w:ilvl w:val="2"/>
        <w:numId w:val="13"/>
      </w:numPr>
      <w:spacing w:before="200"/>
      <w:outlineLvl w:val="2"/>
    </w:pPr>
    <w:rPr>
      <w:i/>
      <w:iCs/>
      <w:color w:val="000000"/>
      <w:sz w:val="24"/>
    </w:rPr>
  </w:style>
  <w:style w:type="paragraph" w:styleId="Heading4">
    <w:name w:val="heading 4"/>
    <w:basedOn w:val="Normal"/>
    <w:next w:val="Normal"/>
    <w:link w:val="Heading4Char"/>
    <w:uiPriority w:val="9"/>
    <w:qFormat/>
    <w:rsid w:val="00451402"/>
    <w:pPr>
      <w:keepNext/>
      <w:keepLines/>
      <w:numPr>
        <w:ilvl w:val="3"/>
        <w:numId w:val="13"/>
      </w:numPr>
      <w:spacing w:before="200"/>
      <w:outlineLvl w:val="3"/>
    </w:pPr>
    <w:rPr>
      <w:b/>
      <w:color w:val="94B953"/>
      <w:sz w:val="22"/>
      <w:szCs w:val="22"/>
    </w:rPr>
  </w:style>
  <w:style w:type="paragraph" w:styleId="Heading5">
    <w:name w:val="heading 5"/>
    <w:basedOn w:val="Normal"/>
    <w:next w:val="Normal"/>
    <w:link w:val="Heading5Char"/>
    <w:uiPriority w:val="9"/>
    <w:qFormat/>
    <w:rsid w:val="00E30688"/>
    <w:pPr>
      <w:keepNext/>
      <w:keepLines/>
      <w:numPr>
        <w:ilvl w:val="4"/>
        <w:numId w:val="13"/>
      </w:numPr>
      <w:spacing w:before="200"/>
      <w:outlineLvl w:val="4"/>
    </w:pPr>
    <w:rPr>
      <w:color w:val="000000"/>
      <w:sz w:val="20"/>
      <w:szCs w:val="20"/>
    </w:rPr>
  </w:style>
  <w:style w:type="paragraph" w:styleId="Heading6">
    <w:name w:val="heading 6"/>
    <w:basedOn w:val="Normal"/>
    <w:next w:val="Normal"/>
    <w:link w:val="Heading6Char"/>
    <w:uiPriority w:val="9"/>
    <w:qFormat/>
    <w:rsid w:val="00E30688"/>
    <w:pPr>
      <w:keepNext/>
      <w:keepLines/>
      <w:numPr>
        <w:ilvl w:val="5"/>
        <w:numId w:val="13"/>
      </w:numPr>
      <w:spacing w:before="200"/>
      <w:outlineLvl w:val="5"/>
    </w:pPr>
    <w:rPr>
      <w:i/>
      <w:iCs/>
      <w:color w:val="000000"/>
    </w:rPr>
  </w:style>
  <w:style w:type="paragraph" w:styleId="Heading7">
    <w:name w:val="heading 7"/>
    <w:basedOn w:val="Normal"/>
    <w:next w:val="Normal"/>
    <w:link w:val="Heading7Char"/>
    <w:uiPriority w:val="9"/>
    <w:semiHidden/>
    <w:unhideWhenUsed/>
    <w:qFormat/>
    <w:rsid w:val="00E30688"/>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0688"/>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0688"/>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E50CF"/>
    <w:rPr>
      <w:rFonts w:ascii="Roboto Condensed" w:hAnsi="Roboto Condensed"/>
      <w:bCs/>
      <w:caps/>
      <w:color w:val="75A712"/>
      <w:sz w:val="34"/>
      <w:szCs w:val="40"/>
    </w:rPr>
  </w:style>
  <w:style w:type="character" w:customStyle="1" w:styleId="Heading2Char">
    <w:name w:val="Heading 2 Char"/>
    <w:link w:val="Heading2"/>
    <w:uiPriority w:val="9"/>
    <w:rsid w:val="00DE50CF"/>
    <w:rPr>
      <w:rFonts w:ascii="Roboto Condensed" w:hAnsi="Roboto Condensed"/>
      <w:bCs/>
      <w:color w:val="0D0D0D"/>
      <w:sz w:val="28"/>
      <w:szCs w:val="28"/>
    </w:rPr>
  </w:style>
  <w:style w:type="character" w:customStyle="1" w:styleId="Heading3Char">
    <w:name w:val="Heading 3 Char"/>
    <w:link w:val="Heading3"/>
    <w:uiPriority w:val="9"/>
    <w:rsid w:val="00E30688"/>
    <w:rPr>
      <w:rFonts w:ascii="Arial" w:hAnsi="Arial"/>
      <w:i/>
      <w:iCs/>
      <w:color w:val="000000"/>
      <w:sz w:val="24"/>
      <w:szCs w:val="24"/>
    </w:rPr>
  </w:style>
  <w:style w:type="character" w:customStyle="1" w:styleId="Heading4Char">
    <w:name w:val="Heading 4 Char"/>
    <w:link w:val="Heading4"/>
    <w:uiPriority w:val="9"/>
    <w:rsid w:val="00451402"/>
    <w:rPr>
      <w:rFonts w:ascii="Roboto Light" w:hAnsi="Roboto Light"/>
      <w:b/>
      <w:color w:val="94B953"/>
      <w:sz w:val="22"/>
      <w:szCs w:val="22"/>
    </w:rPr>
  </w:style>
  <w:style w:type="character" w:customStyle="1" w:styleId="Heading5Char">
    <w:name w:val="Heading 5 Char"/>
    <w:link w:val="Heading5"/>
    <w:uiPriority w:val="9"/>
    <w:rsid w:val="00E30688"/>
    <w:rPr>
      <w:rFonts w:ascii="Arial" w:hAnsi="Arial"/>
      <w:color w:val="000000"/>
    </w:rPr>
  </w:style>
  <w:style w:type="character" w:customStyle="1" w:styleId="Heading6Char">
    <w:name w:val="Heading 6 Char"/>
    <w:link w:val="Heading6"/>
    <w:uiPriority w:val="9"/>
    <w:rsid w:val="00E30688"/>
    <w:rPr>
      <w:rFonts w:ascii="Arial" w:hAnsi="Arial"/>
      <w:i/>
      <w:iCs/>
      <w:color w:val="000000"/>
      <w:sz w:val="18"/>
      <w:szCs w:val="24"/>
    </w:rPr>
  </w:style>
  <w:style w:type="character" w:customStyle="1" w:styleId="Heading7Char">
    <w:name w:val="Heading 7 Char"/>
    <w:basedOn w:val="DefaultParagraphFont"/>
    <w:link w:val="Heading7"/>
    <w:uiPriority w:val="9"/>
    <w:semiHidden/>
    <w:rsid w:val="00E30688"/>
    <w:rPr>
      <w:rFonts w:asciiTheme="majorHAnsi" w:eastAsiaTheme="majorEastAsia" w:hAnsiTheme="majorHAnsi" w:cstheme="majorBidi"/>
      <w:i/>
      <w:iCs/>
      <w:color w:val="404040" w:themeColor="text1" w:themeTint="BF"/>
      <w:sz w:val="18"/>
      <w:szCs w:val="24"/>
    </w:rPr>
  </w:style>
  <w:style w:type="character" w:customStyle="1" w:styleId="Heading8Char">
    <w:name w:val="Heading 8 Char"/>
    <w:basedOn w:val="DefaultParagraphFont"/>
    <w:link w:val="Heading8"/>
    <w:uiPriority w:val="9"/>
    <w:semiHidden/>
    <w:rsid w:val="00E3068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E30688"/>
    <w:rPr>
      <w:rFonts w:asciiTheme="majorHAnsi" w:eastAsiaTheme="majorEastAsia" w:hAnsiTheme="majorHAnsi" w:cstheme="majorBidi"/>
      <w:i/>
      <w:iCs/>
      <w:color w:val="404040" w:themeColor="text1" w:themeTint="BF"/>
    </w:rPr>
  </w:style>
  <w:style w:type="paragraph" w:customStyle="1" w:styleId="GHBodytextindent2">
    <w:name w:val="GH_Body text indent 2"/>
    <w:basedOn w:val="Normal"/>
    <w:qFormat/>
    <w:rsid w:val="003731BB"/>
    <w:pPr>
      <w:tabs>
        <w:tab w:val="left" w:pos="7180"/>
      </w:tabs>
      <w:ind w:left="1134"/>
    </w:pPr>
  </w:style>
  <w:style w:type="paragraph" w:customStyle="1" w:styleId="GHTableH2">
    <w:name w:val="GH_Table H2"/>
    <w:qFormat/>
    <w:rsid w:val="001A63F2"/>
    <w:pPr>
      <w:spacing w:before="120" w:after="120"/>
      <w:jc w:val="center"/>
    </w:pPr>
    <w:rPr>
      <w:rFonts w:ascii="Arial" w:hAnsi="Arial"/>
      <w:b/>
      <w:bCs/>
      <w:sz w:val="16"/>
      <w:szCs w:val="16"/>
    </w:rPr>
  </w:style>
  <w:style w:type="character" w:styleId="Hyperlink">
    <w:name w:val="Hyperlink"/>
    <w:uiPriority w:val="99"/>
    <w:unhideWhenUsed/>
    <w:rsid w:val="00AD4023"/>
    <w:rPr>
      <w:rFonts w:ascii="Arial" w:hAnsi="Arial"/>
      <w:color w:val="0000FF"/>
      <w:sz w:val="18"/>
      <w:u w:val="single"/>
    </w:rPr>
  </w:style>
  <w:style w:type="paragraph" w:styleId="Header">
    <w:name w:val="header"/>
    <w:basedOn w:val="Normal"/>
    <w:link w:val="HeaderChar"/>
    <w:uiPriority w:val="99"/>
    <w:unhideWhenUsed/>
    <w:rsid w:val="00DF37E2"/>
    <w:pPr>
      <w:tabs>
        <w:tab w:val="center" w:pos="4320"/>
        <w:tab w:val="right" w:pos="8640"/>
      </w:tabs>
      <w:spacing w:line="240" w:lineRule="auto"/>
    </w:pPr>
  </w:style>
  <w:style w:type="character" w:customStyle="1" w:styleId="HeaderChar">
    <w:name w:val="Header Char"/>
    <w:link w:val="Header"/>
    <w:uiPriority w:val="99"/>
    <w:rsid w:val="00DF37E2"/>
    <w:rPr>
      <w:rFonts w:ascii="Arial" w:hAnsi="Arial"/>
      <w:sz w:val="18"/>
    </w:rPr>
  </w:style>
  <w:style w:type="paragraph" w:styleId="Footer">
    <w:name w:val="footer"/>
    <w:basedOn w:val="Normal"/>
    <w:link w:val="FooterChar"/>
    <w:uiPriority w:val="99"/>
    <w:unhideWhenUsed/>
    <w:qFormat/>
    <w:rsid w:val="00DF37E2"/>
    <w:pPr>
      <w:tabs>
        <w:tab w:val="center" w:pos="4320"/>
        <w:tab w:val="right" w:pos="8640"/>
      </w:tabs>
      <w:jc w:val="right"/>
    </w:pPr>
    <w:rPr>
      <w:caps/>
      <w:sz w:val="14"/>
      <w:szCs w:val="14"/>
    </w:rPr>
  </w:style>
  <w:style w:type="character" w:customStyle="1" w:styleId="FooterChar">
    <w:name w:val="Footer Char"/>
    <w:link w:val="Footer"/>
    <w:uiPriority w:val="99"/>
    <w:rsid w:val="00DF37E2"/>
    <w:rPr>
      <w:rFonts w:ascii="Arial" w:hAnsi="Arial"/>
      <w:caps/>
      <w:sz w:val="14"/>
      <w:szCs w:val="14"/>
    </w:rPr>
  </w:style>
  <w:style w:type="paragraph" w:styleId="BalloonText">
    <w:name w:val="Balloon Text"/>
    <w:basedOn w:val="Normal"/>
    <w:link w:val="BalloonTextChar"/>
    <w:uiPriority w:val="99"/>
    <w:semiHidden/>
    <w:unhideWhenUsed/>
    <w:rsid w:val="005E4EF9"/>
    <w:pPr>
      <w:spacing w:after="0" w:line="240" w:lineRule="auto"/>
    </w:pPr>
    <w:rPr>
      <w:rFonts w:ascii="Lucida Grande" w:hAnsi="Lucida Grande" w:cs="Lucida Grande"/>
    </w:rPr>
  </w:style>
  <w:style w:type="character" w:customStyle="1" w:styleId="BalloonTextChar">
    <w:name w:val="Balloon Text Char"/>
    <w:basedOn w:val="DefaultParagraphFont"/>
    <w:link w:val="BalloonText"/>
    <w:uiPriority w:val="99"/>
    <w:semiHidden/>
    <w:rsid w:val="005E4EF9"/>
    <w:rPr>
      <w:rFonts w:ascii="Lucida Grande" w:hAnsi="Lucida Grande" w:cs="Lucida Grande"/>
      <w:sz w:val="18"/>
      <w:szCs w:val="18"/>
    </w:rPr>
  </w:style>
  <w:style w:type="paragraph" w:customStyle="1" w:styleId="GHIntrotext">
    <w:name w:val="GH_Intro text"/>
    <w:basedOn w:val="Normal"/>
    <w:qFormat/>
    <w:rsid w:val="00C764C4"/>
    <w:pPr>
      <w:spacing w:before="100" w:beforeAutospacing="1"/>
      <w:ind w:left="57"/>
    </w:pPr>
    <w:rPr>
      <w:sz w:val="22"/>
    </w:rPr>
  </w:style>
  <w:style w:type="paragraph" w:customStyle="1" w:styleId="GHDisclaimertext">
    <w:name w:val="GH_Disclaimer text"/>
    <w:basedOn w:val="Normal"/>
    <w:qFormat/>
    <w:rsid w:val="00D363AB"/>
    <w:rPr>
      <w:sz w:val="12"/>
    </w:rPr>
  </w:style>
  <w:style w:type="paragraph" w:customStyle="1" w:styleId="GHNumbering">
    <w:name w:val="GH_Numbering"/>
    <w:basedOn w:val="GHBullet2"/>
    <w:qFormat/>
    <w:rsid w:val="00EF589D"/>
    <w:pPr>
      <w:numPr>
        <w:numId w:val="5"/>
      </w:numPr>
      <w:ind w:left="851"/>
    </w:pPr>
    <w:rPr>
      <w:rFonts w:ascii="Roboto Condensed Light" w:hAnsi="Roboto Condensed Light"/>
    </w:rPr>
  </w:style>
  <w:style w:type="paragraph" w:customStyle="1" w:styleId="GHBullet2">
    <w:name w:val="GH_Bullet 2"/>
    <w:basedOn w:val="Normal"/>
    <w:qFormat/>
    <w:rsid w:val="005E4EF9"/>
    <w:pPr>
      <w:numPr>
        <w:numId w:val="3"/>
      </w:numPr>
      <w:tabs>
        <w:tab w:val="left" w:pos="1213"/>
      </w:tabs>
      <w:contextualSpacing/>
    </w:pPr>
  </w:style>
  <w:style w:type="paragraph" w:customStyle="1" w:styleId="GHBullet1">
    <w:name w:val="GH_Bullet 1"/>
    <w:basedOn w:val="Normal"/>
    <w:qFormat/>
    <w:rsid w:val="005E4EF9"/>
    <w:pPr>
      <w:numPr>
        <w:numId w:val="4"/>
      </w:numPr>
    </w:pPr>
  </w:style>
  <w:style w:type="paragraph" w:styleId="ListParagraph">
    <w:name w:val="List Paragraph"/>
    <w:basedOn w:val="Normal"/>
    <w:uiPriority w:val="34"/>
    <w:qFormat/>
    <w:rsid w:val="00021655"/>
    <w:pPr>
      <w:ind w:left="720"/>
      <w:contextualSpacing/>
    </w:pPr>
  </w:style>
  <w:style w:type="character" w:styleId="SubtleEmphasis">
    <w:name w:val="Subtle Emphasis"/>
    <w:uiPriority w:val="19"/>
    <w:rsid w:val="00DF37E2"/>
    <w:rPr>
      <w:rFonts w:ascii="Arial" w:hAnsi="Arial"/>
      <w:i/>
      <w:iCs/>
      <w:color w:val="808080"/>
      <w:sz w:val="18"/>
    </w:rPr>
  </w:style>
  <w:style w:type="paragraph" w:customStyle="1" w:styleId="GHSubtitle">
    <w:name w:val="GH_Subtitle"/>
    <w:basedOn w:val="Normal"/>
    <w:next w:val="Normal"/>
    <w:qFormat/>
    <w:rsid w:val="00451402"/>
    <w:rPr>
      <w:rFonts w:ascii="Roboto Condensed Light" w:hAnsi="Roboto Condensed Light"/>
      <w:color w:val="94B953"/>
      <w:sz w:val="28"/>
      <w:szCs w:val="28"/>
    </w:rPr>
  </w:style>
  <w:style w:type="character" w:styleId="Strong">
    <w:name w:val="Strong"/>
    <w:uiPriority w:val="22"/>
    <w:rsid w:val="00D22923"/>
    <w:rPr>
      <w:rFonts w:ascii="Arial" w:hAnsi="Arial"/>
      <w:b/>
      <w:bCs/>
      <w:sz w:val="18"/>
    </w:rPr>
  </w:style>
  <w:style w:type="character" w:styleId="Emphasis">
    <w:name w:val="Emphasis"/>
    <w:aliases w:val="GH"/>
    <w:uiPriority w:val="20"/>
    <w:rsid w:val="00D22923"/>
    <w:rPr>
      <w:rFonts w:ascii="Arial" w:hAnsi="Arial"/>
      <w:i/>
      <w:iCs/>
      <w:sz w:val="18"/>
    </w:rPr>
  </w:style>
  <w:style w:type="character" w:styleId="IntenseEmphasis">
    <w:name w:val="Intense Emphasis"/>
    <w:uiPriority w:val="21"/>
    <w:rsid w:val="00D22923"/>
    <w:rPr>
      <w:rFonts w:ascii="Arial" w:hAnsi="Arial"/>
      <w:b/>
      <w:bCs/>
      <w:i/>
      <w:iCs/>
      <w:color w:val="000000"/>
      <w:sz w:val="18"/>
      <w:szCs w:val="18"/>
    </w:rPr>
  </w:style>
  <w:style w:type="table" w:styleId="TableGrid">
    <w:name w:val="Table Grid"/>
    <w:basedOn w:val="TableNormal"/>
    <w:uiPriority w:val="59"/>
    <w:rsid w:val="00D22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HBodytextindent">
    <w:name w:val="GH_Body text indent"/>
    <w:basedOn w:val="Normal"/>
    <w:qFormat/>
    <w:rsid w:val="005E4EF9"/>
    <w:pPr>
      <w:tabs>
        <w:tab w:val="left" w:pos="7180"/>
      </w:tabs>
      <w:ind w:left="567"/>
    </w:pPr>
  </w:style>
  <w:style w:type="paragraph" w:customStyle="1" w:styleId="GHFeaturedlist">
    <w:name w:val="GH_Featured list"/>
    <w:basedOn w:val="Normal"/>
    <w:qFormat/>
    <w:rsid w:val="00D26B3F"/>
    <w:pPr>
      <w:numPr>
        <w:numId w:val="2"/>
      </w:numPr>
      <w:contextualSpacing/>
    </w:pPr>
  </w:style>
  <w:style w:type="paragraph" w:customStyle="1" w:styleId="GHNumerals">
    <w:name w:val="GH_Numerals"/>
    <w:basedOn w:val="Normal"/>
    <w:qFormat/>
    <w:rsid w:val="005E4EF9"/>
    <w:pPr>
      <w:numPr>
        <w:numId w:val="6"/>
      </w:numPr>
      <w:tabs>
        <w:tab w:val="left" w:pos="284"/>
        <w:tab w:val="left" w:pos="7180"/>
      </w:tabs>
      <w:ind w:left="1497" w:hanging="284"/>
      <w:contextualSpacing/>
    </w:pPr>
  </w:style>
  <w:style w:type="character" w:styleId="PageNumber">
    <w:name w:val="page number"/>
    <w:basedOn w:val="DefaultParagraphFont"/>
    <w:uiPriority w:val="99"/>
    <w:unhideWhenUsed/>
    <w:rsid w:val="00903EFA"/>
    <w:rPr>
      <w:rFonts w:ascii="Arial" w:hAnsi="Arial"/>
      <w:sz w:val="14"/>
    </w:rPr>
  </w:style>
  <w:style w:type="paragraph" w:customStyle="1" w:styleId="GHTableH1">
    <w:name w:val="GH_Table H1"/>
    <w:basedOn w:val="Normal"/>
    <w:qFormat/>
    <w:rsid w:val="00536DC3"/>
    <w:pPr>
      <w:keepNext/>
      <w:spacing w:before="60" w:after="60" w:line="240" w:lineRule="auto"/>
      <w:jc w:val="left"/>
    </w:pPr>
    <w:rPr>
      <w:rFonts w:ascii="Roboto Condensed" w:eastAsia="Calibri" w:hAnsi="Roboto Condensed" w:cs="Calibri"/>
      <w:bCs/>
      <w:lang w:eastAsia="ja-JP"/>
    </w:rPr>
  </w:style>
  <w:style w:type="paragraph" w:styleId="Caption">
    <w:name w:val="caption"/>
    <w:basedOn w:val="Normal"/>
    <w:next w:val="Normal"/>
    <w:uiPriority w:val="99"/>
    <w:qFormat/>
    <w:rsid w:val="00026A2F"/>
    <w:pPr>
      <w:keepNext/>
      <w:spacing w:after="120"/>
    </w:pPr>
    <w:rPr>
      <w:rFonts w:ascii="Roboto" w:eastAsia="Cambria" w:hAnsi="Roboto" w:cs="Cambria"/>
      <w:lang w:eastAsia="ja-JP"/>
    </w:rPr>
  </w:style>
  <w:style w:type="paragraph" w:styleId="NormalIndent">
    <w:name w:val="Normal Indent"/>
    <w:basedOn w:val="Normal"/>
    <w:uiPriority w:val="99"/>
    <w:semiHidden/>
    <w:unhideWhenUsed/>
    <w:rsid w:val="00447699"/>
    <w:pPr>
      <w:ind w:left="720"/>
    </w:pPr>
  </w:style>
  <w:style w:type="paragraph" w:customStyle="1" w:styleId="GHFigure">
    <w:name w:val="GH_Figure"/>
    <w:basedOn w:val="Caption"/>
    <w:next w:val="Normal"/>
    <w:rsid w:val="00D05AE3"/>
    <w:pPr>
      <w:pBdr>
        <w:top w:val="single" w:sz="2" w:space="1" w:color="808080"/>
      </w:pBdr>
      <w:spacing w:before="60"/>
      <w:jc w:val="left"/>
    </w:pPr>
    <w:rPr>
      <w:rFonts w:eastAsia="Calibri"/>
    </w:rPr>
  </w:style>
  <w:style w:type="paragraph" w:styleId="Title">
    <w:name w:val="Title"/>
    <w:basedOn w:val="Normal"/>
    <w:next w:val="Normal"/>
    <w:link w:val="TitleChar"/>
    <w:uiPriority w:val="10"/>
    <w:rsid w:val="005E4EF9"/>
    <w:pPr>
      <w:spacing w:before="120" w:after="120" w:line="240" w:lineRule="auto"/>
      <w:ind w:left="1134" w:hanging="567"/>
      <w:contextualSpacing/>
    </w:pPr>
    <w:rPr>
      <w:b/>
      <w:bCs/>
      <w:caps/>
      <w:color w:val="75A712"/>
      <w:spacing w:val="5"/>
      <w:kern w:val="28"/>
      <w:sz w:val="34"/>
      <w:szCs w:val="28"/>
    </w:rPr>
  </w:style>
  <w:style w:type="character" w:customStyle="1" w:styleId="TitleChar">
    <w:name w:val="Title Char"/>
    <w:link w:val="Title"/>
    <w:uiPriority w:val="10"/>
    <w:rsid w:val="00703494"/>
    <w:rPr>
      <w:rFonts w:ascii="Arial" w:eastAsia="MS PGothic" w:hAnsi="Arial" w:cs="Times New Roman"/>
      <w:b/>
      <w:bCs/>
      <w:caps/>
      <w:color w:val="75A712"/>
      <w:spacing w:val="5"/>
      <w:kern w:val="28"/>
      <w:sz w:val="34"/>
      <w:szCs w:val="28"/>
    </w:rPr>
  </w:style>
  <w:style w:type="paragraph" w:customStyle="1" w:styleId="GHTermsandconditions">
    <w:name w:val="GH_Terms and conditions"/>
    <w:basedOn w:val="Normal"/>
    <w:next w:val="GHTermsandConditionstext"/>
    <w:rsid w:val="005E4EF9"/>
    <w:pPr>
      <w:pBdr>
        <w:bottom w:val="single" w:sz="8" w:space="1" w:color="75A712"/>
      </w:pBdr>
      <w:spacing w:line="240" w:lineRule="auto"/>
      <w:ind w:left="567" w:hanging="567"/>
    </w:pPr>
    <w:rPr>
      <w:color w:val="75A712"/>
      <w:sz w:val="28"/>
    </w:rPr>
  </w:style>
  <w:style w:type="paragraph" w:customStyle="1" w:styleId="GHTermsandConditionstext">
    <w:name w:val="GH_Terms and Conditions text"/>
    <w:basedOn w:val="Normal"/>
    <w:qFormat/>
    <w:rsid w:val="00220F50"/>
    <w:pPr>
      <w:numPr>
        <w:numId w:val="11"/>
      </w:numPr>
      <w:spacing w:after="160" w:line="240" w:lineRule="auto"/>
    </w:pPr>
    <w:rPr>
      <w:sz w:val="15"/>
      <w:szCs w:val="16"/>
    </w:rPr>
  </w:style>
  <w:style w:type="paragraph" w:styleId="FootnoteText">
    <w:name w:val="footnote text"/>
    <w:basedOn w:val="Normal"/>
    <w:link w:val="FootnoteTextChar"/>
    <w:uiPriority w:val="99"/>
    <w:rsid w:val="00A265B2"/>
    <w:pPr>
      <w:keepNext/>
      <w:keepLines/>
      <w:spacing w:line="240" w:lineRule="auto"/>
      <w:contextualSpacing/>
    </w:pPr>
    <w:rPr>
      <w:rFonts w:ascii="Roboto Condensed Light" w:eastAsia="Cambria" w:hAnsi="Roboto Condensed Light"/>
      <w:sz w:val="16"/>
      <w:szCs w:val="20"/>
      <w:lang w:val="en-ZA"/>
    </w:rPr>
  </w:style>
  <w:style w:type="character" w:customStyle="1" w:styleId="FootnoteTextChar">
    <w:name w:val="Footnote Text Char"/>
    <w:link w:val="FootnoteText"/>
    <w:uiPriority w:val="99"/>
    <w:rsid w:val="00A265B2"/>
    <w:rPr>
      <w:rFonts w:ascii="Roboto Condensed Light" w:eastAsia="Cambria" w:hAnsi="Roboto Condensed Light"/>
      <w:sz w:val="16"/>
      <w:szCs w:val="20"/>
      <w:lang w:val="en-ZA"/>
    </w:rPr>
  </w:style>
  <w:style w:type="character" w:styleId="FootnoteReference">
    <w:name w:val="footnote reference"/>
    <w:uiPriority w:val="99"/>
    <w:rsid w:val="00D05AE3"/>
    <w:rPr>
      <w:rFonts w:cs="Times New Roman"/>
      <w:vertAlign w:val="superscript"/>
    </w:rPr>
  </w:style>
  <w:style w:type="paragraph" w:customStyle="1" w:styleId="GHTableheading2">
    <w:name w:val="GH_Table heading 2"/>
    <w:basedOn w:val="Normal"/>
    <w:rsid w:val="003F61CA"/>
    <w:pPr>
      <w:pBdr>
        <w:bottom w:val="single" w:sz="2" w:space="1" w:color="808080"/>
      </w:pBdr>
      <w:spacing w:before="120" w:after="120"/>
      <w:ind w:left="284" w:right="284"/>
      <w:jc w:val="right"/>
    </w:pPr>
    <w:rPr>
      <w:b/>
      <w:bCs/>
      <w:caps/>
    </w:rPr>
  </w:style>
  <w:style w:type="paragraph" w:customStyle="1" w:styleId="GHHighlight">
    <w:name w:val="GH_Highlight"/>
    <w:basedOn w:val="Normal"/>
    <w:qFormat/>
    <w:rsid w:val="002115A3"/>
    <w:pPr>
      <w:shd w:val="clear" w:color="auto" w:fill="C1E68D"/>
    </w:pPr>
  </w:style>
  <w:style w:type="paragraph" w:styleId="TOC4">
    <w:name w:val="toc 4"/>
    <w:basedOn w:val="Normal"/>
    <w:next w:val="Normal"/>
    <w:autoRedefine/>
    <w:uiPriority w:val="39"/>
    <w:semiHidden/>
    <w:unhideWhenUsed/>
    <w:rsid w:val="00A81BAE"/>
    <w:rPr>
      <w:rFonts w:ascii="Calibri" w:hAnsi="Calibri"/>
      <w:sz w:val="22"/>
      <w:szCs w:val="22"/>
    </w:rPr>
  </w:style>
  <w:style w:type="paragraph" w:styleId="TOC5">
    <w:name w:val="toc 5"/>
    <w:basedOn w:val="Normal"/>
    <w:next w:val="Normal"/>
    <w:autoRedefine/>
    <w:uiPriority w:val="39"/>
    <w:semiHidden/>
    <w:unhideWhenUsed/>
    <w:rsid w:val="00A81BAE"/>
    <w:rPr>
      <w:rFonts w:ascii="Calibri" w:hAnsi="Calibri"/>
      <w:sz w:val="22"/>
      <w:szCs w:val="22"/>
    </w:rPr>
  </w:style>
  <w:style w:type="paragraph" w:styleId="TOC6">
    <w:name w:val="toc 6"/>
    <w:basedOn w:val="Normal"/>
    <w:next w:val="Normal"/>
    <w:autoRedefine/>
    <w:uiPriority w:val="39"/>
    <w:semiHidden/>
    <w:unhideWhenUsed/>
    <w:rsid w:val="00A81BAE"/>
    <w:rPr>
      <w:rFonts w:ascii="Calibri" w:hAnsi="Calibri"/>
      <w:sz w:val="22"/>
      <w:szCs w:val="22"/>
    </w:rPr>
  </w:style>
  <w:style w:type="paragraph" w:styleId="TOC7">
    <w:name w:val="toc 7"/>
    <w:basedOn w:val="Normal"/>
    <w:next w:val="Normal"/>
    <w:autoRedefine/>
    <w:uiPriority w:val="39"/>
    <w:semiHidden/>
    <w:unhideWhenUsed/>
    <w:rsid w:val="00A81BAE"/>
    <w:rPr>
      <w:rFonts w:ascii="Calibri" w:hAnsi="Calibri"/>
      <w:sz w:val="22"/>
      <w:szCs w:val="22"/>
    </w:rPr>
  </w:style>
  <w:style w:type="paragraph" w:styleId="TOC8">
    <w:name w:val="toc 8"/>
    <w:basedOn w:val="Normal"/>
    <w:next w:val="Normal"/>
    <w:autoRedefine/>
    <w:uiPriority w:val="39"/>
    <w:semiHidden/>
    <w:unhideWhenUsed/>
    <w:rsid w:val="00A81BAE"/>
    <w:rPr>
      <w:rFonts w:ascii="Calibri" w:hAnsi="Calibri"/>
      <w:sz w:val="22"/>
      <w:szCs w:val="22"/>
    </w:rPr>
  </w:style>
  <w:style w:type="paragraph" w:styleId="TOC9">
    <w:name w:val="toc 9"/>
    <w:basedOn w:val="Normal"/>
    <w:next w:val="Normal"/>
    <w:autoRedefine/>
    <w:uiPriority w:val="39"/>
    <w:semiHidden/>
    <w:unhideWhenUsed/>
    <w:rsid w:val="00A81BAE"/>
    <w:rPr>
      <w:rFonts w:ascii="Calibri" w:hAnsi="Calibri"/>
      <w:sz w:val="22"/>
      <w:szCs w:val="22"/>
    </w:rPr>
  </w:style>
  <w:style w:type="paragraph" w:customStyle="1" w:styleId="GHTOCHeading1">
    <w:name w:val="GH_TOC Heading 1"/>
    <w:basedOn w:val="Normal"/>
    <w:rsid w:val="005E4EF9"/>
    <w:pPr>
      <w:pBdr>
        <w:bottom w:val="single" w:sz="4" w:space="1" w:color="75A712"/>
      </w:pBdr>
      <w:spacing w:line="240" w:lineRule="auto"/>
    </w:pPr>
    <w:rPr>
      <w:bCs/>
      <w:color w:val="75A712"/>
      <w:sz w:val="28"/>
      <w:szCs w:val="28"/>
    </w:rPr>
  </w:style>
  <w:style w:type="paragraph" w:customStyle="1" w:styleId="GHTOC1">
    <w:name w:val="GH_TOC 1"/>
    <w:basedOn w:val="Normal"/>
    <w:qFormat/>
    <w:rsid w:val="00DF37E2"/>
    <w:pPr>
      <w:tabs>
        <w:tab w:val="left" w:pos="567"/>
        <w:tab w:val="right" w:pos="8963"/>
      </w:tabs>
      <w:spacing w:before="240"/>
    </w:pPr>
    <w:rPr>
      <w:rFonts w:cs="Arial"/>
      <w:b/>
      <w:bCs/>
      <w:noProof/>
      <w:color w:val="000000"/>
      <w:lang w:eastAsia="ja-JP"/>
    </w:rPr>
  </w:style>
  <w:style w:type="paragraph" w:customStyle="1" w:styleId="GHTOC2">
    <w:name w:val="GH_TOC 2"/>
    <w:basedOn w:val="Normal"/>
    <w:qFormat/>
    <w:rsid w:val="00DF37E2"/>
    <w:pPr>
      <w:numPr>
        <w:numId w:val="9"/>
      </w:numPr>
      <w:tabs>
        <w:tab w:val="left" w:pos="567"/>
        <w:tab w:val="right" w:pos="8963"/>
      </w:tabs>
      <w:ind w:left="0" w:firstLine="0"/>
    </w:pPr>
    <w:rPr>
      <w:rFonts w:cs="Arial"/>
      <w:i/>
      <w:noProof/>
    </w:rPr>
  </w:style>
  <w:style w:type="paragraph" w:customStyle="1" w:styleId="GHTOC4">
    <w:name w:val="GH_TOC 4"/>
    <w:basedOn w:val="Normal"/>
    <w:qFormat/>
    <w:rsid w:val="005E4EF9"/>
    <w:pPr>
      <w:tabs>
        <w:tab w:val="right" w:pos="8964"/>
      </w:tabs>
    </w:pPr>
    <w:rPr>
      <w:i/>
      <w:iCs/>
    </w:rPr>
  </w:style>
  <w:style w:type="paragraph" w:customStyle="1" w:styleId="GHTOC3">
    <w:name w:val="GH_TOC 3"/>
    <w:basedOn w:val="Normal"/>
    <w:qFormat/>
    <w:rsid w:val="00DF37E2"/>
    <w:pPr>
      <w:numPr>
        <w:numId w:val="10"/>
      </w:numPr>
      <w:tabs>
        <w:tab w:val="left" w:pos="567"/>
        <w:tab w:val="right" w:pos="8964"/>
      </w:tabs>
    </w:pPr>
    <w:rPr>
      <w:i/>
      <w:iCs/>
    </w:rPr>
  </w:style>
  <w:style w:type="paragraph" w:customStyle="1" w:styleId="GHTOC5">
    <w:name w:val="GH_TOC 5"/>
    <w:basedOn w:val="Normal"/>
    <w:qFormat/>
    <w:rsid w:val="00DF37E2"/>
    <w:pPr>
      <w:tabs>
        <w:tab w:val="right" w:pos="8963"/>
      </w:tabs>
      <w:spacing w:before="240" w:after="120"/>
    </w:pPr>
    <w:rPr>
      <w:rFonts w:cs="Arial"/>
      <w:b/>
      <w:bCs/>
      <w:i/>
      <w:noProof/>
      <w:color w:val="000000"/>
    </w:rPr>
  </w:style>
  <w:style w:type="paragraph" w:customStyle="1" w:styleId="GHTOC6">
    <w:name w:val="GH_TOC 6"/>
    <w:basedOn w:val="Normal"/>
    <w:qFormat/>
    <w:rsid w:val="00DF37E2"/>
    <w:pPr>
      <w:tabs>
        <w:tab w:val="left" w:pos="421"/>
        <w:tab w:val="right" w:pos="8963"/>
      </w:tabs>
      <w:ind w:left="1134" w:hanging="567"/>
    </w:pPr>
    <w:rPr>
      <w:rFonts w:cs="Arial"/>
      <w:i/>
      <w:noProof/>
    </w:rPr>
  </w:style>
  <w:style w:type="paragraph" w:customStyle="1" w:styleId="GHTableBody">
    <w:name w:val="GH_Table Body"/>
    <w:basedOn w:val="Normal"/>
    <w:qFormat/>
    <w:rsid w:val="006D4F00"/>
    <w:pPr>
      <w:spacing w:before="60" w:after="60" w:line="240" w:lineRule="auto"/>
      <w:jc w:val="left"/>
    </w:pPr>
    <w:rPr>
      <w:sz w:val="16"/>
    </w:rPr>
  </w:style>
  <w:style w:type="paragraph" w:styleId="IntenseQuote">
    <w:name w:val="Intense Quote"/>
    <w:basedOn w:val="Normal"/>
    <w:next w:val="Normal"/>
    <w:link w:val="IntenseQuoteChar"/>
    <w:uiPriority w:val="30"/>
    <w:qFormat/>
    <w:rsid w:val="00CF1954"/>
    <w:pPr>
      <w:pBdr>
        <w:bottom w:val="single" w:sz="4" w:space="4" w:color="000000"/>
      </w:pBdr>
      <w:spacing w:before="200" w:after="280"/>
      <w:ind w:left="936" w:right="936"/>
    </w:pPr>
    <w:rPr>
      <w:b/>
      <w:bCs/>
      <w:i/>
      <w:iCs/>
    </w:rPr>
  </w:style>
  <w:style w:type="character" w:customStyle="1" w:styleId="IntenseQuoteChar">
    <w:name w:val="Intense Quote Char"/>
    <w:link w:val="IntenseQuote"/>
    <w:uiPriority w:val="30"/>
    <w:rsid w:val="00CF1954"/>
    <w:rPr>
      <w:rFonts w:ascii="Arial" w:hAnsi="Arial"/>
      <w:b/>
      <w:bCs/>
      <w:i/>
      <w:iCs/>
      <w:sz w:val="18"/>
    </w:rPr>
  </w:style>
  <w:style w:type="character" w:styleId="IntenseReference">
    <w:name w:val="Intense Reference"/>
    <w:uiPriority w:val="32"/>
    <w:rsid w:val="00CF1954"/>
    <w:rPr>
      <w:rFonts w:ascii="Arial" w:hAnsi="Arial"/>
      <w:b/>
      <w:bCs/>
      <w:caps w:val="0"/>
      <w:smallCaps w:val="0"/>
      <w:strike w:val="0"/>
      <w:dstrike w:val="0"/>
      <w:vanish/>
      <w:color w:val="auto"/>
      <w:spacing w:val="5"/>
      <w:sz w:val="18"/>
      <w:szCs w:val="18"/>
      <w:u w:val="single"/>
      <w:vertAlign w:val="baseline"/>
    </w:rPr>
  </w:style>
  <w:style w:type="character" w:styleId="SubtleReference">
    <w:name w:val="Subtle Reference"/>
    <w:uiPriority w:val="31"/>
    <w:rsid w:val="00CF1954"/>
    <w:rPr>
      <w:rFonts w:ascii="Arial" w:hAnsi="Arial"/>
      <w:caps w:val="0"/>
      <w:smallCaps w:val="0"/>
      <w:strike w:val="0"/>
      <w:dstrike w:val="0"/>
      <w:vanish/>
      <w:color w:val="75A712"/>
      <w:sz w:val="18"/>
      <w:szCs w:val="18"/>
      <w:u w:val="single"/>
      <w:vertAlign w:val="baseline"/>
    </w:rPr>
  </w:style>
  <w:style w:type="paragraph" w:styleId="DocumentMap">
    <w:name w:val="Document Map"/>
    <w:basedOn w:val="Normal"/>
    <w:link w:val="DocumentMapChar"/>
    <w:uiPriority w:val="99"/>
    <w:semiHidden/>
    <w:unhideWhenUsed/>
    <w:rsid w:val="004B7880"/>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B7880"/>
    <w:rPr>
      <w:rFonts w:ascii="Lucida Grande" w:hAnsi="Lucida Grande" w:cs="Lucida Grande"/>
      <w:sz w:val="24"/>
      <w:szCs w:val="24"/>
    </w:rPr>
  </w:style>
  <w:style w:type="paragraph" w:styleId="TOC1">
    <w:name w:val="toc 1"/>
    <w:basedOn w:val="Normal"/>
    <w:next w:val="Normal"/>
    <w:autoRedefine/>
    <w:uiPriority w:val="39"/>
    <w:unhideWhenUsed/>
    <w:qFormat/>
    <w:rsid w:val="00C764C4"/>
    <w:pPr>
      <w:spacing w:after="100"/>
    </w:pPr>
    <w:rPr>
      <w:b/>
      <w:bCs/>
      <w:caps/>
    </w:rPr>
  </w:style>
  <w:style w:type="paragraph" w:styleId="TOC2">
    <w:name w:val="toc 2"/>
    <w:basedOn w:val="Normal"/>
    <w:next w:val="Normal"/>
    <w:autoRedefine/>
    <w:uiPriority w:val="39"/>
    <w:unhideWhenUsed/>
    <w:qFormat/>
    <w:rsid w:val="00C764C4"/>
    <w:pPr>
      <w:spacing w:after="100"/>
      <w:ind w:left="180"/>
    </w:pPr>
  </w:style>
  <w:style w:type="paragraph" w:styleId="TOC3">
    <w:name w:val="toc 3"/>
    <w:basedOn w:val="Normal"/>
    <w:next w:val="Normal"/>
    <w:autoRedefine/>
    <w:uiPriority w:val="39"/>
    <w:unhideWhenUsed/>
    <w:qFormat/>
    <w:rsid w:val="00C764C4"/>
    <w:pPr>
      <w:spacing w:after="100"/>
      <w:ind w:left="360"/>
    </w:pPr>
    <w:rPr>
      <w:i/>
    </w:rPr>
  </w:style>
  <w:style w:type="paragraph" w:customStyle="1" w:styleId="Appendixlevel1">
    <w:name w:val="Appendix level 1"/>
    <w:basedOn w:val="Heading1"/>
    <w:next w:val="Normal"/>
    <w:link w:val="Appendixlevel1Char"/>
    <w:qFormat/>
    <w:rsid w:val="00451402"/>
    <w:pPr>
      <w:numPr>
        <w:numId w:val="16"/>
      </w:numPr>
    </w:pPr>
    <w:rPr>
      <w:color w:val="94B953"/>
      <w:szCs w:val="34"/>
    </w:rPr>
  </w:style>
  <w:style w:type="character" w:customStyle="1" w:styleId="Appendixlevel1Char">
    <w:name w:val="Appendix level 1 Char"/>
    <w:basedOn w:val="Heading1Char"/>
    <w:link w:val="Appendixlevel1"/>
    <w:rsid w:val="00451402"/>
    <w:rPr>
      <w:rFonts w:ascii="Roboto Condensed" w:hAnsi="Roboto Condensed"/>
      <w:bCs/>
      <w:caps/>
      <w:color w:val="94B953"/>
      <w:sz w:val="34"/>
      <w:szCs w:val="34"/>
    </w:rPr>
  </w:style>
  <w:style w:type="paragraph" w:customStyle="1" w:styleId="Appendixlevel2">
    <w:name w:val="Appendix level 2"/>
    <w:basedOn w:val="Heading2"/>
    <w:next w:val="Normal"/>
    <w:qFormat/>
    <w:rsid w:val="007109F1"/>
    <w:pPr>
      <w:numPr>
        <w:numId w:val="16"/>
      </w:numPr>
    </w:pPr>
  </w:style>
  <w:style w:type="paragraph" w:customStyle="1" w:styleId="Appendixlevel3">
    <w:name w:val="Appendix level 3"/>
    <w:basedOn w:val="Heading3"/>
    <w:next w:val="Normal"/>
    <w:qFormat/>
    <w:rsid w:val="007109F1"/>
    <w:pPr>
      <w:numPr>
        <w:numId w:val="16"/>
      </w:numPr>
      <w:tabs>
        <w:tab w:val="left" w:pos="2368"/>
      </w:tabs>
    </w:pPr>
  </w:style>
  <w:style w:type="paragraph" w:customStyle="1" w:styleId="Appendixlevel4">
    <w:name w:val="Appendix level 4"/>
    <w:basedOn w:val="Normal"/>
    <w:next w:val="Normal"/>
    <w:qFormat/>
    <w:rsid w:val="00451402"/>
    <w:pPr>
      <w:numPr>
        <w:ilvl w:val="3"/>
        <w:numId w:val="16"/>
      </w:numPr>
      <w:tabs>
        <w:tab w:val="left" w:pos="2368"/>
      </w:tabs>
    </w:pPr>
    <w:rPr>
      <w:b/>
      <w:color w:val="94B953"/>
      <w:sz w:val="22"/>
    </w:rPr>
  </w:style>
  <w:style w:type="table" w:styleId="LightShading">
    <w:name w:val="Light Shading"/>
    <w:basedOn w:val="TableNormal"/>
    <w:uiPriority w:val="60"/>
    <w:rsid w:val="001B27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1B273F"/>
    <w:rPr>
      <w:color w:val="31479E" w:themeColor="accent1" w:themeShade="BF"/>
    </w:rPr>
    <w:tblPr>
      <w:tblStyleRowBandSize w:val="1"/>
      <w:tblStyleColBandSize w:val="1"/>
      <w:tblBorders>
        <w:top w:val="single" w:sz="8" w:space="0" w:color="4E67C8" w:themeColor="accent1"/>
        <w:bottom w:val="single" w:sz="8" w:space="0" w:color="4E67C8" w:themeColor="accent1"/>
      </w:tblBorders>
    </w:tblPr>
    <w:tblStylePr w:type="firstRow">
      <w:pPr>
        <w:spacing w:before="0" w:after="0" w:line="240" w:lineRule="auto"/>
      </w:pPr>
      <w:rPr>
        <w:b/>
        <w:bCs/>
      </w:rPr>
      <w:tblPr/>
      <w:tcPr>
        <w:tcBorders>
          <w:top w:val="single" w:sz="8" w:space="0" w:color="4E67C8" w:themeColor="accent1"/>
          <w:left w:val="nil"/>
          <w:bottom w:val="single" w:sz="8" w:space="0" w:color="4E67C8" w:themeColor="accent1"/>
          <w:right w:val="nil"/>
          <w:insideH w:val="nil"/>
          <w:insideV w:val="nil"/>
        </w:tcBorders>
      </w:tcPr>
    </w:tblStylePr>
    <w:tblStylePr w:type="lastRow">
      <w:pPr>
        <w:spacing w:before="0" w:after="0" w:line="240" w:lineRule="auto"/>
      </w:pPr>
      <w:rPr>
        <w:b/>
        <w:bCs/>
      </w:rPr>
      <w:tblPr/>
      <w:tcPr>
        <w:tcBorders>
          <w:top w:val="single" w:sz="8" w:space="0" w:color="4E67C8" w:themeColor="accent1"/>
          <w:left w:val="nil"/>
          <w:bottom w:val="single" w:sz="8" w:space="0" w:color="4E67C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9F1" w:themeFill="accent1" w:themeFillTint="3F"/>
      </w:tcPr>
    </w:tblStylePr>
    <w:tblStylePr w:type="band1Horz">
      <w:tblPr/>
      <w:tcPr>
        <w:tcBorders>
          <w:left w:val="nil"/>
          <w:right w:val="nil"/>
          <w:insideH w:val="nil"/>
          <w:insideV w:val="nil"/>
        </w:tcBorders>
        <w:shd w:val="clear" w:color="auto" w:fill="D3D9F1" w:themeFill="accent1" w:themeFillTint="3F"/>
      </w:tcPr>
    </w:tblStylePr>
  </w:style>
  <w:style w:type="table" w:styleId="LightList">
    <w:name w:val="Light List"/>
    <w:basedOn w:val="TableNormal"/>
    <w:uiPriority w:val="61"/>
    <w:rsid w:val="001B27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1B27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
    <w:name w:val="Medium Shading 1"/>
    <w:basedOn w:val="TableNormal"/>
    <w:uiPriority w:val="63"/>
    <w:rsid w:val="001B273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B273F"/>
    <w:tblPr>
      <w:tblStyleRowBandSize w:val="1"/>
      <w:tblStyleColBandSize w:val="1"/>
      <w:tblBorders>
        <w:top w:val="single" w:sz="8" w:space="0" w:color="7A8CD5" w:themeColor="accent1" w:themeTint="BF"/>
        <w:left w:val="single" w:sz="8" w:space="0" w:color="7A8CD5" w:themeColor="accent1" w:themeTint="BF"/>
        <w:bottom w:val="single" w:sz="8" w:space="0" w:color="7A8CD5" w:themeColor="accent1" w:themeTint="BF"/>
        <w:right w:val="single" w:sz="8" w:space="0" w:color="7A8CD5" w:themeColor="accent1" w:themeTint="BF"/>
        <w:insideH w:val="single" w:sz="8" w:space="0" w:color="7A8CD5" w:themeColor="accent1" w:themeTint="BF"/>
      </w:tblBorders>
    </w:tblPr>
    <w:tblStylePr w:type="firstRow">
      <w:pPr>
        <w:spacing w:before="0" w:after="0" w:line="240" w:lineRule="auto"/>
      </w:pPr>
      <w:rPr>
        <w:b/>
        <w:bCs/>
        <w:color w:val="FFFFFF" w:themeColor="background1"/>
      </w:rPr>
      <w:tblPr/>
      <w:tcPr>
        <w:tcBorders>
          <w:top w:val="single" w:sz="8" w:space="0" w:color="7A8CD5" w:themeColor="accent1" w:themeTint="BF"/>
          <w:left w:val="single" w:sz="8" w:space="0" w:color="7A8CD5" w:themeColor="accent1" w:themeTint="BF"/>
          <w:bottom w:val="single" w:sz="8" w:space="0" w:color="7A8CD5" w:themeColor="accent1" w:themeTint="BF"/>
          <w:right w:val="single" w:sz="8" w:space="0" w:color="7A8CD5" w:themeColor="accent1" w:themeTint="BF"/>
          <w:insideH w:val="nil"/>
          <w:insideV w:val="nil"/>
        </w:tcBorders>
        <w:shd w:val="clear" w:color="auto" w:fill="4E67C8" w:themeFill="accent1"/>
      </w:tcPr>
    </w:tblStylePr>
    <w:tblStylePr w:type="lastRow">
      <w:pPr>
        <w:spacing w:before="0" w:after="0" w:line="240" w:lineRule="auto"/>
      </w:pPr>
      <w:rPr>
        <w:b/>
        <w:bCs/>
      </w:rPr>
      <w:tblPr/>
      <w:tcPr>
        <w:tcBorders>
          <w:top w:val="double" w:sz="6" w:space="0" w:color="7A8CD5" w:themeColor="accent1" w:themeTint="BF"/>
          <w:left w:val="single" w:sz="8" w:space="0" w:color="7A8CD5" w:themeColor="accent1" w:themeTint="BF"/>
          <w:bottom w:val="single" w:sz="8" w:space="0" w:color="7A8CD5" w:themeColor="accent1" w:themeTint="BF"/>
          <w:right w:val="single" w:sz="8" w:space="0" w:color="7A8CD5"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9F1" w:themeFill="accent1" w:themeFillTint="3F"/>
      </w:tcPr>
    </w:tblStylePr>
    <w:tblStylePr w:type="band1Horz">
      <w:tblPr/>
      <w:tcPr>
        <w:tcBorders>
          <w:insideH w:val="nil"/>
          <w:insideV w:val="nil"/>
        </w:tcBorders>
        <w:shd w:val="clear" w:color="auto" w:fill="D3D9F1"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1B273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1B273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4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GHBody">
    <w:name w:val="GH_Body"/>
    <w:basedOn w:val="Normal"/>
    <w:qFormat/>
    <w:rsid w:val="00903EFA"/>
    <w:pPr>
      <w:spacing w:after="0"/>
    </w:pPr>
  </w:style>
  <w:style w:type="paragraph" w:customStyle="1" w:styleId="GHAppendixA">
    <w:name w:val="GH_Appendix A"/>
    <w:basedOn w:val="Normal"/>
    <w:next w:val="GHBody"/>
    <w:rsid w:val="00903EFA"/>
    <w:pPr>
      <w:pBdr>
        <w:bottom w:val="single" w:sz="8" w:space="1" w:color="75A712"/>
      </w:pBdr>
      <w:tabs>
        <w:tab w:val="left" w:pos="7180"/>
      </w:tabs>
      <w:spacing w:after="0" w:line="240" w:lineRule="auto"/>
    </w:pPr>
    <w:rPr>
      <w:color w:val="75A712"/>
      <w:sz w:val="28"/>
    </w:rPr>
  </w:style>
  <w:style w:type="paragraph" w:styleId="Quote">
    <w:name w:val="Quote"/>
    <w:basedOn w:val="Normal"/>
    <w:next w:val="Normal"/>
    <w:link w:val="QuoteChar"/>
    <w:uiPriority w:val="29"/>
    <w:qFormat/>
    <w:rsid w:val="000927FF"/>
    <w:rPr>
      <w:i/>
      <w:iCs/>
      <w:color w:val="000000" w:themeColor="text1"/>
    </w:rPr>
  </w:style>
  <w:style w:type="paragraph" w:customStyle="1" w:styleId="TOCheader">
    <w:name w:val="TOC header"/>
    <w:basedOn w:val="Normal"/>
    <w:link w:val="TOCheaderChar"/>
    <w:qFormat/>
    <w:rsid w:val="00451402"/>
    <w:pPr>
      <w:spacing w:after="360" w:line="240" w:lineRule="auto"/>
      <w:ind w:left="284" w:hanging="284"/>
    </w:pPr>
    <w:rPr>
      <w:rFonts w:ascii="Roboto Condensed" w:hAnsi="Roboto Condensed"/>
      <w:bCs/>
      <w:caps/>
      <w:color w:val="94B953"/>
      <w:sz w:val="34"/>
      <w:szCs w:val="40"/>
    </w:rPr>
  </w:style>
  <w:style w:type="character" w:customStyle="1" w:styleId="TOCheaderChar">
    <w:name w:val="TOC header Char"/>
    <w:basedOn w:val="DefaultParagraphFont"/>
    <w:link w:val="TOCheader"/>
    <w:rsid w:val="00451402"/>
    <w:rPr>
      <w:rFonts w:ascii="Roboto Condensed" w:hAnsi="Roboto Condensed"/>
      <w:bCs/>
      <w:caps/>
      <w:color w:val="94B953"/>
      <w:sz w:val="34"/>
      <w:szCs w:val="40"/>
    </w:rPr>
  </w:style>
  <w:style w:type="character" w:customStyle="1" w:styleId="QuoteChar">
    <w:name w:val="Quote Char"/>
    <w:basedOn w:val="DefaultParagraphFont"/>
    <w:link w:val="Quote"/>
    <w:uiPriority w:val="29"/>
    <w:rsid w:val="000927FF"/>
    <w:rPr>
      <w:rFonts w:ascii="Arial" w:hAnsi="Arial"/>
      <w:i/>
      <w:iCs/>
      <w:color w:val="000000" w:themeColor="text1"/>
      <w:sz w:val="18"/>
      <w:szCs w:val="24"/>
    </w:rPr>
  </w:style>
  <w:style w:type="character" w:styleId="BookTitle">
    <w:name w:val="Book Title"/>
    <w:basedOn w:val="DefaultParagraphFont"/>
    <w:uiPriority w:val="33"/>
    <w:rsid w:val="009A07DE"/>
    <w:rPr>
      <w:b/>
      <w:bCs/>
      <w:smallCaps/>
      <w:spacing w:val="5"/>
    </w:rPr>
  </w:style>
  <w:style w:type="paragraph" w:styleId="NormalWeb">
    <w:name w:val="Normal (Web)"/>
    <w:basedOn w:val="Normal"/>
    <w:uiPriority w:val="99"/>
    <w:semiHidden/>
    <w:unhideWhenUsed/>
    <w:rsid w:val="008F0B6E"/>
    <w:pPr>
      <w:spacing w:before="100" w:beforeAutospacing="1" w:after="100" w:afterAutospacing="1" w:line="240" w:lineRule="auto"/>
      <w:jc w:val="left"/>
    </w:pPr>
    <w:rPr>
      <w:rFonts w:ascii="Times New Roman" w:eastAsiaTheme="minorEastAsia" w:hAnsi="Times New Roman"/>
      <w:sz w:val="20"/>
      <w:szCs w:val="20"/>
      <w:lang w:val="en-ZA"/>
    </w:rPr>
  </w:style>
  <w:style w:type="table" w:customStyle="1" w:styleId="TGHnew">
    <w:name w:val="TGH new"/>
    <w:basedOn w:val="TableNormal"/>
    <w:uiPriority w:val="99"/>
    <w:rsid w:val="008B0E68"/>
    <w:rPr>
      <w:rFonts w:ascii="Roboto Light" w:hAnsi="Roboto Light"/>
      <w:sz w:val="16"/>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rFonts w:ascii="Roboto Condensed" w:hAnsi="Roboto Condensed"/>
        <w:color w:val="FFFFFF" w:themeColor="background1"/>
      </w:rPr>
      <w:tblPr/>
      <w:tcPr>
        <w:shd w:val="clear" w:color="auto" w:fill="808080" w:themeFill="background1" w:themeFillShade="80"/>
      </w:tcPr>
    </w:tblStylePr>
  </w:style>
  <w:style w:type="table" w:styleId="LightList-Accent3">
    <w:name w:val="Light List Accent 3"/>
    <w:basedOn w:val="TableNormal"/>
    <w:uiPriority w:val="61"/>
    <w:rsid w:val="00536DC3"/>
    <w:tblPr>
      <w:tblStyleRowBandSize w:val="1"/>
      <w:tblStyleColBandSize w:val="1"/>
      <w:tblBorders>
        <w:top w:val="single" w:sz="8" w:space="0" w:color="A7EA52" w:themeColor="accent3"/>
        <w:left w:val="single" w:sz="8" w:space="0" w:color="A7EA52" w:themeColor="accent3"/>
        <w:bottom w:val="single" w:sz="8" w:space="0" w:color="A7EA52" w:themeColor="accent3"/>
        <w:right w:val="single" w:sz="8" w:space="0" w:color="A7EA52" w:themeColor="accent3"/>
      </w:tblBorders>
    </w:tblPr>
    <w:tblStylePr w:type="firstRow">
      <w:pPr>
        <w:spacing w:before="0" w:after="0" w:line="240" w:lineRule="auto"/>
      </w:pPr>
      <w:rPr>
        <w:b/>
        <w:bCs/>
        <w:color w:val="FFFFFF" w:themeColor="background1"/>
      </w:rPr>
      <w:tblPr/>
      <w:tcPr>
        <w:shd w:val="clear" w:color="auto" w:fill="A7EA52" w:themeFill="accent3"/>
      </w:tcPr>
    </w:tblStylePr>
    <w:tblStylePr w:type="lastRow">
      <w:pPr>
        <w:spacing w:before="0" w:after="0" w:line="240" w:lineRule="auto"/>
      </w:pPr>
      <w:rPr>
        <w:b/>
        <w:bCs/>
      </w:rPr>
      <w:tblPr/>
      <w:tcPr>
        <w:tcBorders>
          <w:top w:val="double" w:sz="6" w:space="0" w:color="A7EA52" w:themeColor="accent3"/>
          <w:left w:val="single" w:sz="8" w:space="0" w:color="A7EA52" w:themeColor="accent3"/>
          <w:bottom w:val="single" w:sz="8" w:space="0" w:color="A7EA52" w:themeColor="accent3"/>
          <w:right w:val="single" w:sz="8" w:space="0" w:color="A7EA52" w:themeColor="accent3"/>
        </w:tcBorders>
      </w:tcPr>
    </w:tblStylePr>
    <w:tblStylePr w:type="firstCol">
      <w:rPr>
        <w:b/>
        <w:bCs/>
      </w:rPr>
    </w:tblStylePr>
    <w:tblStylePr w:type="lastCol">
      <w:rPr>
        <w:b/>
        <w:bCs/>
      </w:rPr>
    </w:tblStylePr>
    <w:tblStylePr w:type="band1Vert">
      <w:tblPr/>
      <w:tcPr>
        <w:tcBorders>
          <w:top w:val="single" w:sz="8" w:space="0" w:color="A7EA52" w:themeColor="accent3"/>
          <w:left w:val="single" w:sz="8" w:space="0" w:color="A7EA52" w:themeColor="accent3"/>
          <w:bottom w:val="single" w:sz="8" w:space="0" w:color="A7EA52" w:themeColor="accent3"/>
          <w:right w:val="single" w:sz="8" w:space="0" w:color="A7EA52" w:themeColor="accent3"/>
        </w:tcBorders>
      </w:tcPr>
    </w:tblStylePr>
    <w:tblStylePr w:type="band1Horz">
      <w:tblPr/>
      <w:tcPr>
        <w:tcBorders>
          <w:top w:val="single" w:sz="8" w:space="0" w:color="A7EA52" w:themeColor="accent3"/>
          <w:left w:val="single" w:sz="8" w:space="0" w:color="A7EA52" w:themeColor="accent3"/>
          <w:bottom w:val="single" w:sz="8" w:space="0" w:color="A7EA52" w:themeColor="accent3"/>
          <w:right w:val="single" w:sz="8" w:space="0" w:color="A7EA52" w:themeColor="accent3"/>
        </w:tcBorders>
      </w:tcPr>
    </w:tblStylePr>
  </w:style>
  <w:style w:type="table" w:styleId="ColorfulShading-Accent3">
    <w:name w:val="Colorful Shading Accent 3"/>
    <w:basedOn w:val="TableNormal"/>
    <w:uiPriority w:val="71"/>
    <w:rsid w:val="00536DC3"/>
    <w:rPr>
      <w:color w:val="000000" w:themeColor="text1"/>
    </w:rPr>
    <w:tblPr>
      <w:tblStyleRowBandSize w:val="1"/>
      <w:tblStyleColBandSize w:val="1"/>
      <w:tblBorders>
        <w:top w:val="single" w:sz="24" w:space="0" w:color="5DCEAF" w:themeColor="accent4"/>
        <w:left w:val="single" w:sz="4" w:space="0" w:color="A7EA52" w:themeColor="accent3"/>
        <w:bottom w:val="single" w:sz="4" w:space="0" w:color="A7EA52" w:themeColor="accent3"/>
        <w:right w:val="single" w:sz="4" w:space="0" w:color="A7EA52" w:themeColor="accent3"/>
        <w:insideH w:val="single" w:sz="4" w:space="0" w:color="FFFFFF" w:themeColor="background1"/>
        <w:insideV w:val="single" w:sz="4" w:space="0" w:color="FFFFFF" w:themeColor="background1"/>
      </w:tblBorders>
    </w:tblPr>
    <w:tcPr>
      <w:shd w:val="clear" w:color="auto" w:fill="F6FDED" w:themeFill="accent3" w:themeFillTint="19"/>
    </w:tcPr>
    <w:tblStylePr w:type="firstRow">
      <w:rPr>
        <w:b/>
        <w:bCs/>
      </w:rPr>
      <w:tblPr/>
      <w:tcPr>
        <w:tcBorders>
          <w:top w:val="nil"/>
          <w:left w:val="nil"/>
          <w:bottom w:val="single" w:sz="24" w:space="0" w:color="5DCEA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7A814" w:themeFill="accent3" w:themeFillShade="99"/>
      </w:tcPr>
    </w:tblStylePr>
    <w:tblStylePr w:type="firstCol">
      <w:rPr>
        <w:color w:val="FFFFFF" w:themeColor="background1"/>
      </w:rPr>
      <w:tblPr/>
      <w:tcPr>
        <w:tcBorders>
          <w:top w:val="nil"/>
          <w:left w:val="nil"/>
          <w:bottom w:val="nil"/>
          <w:right w:val="nil"/>
          <w:insideH w:val="single" w:sz="4" w:space="0" w:color="67A814" w:themeColor="accent3" w:themeShade="99"/>
          <w:insideV w:val="nil"/>
        </w:tcBorders>
        <w:shd w:val="clear" w:color="auto" w:fill="67A81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7A814" w:themeFill="accent3" w:themeFillShade="99"/>
      </w:tcPr>
    </w:tblStylePr>
    <w:tblStylePr w:type="band1Vert">
      <w:tblPr/>
      <w:tcPr>
        <w:shd w:val="clear" w:color="auto" w:fill="DBF6B9" w:themeFill="accent3" w:themeFillTint="66"/>
      </w:tcPr>
    </w:tblStylePr>
    <w:tblStylePr w:type="band1Horz">
      <w:tblPr/>
      <w:tcPr>
        <w:shd w:val="clear" w:color="auto" w:fill="D2F4A8" w:themeFill="accent3" w:themeFillTint="7F"/>
      </w:tcPr>
    </w:tblStylePr>
  </w:style>
  <w:style w:type="paragraph" w:customStyle="1" w:styleId="Default">
    <w:name w:val="Default"/>
    <w:rsid w:val="00E008F9"/>
    <w:pPr>
      <w:autoSpaceDE w:val="0"/>
      <w:autoSpaceDN w:val="0"/>
      <w:adjustRightInd w:val="0"/>
    </w:pPr>
    <w:rPr>
      <w:rFonts w:cs="Calibri"/>
      <w:color w:val="000000"/>
    </w:rPr>
  </w:style>
  <w:style w:type="character" w:styleId="CommentReference">
    <w:name w:val="annotation reference"/>
    <w:basedOn w:val="DefaultParagraphFont"/>
    <w:uiPriority w:val="99"/>
    <w:semiHidden/>
    <w:unhideWhenUsed/>
    <w:rsid w:val="00630083"/>
    <w:rPr>
      <w:sz w:val="16"/>
      <w:szCs w:val="16"/>
    </w:rPr>
  </w:style>
  <w:style w:type="paragraph" w:styleId="CommentText">
    <w:name w:val="annotation text"/>
    <w:basedOn w:val="Normal"/>
    <w:link w:val="CommentTextChar"/>
    <w:uiPriority w:val="99"/>
    <w:semiHidden/>
    <w:unhideWhenUsed/>
    <w:rsid w:val="00630083"/>
    <w:pPr>
      <w:spacing w:line="240" w:lineRule="auto"/>
    </w:pPr>
    <w:rPr>
      <w:sz w:val="20"/>
      <w:szCs w:val="20"/>
    </w:rPr>
  </w:style>
  <w:style w:type="character" w:customStyle="1" w:styleId="CommentTextChar">
    <w:name w:val="Comment Text Char"/>
    <w:basedOn w:val="DefaultParagraphFont"/>
    <w:link w:val="CommentText"/>
    <w:uiPriority w:val="99"/>
    <w:semiHidden/>
    <w:rsid w:val="00630083"/>
    <w:rPr>
      <w:rFonts w:ascii="Roboto Light" w:hAnsi="Roboto Light"/>
      <w:sz w:val="20"/>
      <w:szCs w:val="20"/>
    </w:rPr>
  </w:style>
  <w:style w:type="paragraph" w:styleId="CommentSubject">
    <w:name w:val="annotation subject"/>
    <w:basedOn w:val="CommentText"/>
    <w:next w:val="CommentText"/>
    <w:link w:val="CommentSubjectChar"/>
    <w:uiPriority w:val="99"/>
    <w:semiHidden/>
    <w:unhideWhenUsed/>
    <w:rsid w:val="00630083"/>
    <w:rPr>
      <w:b/>
      <w:bCs/>
    </w:rPr>
  </w:style>
  <w:style w:type="character" w:customStyle="1" w:styleId="CommentSubjectChar">
    <w:name w:val="Comment Subject Char"/>
    <w:basedOn w:val="CommentTextChar"/>
    <w:link w:val="CommentSubject"/>
    <w:uiPriority w:val="99"/>
    <w:semiHidden/>
    <w:rsid w:val="00630083"/>
    <w:rPr>
      <w:rFonts w:ascii="Roboto Light" w:hAnsi="Roboto Light"/>
      <w:b/>
      <w:bCs/>
      <w:sz w:val="20"/>
      <w:szCs w:val="20"/>
    </w:rPr>
  </w:style>
  <w:style w:type="paragraph" w:styleId="NoSpacing">
    <w:name w:val="No Spacing"/>
    <w:uiPriority w:val="1"/>
    <w:qFormat/>
    <w:rsid w:val="004278A7"/>
    <w:pPr>
      <w:jc w:val="both"/>
    </w:pPr>
    <w:rPr>
      <w:rFonts w:ascii="Roboto Light" w:hAnsi="Roboto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29617">
      <w:bodyDiv w:val="1"/>
      <w:marLeft w:val="0"/>
      <w:marRight w:val="0"/>
      <w:marTop w:val="0"/>
      <w:marBottom w:val="0"/>
      <w:divBdr>
        <w:top w:val="none" w:sz="0" w:space="0" w:color="auto"/>
        <w:left w:val="none" w:sz="0" w:space="0" w:color="auto"/>
        <w:bottom w:val="none" w:sz="0" w:space="0" w:color="auto"/>
        <w:right w:val="none" w:sz="0" w:space="0" w:color="auto"/>
      </w:divBdr>
    </w:div>
    <w:div w:id="365521583">
      <w:bodyDiv w:val="1"/>
      <w:marLeft w:val="0"/>
      <w:marRight w:val="0"/>
      <w:marTop w:val="0"/>
      <w:marBottom w:val="0"/>
      <w:divBdr>
        <w:top w:val="none" w:sz="0" w:space="0" w:color="auto"/>
        <w:left w:val="none" w:sz="0" w:space="0" w:color="auto"/>
        <w:bottom w:val="none" w:sz="0" w:space="0" w:color="auto"/>
        <w:right w:val="none" w:sz="0" w:space="0" w:color="auto"/>
      </w:divBdr>
    </w:div>
    <w:div w:id="470095642">
      <w:bodyDiv w:val="1"/>
      <w:marLeft w:val="0"/>
      <w:marRight w:val="0"/>
      <w:marTop w:val="0"/>
      <w:marBottom w:val="0"/>
      <w:divBdr>
        <w:top w:val="none" w:sz="0" w:space="0" w:color="auto"/>
        <w:left w:val="none" w:sz="0" w:space="0" w:color="auto"/>
        <w:bottom w:val="none" w:sz="0" w:space="0" w:color="auto"/>
        <w:right w:val="none" w:sz="0" w:space="0" w:color="auto"/>
      </w:divBdr>
    </w:div>
    <w:div w:id="1846166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19" Type="http://schemas.microsoft.com/office/2018/08/relationships/commentsExtensible" Target="commentsExtensi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GH 2019">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Classic 2">
      <a:majorFont>
        <a:latin typeface="Roboto Condensed"/>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boto Light"/>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0EA4C-9D41-48EA-8943-D3D0ECEB8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3610</Words>
  <Characters>20582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Logan</dc:creator>
  <cp:lastModifiedBy>Alexandra Logan</cp:lastModifiedBy>
  <cp:revision>9</cp:revision>
  <cp:lastPrinted>2019-05-10T11:46:00Z</cp:lastPrinted>
  <dcterms:created xsi:type="dcterms:W3CDTF">2021-04-07T12:34:00Z</dcterms:created>
  <dcterms:modified xsi:type="dcterms:W3CDTF">2021-04-07T13:09:00Z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4238fe80-a51f-3c75-accc-b6dd17416afb</vt:lpwstr>
  </property>
  <property fmtid="{D5CDD505-2E9C-101B-9397-08002B2CF9AE}" pid="24" name="Mendeley Citation Style_1">
    <vt:lpwstr>http://www.zotero.org/styles/harvard1</vt:lpwstr>
  </property>
</Properties>
</file>