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F1" w:rsidRDefault="00822E60" w:rsidP="00822E60">
      <w:pPr>
        <w:pStyle w:val="Heading1"/>
        <w:rPr>
          <w:lang w:val="en-ZA"/>
        </w:rPr>
      </w:pPr>
      <w:r>
        <w:rPr>
          <w:lang w:val="en-ZA"/>
        </w:rPr>
        <w:t>Liquid fuels and chemicals sector</w:t>
      </w:r>
    </w:p>
    <w:p w:rsidR="00822E60" w:rsidRDefault="00822E60" w:rsidP="00822E60">
      <w:pPr>
        <w:pStyle w:val="Heading2"/>
        <w:rPr>
          <w:lang w:val="en-ZA"/>
        </w:rPr>
      </w:pPr>
      <w:r>
        <w:rPr>
          <w:lang w:val="en-ZA"/>
        </w:rPr>
        <w:t>Existing ammonia plant characterisation</w:t>
      </w:r>
    </w:p>
    <w:p w:rsidR="00822E60" w:rsidRDefault="00822E60" w:rsidP="00822E60">
      <w:pPr>
        <w:rPr>
          <w:b/>
          <w:lang w:val="en-ZA"/>
        </w:rPr>
      </w:pPr>
      <w:r w:rsidRPr="00822E60">
        <w:rPr>
          <w:b/>
          <w:lang w:val="en-ZA"/>
        </w:rPr>
        <w:t>Existing capacity of ammonia plant</w:t>
      </w:r>
    </w:p>
    <w:p w:rsidR="00822E60" w:rsidRDefault="00822E60" w:rsidP="00822E60">
      <w:pPr>
        <w:rPr>
          <w:lang w:val="en-ZA"/>
        </w:rPr>
      </w:pPr>
      <w:r>
        <w:rPr>
          <w:lang w:val="en-ZA"/>
        </w:rPr>
        <w:t xml:space="preserve">Sasol has two ammonia plants, with a combined capacity of 660 ktpa, located at Sasolburg (330 ktpa) and Secunda (330 ktpa) </w:t>
      </w:r>
      <w:r>
        <w:rPr>
          <w:lang w:val="en-ZA"/>
        </w:rPr>
        <w:fldChar w:fldCharType="begin" w:fldLock="1"/>
      </w:r>
      <w:r w:rsidR="00065BAF">
        <w:rPr>
          <w:lang w:val="en-ZA"/>
        </w:rPr>
        <w:instrText>ADDIN CSL_CITATION {"citationItems":[{"id":"ITEM-1","itemData":{"author":[{"dropping-particle":"","family":"Sasol","given":"","non-dropping-particle":"","parse-names":false,"suffix":""}],"id":"ITEM-1","issued":{"date-parts":[["2014"]]},"title":"Segment Overview","type":"report"},"uris":["http://www.mendeley.com/documents/?uuid=c3a85323-2dc7-35d7-9615-b8f8976fb5fa"]},{"id":"ITEM-2","itemData":{"author":[{"dropping-particle":"","family":"Sasol","given":"","non-dropping-particle":"","parse-names":false,"suffix":""}],"id":"ITEM-2","issued":{"date-parts":[["2009"]]},"title":"Form 20-F","type":"report"},"uris":["http://www.mendeley.com/documents/?uuid=b6cecccd-aa64-4099-b5e6-8619df7ab8da"]}],"mendeley":{"formattedCitation":"(Sasol, 2009, 2014)","plainTextFormattedCitation":"(Sasol, 2009, 2014)","previouslyFormattedCitation":"(Sasol, 2009, 2014)"},"properties":{"noteIndex":0},"schema":"https://github.com/citation-style-language/schema/raw/master/csl-citation.json"}</w:instrText>
      </w:r>
      <w:r>
        <w:rPr>
          <w:lang w:val="en-ZA"/>
        </w:rPr>
        <w:fldChar w:fldCharType="separate"/>
      </w:r>
      <w:r w:rsidRPr="00822E60">
        <w:rPr>
          <w:noProof/>
          <w:lang w:val="en-ZA"/>
        </w:rPr>
        <w:t>(Sasol, 2009, 2014)</w:t>
      </w:r>
      <w:r>
        <w:rPr>
          <w:lang w:val="en-ZA"/>
        </w:rPr>
        <w:fldChar w:fldCharType="end"/>
      </w:r>
      <w:r>
        <w:rPr>
          <w:lang w:val="en-ZA"/>
        </w:rPr>
        <w:t>. As of 2017, Sasol’s ammonia production was 313,043 tonnes (Sasol, 2017a). In April 2020, Sasol suspended production at Sasol’s Sasolburg ammonia plant, with Sasol Synfuels running at 75% capacity for the remainder of the year</w:t>
      </w:r>
      <w:r w:rsidR="00065BAF">
        <w:rPr>
          <w:lang w:val="en-ZA"/>
        </w:rPr>
        <w:t xml:space="preserve"> </w:t>
      </w:r>
      <w:r w:rsidR="00065BAF">
        <w:rPr>
          <w:lang w:val="en-ZA"/>
        </w:rPr>
        <w:fldChar w:fldCharType="begin" w:fldLock="1"/>
      </w:r>
      <w:r w:rsidR="009E5C2A">
        <w:rPr>
          <w:lang w:val="en-ZA"/>
        </w:rPr>
        <w:instrText>ADDIN CSL_CITATION {"citationItems":[{"id":"ITEM-1","itemData":{"URL":"https://www.ogj.com/refining-processing/refining/operations/article/14174682/sasol-total-indefinitely-suspend-operations-at-natref-refinery","accessed":{"date-parts":[["2021","4","7"]]},"author":[{"dropping-particle":"","family":"Brelsford","given":"R","non-dropping-particle":"","parse-names":false,"suffix":""}],"container-title":"Oil &amp; Gas Journal","id":"ITEM-1","issued":{"date-parts":[["2020"]]},"title":"Sasol, Total indefinitely suspend operations at Natref refinery","type":"webpage"},"uris":["http://www.mendeley.com/documents/?uuid=4673903e-36cd-363b-99d2-9c3fc787a5ae"]}],"mendeley":{"formattedCitation":"(Brelsford, 2020)","plainTextFormattedCitation":"(Brelsford, 2020)","previouslyFormattedCitation":"(Brelsford, 2020)"},"properties":{"noteIndex":0},"schema":"https://github.com/citation-style-language/schema/raw/master/csl-citation.json"}</w:instrText>
      </w:r>
      <w:r w:rsidR="00065BAF">
        <w:rPr>
          <w:lang w:val="en-ZA"/>
        </w:rPr>
        <w:fldChar w:fldCharType="separate"/>
      </w:r>
      <w:r w:rsidR="00065BAF" w:rsidRPr="00065BAF">
        <w:rPr>
          <w:noProof/>
          <w:lang w:val="en-ZA"/>
        </w:rPr>
        <w:t>(Brelsford, 2020)</w:t>
      </w:r>
      <w:r w:rsidR="00065BAF">
        <w:rPr>
          <w:lang w:val="en-ZA"/>
        </w:rPr>
        <w:fldChar w:fldCharType="end"/>
      </w:r>
      <w:r>
        <w:rPr>
          <w:lang w:val="en-ZA"/>
        </w:rPr>
        <w:t>.</w:t>
      </w:r>
    </w:p>
    <w:p w:rsidR="00B93C25" w:rsidRDefault="00B93C25" w:rsidP="00822E60">
      <w:pPr>
        <w:rPr>
          <w:b/>
          <w:lang w:val="en-ZA"/>
        </w:rPr>
      </w:pPr>
      <w:r>
        <w:rPr>
          <w:b/>
          <w:lang w:val="en-ZA"/>
        </w:rPr>
        <w:t>Energy inputs in PJ per PJ ammonia output (natural gas, electricity and other if any)</w:t>
      </w:r>
    </w:p>
    <w:tbl>
      <w:tblPr>
        <w:tblStyle w:val="TGHnew"/>
        <w:tblW w:w="0" w:type="auto"/>
        <w:tblLook w:val="04A0" w:firstRow="1" w:lastRow="0" w:firstColumn="1" w:lastColumn="0" w:noHBand="0" w:noVBand="1"/>
      </w:tblPr>
      <w:tblGrid>
        <w:gridCol w:w="3093"/>
        <w:gridCol w:w="3093"/>
        <w:gridCol w:w="3094"/>
      </w:tblGrid>
      <w:tr w:rsidR="009E5C2A" w:rsidTr="009E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93" w:type="dxa"/>
          </w:tcPr>
          <w:p w:rsidR="009E5C2A" w:rsidRDefault="009E5C2A" w:rsidP="009E5C2A">
            <w:pPr>
              <w:pStyle w:val="GHTableH2"/>
              <w:rPr>
                <w:lang w:val="en-ZA"/>
              </w:rPr>
            </w:pPr>
            <w:r>
              <w:rPr>
                <w:lang w:val="en-ZA"/>
              </w:rPr>
              <w:t>Feedstock</w:t>
            </w:r>
          </w:p>
        </w:tc>
        <w:tc>
          <w:tcPr>
            <w:tcW w:w="3093" w:type="dxa"/>
          </w:tcPr>
          <w:p w:rsidR="009E5C2A" w:rsidRDefault="009E5C2A" w:rsidP="009E5C2A">
            <w:pPr>
              <w:pStyle w:val="GHTableH2"/>
              <w:rPr>
                <w:lang w:val="en-ZA"/>
              </w:rPr>
            </w:pPr>
            <w:r>
              <w:rPr>
                <w:lang w:val="en-ZA"/>
              </w:rPr>
              <w:t>Process</w:t>
            </w:r>
          </w:p>
        </w:tc>
        <w:tc>
          <w:tcPr>
            <w:tcW w:w="3094" w:type="dxa"/>
          </w:tcPr>
          <w:p w:rsidR="009E5C2A" w:rsidRPr="009E5C2A" w:rsidRDefault="009E5C2A" w:rsidP="009E5C2A">
            <w:pPr>
              <w:pStyle w:val="GHTableH2"/>
              <w:rPr>
                <w:lang w:val="en-ZA"/>
              </w:rPr>
            </w:pPr>
            <w:r>
              <w:rPr>
                <w:lang w:val="en-ZA"/>
              </w:rPr>
              <w:t>Net primary energy consumption [GJ/t NH</w:t>
            </w:r>
            <w:r>
              <w:rPr>
                <w:vertAlign w:val="subscript"/>
                <w:lang w:val="en-ZA"/>
              </w:rPr>
              <w:t>3</w:t>
            </w:r>
            <w:r>
              <w:rPr>
                <w:lang w:val="en-ZA"/>
              </w:rPr>
              <w:t xml:space="preserve"> (LHV)]</w:t>
            </w:r>
          </w:p>
        </w:tc>
      </w:tr>
      <w:tr w:rsidR="009E5C2A" w:rsidTr="009E5C2A">
        <w:tc>
          <w:tcPr>
            <w:tcW w:w="3093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Natural gas</w:t>
            </w:r>
          </w:p>
        </w:tc>
        <w:tc>
          <w:tcPr>
            <w:tcW w:w="3093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Steam reforming</w:t>
            </w:r>
          </w:p>
        </w:tc>
        <w:tc>
          <w:tcPr>
            <w:tcW w:w="3094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28</w:t>
            </w:r>
          </w:p>
        </w:tc>
      </w:tr>
      <w:tr w:rsidR="009E5C2A" w:rsidTr="009E5C2A">
        <w:tc>
          <w:tcPr>
            <w:tcW w:w="3093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Heavy hydrocarbon</w:t>
            </w:r>
          </w:p>
        </w:tc>
        <w:tc>
          <w:tcPr>
            <w:tcW w:w="3093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Partial oxidation</w:t>
            </w:r>
          </w:p>
        </w:tc>
        <w:tc>
          <w:tcPr>
            <w:tcW w:w="3094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38</w:t>
            </w:r>
          </w:p>
        </w:tc>
      </w:tr>
      <w:tr w:rsidR="009E5C2A" w:rsidTr="009E5C2A">
        <w:tc>
          <w:tcPr>
            <w:tcW w:w="3093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Coal</w:t>
            </w:r>
          </w:p>
        </w:tc>
        <w:tc>
          <w:tcPr>
            <w:tcW w:w="3093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Partial oxidation</w:t>
            </w:r>
          </w:p>
        </w:tc>
        <w:tc>
          <w:tcPr>
            <w:tcW w:w="3094" w:type="dxa"/>
          </w:tcPr>
          <w:p w:rsidR="009E5C2A" w:rsidRDefault="009E5C2A" w:rsidP="009E5C2A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45</w:t>
            </w:r>
          </w:p>
        </w:tc>
      </w:tr>
    </w:tbl>
    <w:p w:rsidR="00B93C25" w:rsidRDefault="009E5C2A" w:rsidP="00822E60">
      <w:pPr>
        <w:rPr>
          <w:lang w:val="en-ZA"/>
        </w:rPr>
      </w:pPr>
      <w:r>
        <w:rPr>
          <w:lang w:val="en-ZA"/>
        </w:rPr>
        <w:t xml:space="preserve">Source: </w:t>
      </w:r>
      <w:r>
        <w:rPr>
          <w:lang w:val="en-ZA"/>
        </w:rPr>
        <w:fldChar w:fldCharType="begin" w:fldLock="1"/>
      </w:r>
      <w:r w:rsidR="00521AF1">
        <w:rPr>
          <w:lang w:val="en-ZA"/>
        </w:rPr>
        <w:instrText>ADDIN CSL_CITATION {"citationItems":[{"id":"ITEM-1","itemData":{"author":[{"dropping-particle":"","family":"JRC","given":"","non-dropping-particle":"","parse-names":false,"suffix":""}],"id":"ITEM-1","issued":{"date-parts":[["2007"]]},"title":"Reference Document on Best Available Techniques for the Manufacture of Large Volume Inorganic Chemicals- Ammonia, Acids and Fertilisers","type":"report"},"uris":["http://www.mendeley.com/documents/?uuid=c3612825-4d2c-4774-8a72-8d50008a7bc8"]}],"mendeley":{"formattedCitation":"(JRC, 2007)","plainTextFormattedCitation":"(JRC, 2007)","previouslyFormattedCitation":"(JRC, 2007)"},"properties":{"noteIndex":0},"schema":"https://github.com/citation-style-language/schema/raw/master/csl-citation.json"}</w:instrText>
      </w:r>
      <w:r>
        <w:rPr>
          <w:lang w:val="en-ZA"/>
        </w:rPr>
        <w:fldChar w:fldCharType="separate"/>
      </w:r>
      <w:r w:rsidRPr="009E5C2A">
        <w:rPr>
          <w:noProof/>
          <w:lang w:val="en-ZA"/>
        </w:rPr>
        <w:t>(JRC, 2007)</w:t>
      </w:r>
      <w:r>
        <w:rPr>
          <w:lang w:val="en-ZA"/>
        </w:rPr>
        <w:fldChar w:fldCharType="end"/>
      </w:r>
    </w:p>
    <w:p w:rsidR="009E5C2A" w:rsidRDefault="009E5C2A" w:rsidP="009E5C2A">
      <w:pPr>
        <w:pStyle w:val="Heading2"/>
        <w:rPr>
          <w:lang w:val="en-ZA"/>
        </w:rPr>
      </w:pPr>
      <w:r>
        <w:rPr>
          <w:lang w:val="en-ZA"/>
        </w:rPr>
        <w:t>New ammonia plant characterisation</w:t>
      </w:r>
    </w:p>
    <w:p w:rsidR="009E5C2A" w:rsidRDefault="009E5C2A" w:rsidP="009E5C2A">
      <w:pPr>
        <w:rPr>
          <w:b/>
          <w:lang w:val="en-ZA"/>
        </w:rPr>
      </w:pPr>
      <w:r>
        <w:rPr>
          <w:b/>
          <w:lang w:val="en-ZA"/>
        </w:rPr>
        <w:t>Investment cost in USD/ton/year ammonia and USD/ton/PJ/year (learning?)</w:t>
      </w:r>
    </w:p>
    <w:p w:rsidR="009E5C2A" w:rsidRPr="009E5C2A" w:rsidRDefault="009E5C2A" w:rsidP="009E5C2A">
      <w:pPr>
        <w:rPr>
          <w:lang w:val="en-ZA"/>
        </w:rPr>
      </w:pPr>
      <w:hyperlink r:id="rId9" w:history="1">
        <w:r w:rsidRPr="009E5C2A">
          <w:rPr>
            <w:lang w:val="en-ZA"/>
          </w:rPr>
          <w:t>https://ammoniaindustry.com/the-capital-intensity-of-small-scale-ammonia-plants/</w:t>
        </w:r>
      </w:hyperlink>
    </w:p>
    <w:p w:rsidR="009E5C2A" w:rsidRDefault="009E5C2A" w:rsidP="009E5C2A">
      <w:pPr>
        <w:rPr>
          <w:lang w:val="en-ZA"/>
        </w:rPr>
      </w:pPr>
      <w:r>
        <w:rPr>
          <w:lang w:val="en-ZA"/>
        </w:rPr>
        <w:t>Greenfield: USD 1,300 – 2,000 per tonne of ammonia annual capacity</w:t>
      </w:r>
    </w:p>
    <w:p w:rsidR="009E5C2A" w:rsidRDefault="009E5C2A" w:rsidP="009E5C2A">
      <w:pPr>
        <w:rPr>
          <w:lang w:val="en-ZA"/>
        </w:rPr>
      </w:pPr>
      <w:r>
        <w:rPr>
          <w:lang w:val="en-ZA"/>
        </w:rPr>
        <w:t>Brownfield: USD 900 – 1,000 per tonne of ammonia annual capacity</w:t>
      </w:r>
    </w:p>
    <w:p w:rsidR="009E5C2A" w:rsidRDefault="00521AF1" w:rsidP="009E5C2A">
      <w:pPr>
        <w:rPr>
          <w:lang w:val="en-ZA"/>
        </w:rPr>
      </w:pPr>
      <w:r>
        <w:rPr>
          <w:lang w:val="en-ZA"/>
        </w:rPr>
        <w:t xml:space="preserve">The capital cost for a natural gas ammonia plant production facility is USD 740 million for 2,200 t/day facility (2007 USD) </w:t>
      </w:r>
      <w:r>
        <w:rPr>
          <w:lang w:val="en-ZA"/>
        </w:rPr>
        <w:fldChar w:fldCharType="begin" w:fldLock="1"/>
      </w:r>
      <w:r>
        <w:rPr>
          <w:lang w:val="en-ZA"/>
        </w:rPr>
        <w:instrText>ADDIN CSL_CITATION {"citationItems":[{"id":"ITEM-1","itemData":{"author":[{"dropping-particle":"","family":"Bartels","given":"Jeffrey R","non-dropping-particle":"","parse-names":false,"suffix":""},{"dropping-particle":"","family":"Pate","given":"Michael B","non-dropping-particle":"","parse-names":false,"suffix":""}],"id":"ITEM-1","issued":{"date-parts":[["2008"]]},"title":"A feasibility study of implementing an Ammonia Economy","type":"report"},"uris":["http://www.mendeley.com/documents/?uuid=56904ca9-863c-329d-955d-1fcd1226737c"]}],"mendeley":{"formattedCitation":"(Bartels and Pate, 2008)","plainTextFormattedCitation":"(Bartels and Pate, 2008)","previouslyFormattedCitation":"(Bartels and Pate, 2008)"},"properties":{"noteIndex":0},"schema":"https://github.com/citation-style-language/schema/raw/master/csl-citation.json"}</w:instrText>
      </w:r>
      <w:r>
        <w:rPr>
          <w:lang w:val="en-ZA"/>
        </w:rPr>
        <w:fldChar w:fldCharType="separate"/>
      </w:r>
      <w:r w:rsidRPr="00521AF1">
        <w:rPr>
          <w:noProof/>
          <w:lang w:val="en-ZA"/>
        </w:rPr>
        <w:t>(Bartels and Pate, 2008)</w:t>
      </w:r>
      <w:r>
        <w:rPr>
          <w:lang w:val="en-ZA"/>
        </w:rPr>
        <w:fldChar w:fldCharType="end"/>
      </w:r>
      <w:r>
        <w:rPr>
          <w:lang w:val="en-ZA"/>
        </w:rPr>
        <w:t xml:space="preserve">. The capital cost for a plant that uses pure hydrogen as a feedstock and extracts nitrogen from the air is USD 430 million for 2,200 t/day ammonia production </w:t>
      </w:r>
      <w:r>
        <w:rPr>
          <w:lang w:val="en-ZA"/>
        </w:rPr>
        <w:fldChar w:fldCharType="begin" w:fldLock="1"/>
      </w:r>
      <w:r>
        <w:rPr>
          <w:lang w:val="en-ZA"/>
        </w:rPr>
        <w:instrText>ADDIN CSL_CITATION {"citationItems":[{"id":"ITEM-1","itemData":{"author":[{"dropping-particle":"","family":"Bartels","given":"Jeffrey R","non-dropping-particle":"","parse-names":false,"suffix":""},{"dropping-particle":"","family":"Pate","given":"Michael B","non-dropping-particle":"","parse-names":false,"suffix":""}],"id":"ITEM-1","issued":{"date-parts":[["2008"]]},"title":"A feasibility study of implementing an Ammonia Economy","type":"report"},"uris":["http://www.mendeley.com/documents/?uuid=56904ca9-863c-329d-955d-1fcd1226737c"]}],"mendeley":{"formattedCitation":"(Bartels and Pate, 2008)","plainTextFormattedCitation":"(Bartels and Pate, 2008)","previouslyFormattedCitation":"(Bartels and Pate, 2008)"},"properties":{"noteIndex":0},"schema":"https://github.com/citation-style-language/schema/raw/master/csl-citation.json"}</w:instrText>
      </w:r>
      <w:r>
        <w:rPr>
          <w:lang w:val="en-ZA"/>
        </w:rPr>
        <w:fldChar w:fldCharType="separate"/>
      </w:r>
      <w:r w:rsidRPr="00521AF1">
        <w:rPr>
          <w:noProof/>
          <w:lang w:val="en-ZA"/>
        </w:rPr>
        <w:t>(Bartels and Pate, 2008)</w:t>
      </w:r>
      <w:r>
        <w:rPr>
          <w:lang w:val="en-ZA"/>
        </w:rPr>
        <w:fldChar w:fldCharType="end"/>
      </w:r>
      <w:r>
        <w:rPr>
          <w:lang w:val="en-ZA"/>
        </w:rPr>
        <w:t>.</w:t>
      </w:r>
    </w:p>
    <w:tbl>
      <w:tblPr>
        <w:tblStyle w:val="TGHnew"/>
        <w:tblW w:w="0" w:type="auto"/>
        <w:tblLook w:val="04A0" w:firstRow="1" w:lastRow="0" w:firstColumn="1" w:lastColumn="0" w:noHBand="0" w:noVBand="1"/>
      </w:tblPr>
      <w:tblGrid>
        <w:gridCol w:w="3093"/>
        <w:gridCol w:w="3093"/>
      </w:tblGrid>
      <w:tr w:rsidR="0091440F" w:rsidTr="00914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93" w:type="dxa"/>
          </w:tcPr>
          <w:p w:rsidR="0091440F" w:rsidRDefault="0091440F" w:rsidP="0091440F">
            <w:pPr>
              <w:pStyle w:val="GHTableH2"/>
              <w:rPr>
                <w:lang w:val="en-ZA"/>
              </w:rPr>
            </w:pPr>
          </w:p>
        </w:tc>
        <w:tc>
          <w:tcPr>
            <w:tcW w:w="3093" w:type="dxa"/>
          </w:tcPr>
          <w:p w:rsidR="0091440F" w:rsidRDefault="0091440F" w:rsidP="0091440F">
            <w:pPr>
              <w:pStyle w:val="GHTableH2"/>
              <w:rPr>
                <w:lang w:val="en-ZA"/>
              </w:rPr>
            </w:pPr>
            <w:r>
              <w:rPr>
                <w:lang w:val="en-ZA"/>
              </w:rPr>
              <w:t>NH3 b</w:t>
            </w:r>
            <w:bookmarkStart w:id="0" w:name="_GoBack"/>
            <w:bookmarkEnd w:id="0"/>
            <w:r>
              <w:rPr>
                <w:lang w:val="en-ZA"/>
              </w:rPr>
              <w:t>ase case [Euro]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Total plant cost (TPC)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Total plant cost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546,600,000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Contingencies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109,320,000</w:t>
            </w:r>
          </w:p>
        </w:tc>
      </w:tr>
      <w:tr w:rsidR="0091440F" w:rsidTr="0091440F">
        <w:tc>
          <w:tcPr>
            <w:tcW w:w="3093" w:type="dxa"/>
          </w:tcPr>
          <w:p w:rsidR="0091440F" w:rsidRPr="0091440F" w:rsidRDefault="0091440F" w:rsidP="0091440F">
            <w:pPr>
              <w:pStyle w:val="GHTableBody"/>
              <w:rPr>
                <w:b/>
                <w:lang w:val="en-ZA"/>
              </w:rPr>
            </w:pPr>
            <w:r w:rsidRPr="0091440F">
              <w:rPr>
                <w:b/>
                <w:lang w:val="en-ZA"/>
              </w:rPr>
              <w:t>Sub-total</w:t>
            </w:r>
          </w:p>
        </w:tc>
        <w:tc>
          <w:tcPr>
            <w:tcW w:w="3093" w:type="dxa"/>
          </w:tcPr>
          <w:p w:rsidR="0091440F" w:rsidRPr="0091440F" w:rsidRDefault="0091440F" w:rsidP="0091440F">
            <w:pPr>
              <w:pStyle w:val="GHTableBody"/>
              <w:rPr>
                <w:b/>
                <w:lang w:val="en-ZA"/>
              </w:rPr>
            </w:pPr>
            <w:r w:rsidRPr="0091440F">
              <w:rPr>
                <w:b/>
                <w:lang w:val="en-ZA"/>
              </w:rPr>
              <w:t>655,920,000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Spare parts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3,279,600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Start-up and commissioning cost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Start-up CAPEX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13,118,400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Additional fuel cost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1,725,457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 xml:space="preserve">O&amp;M 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2,566,044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Catalyst and chemicals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591,940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Owners cost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45,914,400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lastRenderedPageBreak/>
              <w:t>Interest during construction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125,912,501</w:t>
            </w:r>
          </w:p>
        </w:tc>
      </w:tr>
      <w:tr w:rsidR="0091440F" w:rsidTr="0091440F"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Working capital</w:t>
            </w:r>
          </w:p>
        </w:tc>
        <w:tc>
          <w:tcPr>
            <w:tcW w:w="3093" w:type="dxa"/>
          </w:tcPr>
          <w:p w:rsidR="0091440F" w:rsidRDefault="0091440F" w:rsidP="0091440F">
            <w:pPr>
              <w:pStyle w:val="GHTableBody"/>
              <w:rPr>
                <w:lang w:val="en-ZA"/>
              </w:rPr>
            </w:pPr>
            <w:r>
              <w:rPr>
                <w:lang w:val="en-ZA"/>
              </w:rPr>
              <w:t>109,589</w:t>
            </w:r>
          </w:p>
        </w:tc>
      </w:tr>
      <w:tr w:rsidR="0091440F" w:rsidTr="0091440F">
        <w:tc>
          <w:tcPr>
            <w:tcW w:w="3093" w:type="dxa"/>
          </w:tcPr>
          <w:p w:rsidR="0091440F" w:rsidRPr="0091440F" w:rsidRDefault="0091440F" w:rsidP="0091440F">
            <w:pPr>
              <w:pStyle w:val="GHTableBody"/>
              <w:rPr>
                <w:b/>
                <w:lang w:val="en-ZA"/>
              </w:rPr>
            </w:pPr>
            <w:r w:rsidRPr="0091440F">
              <w:rPr>
                <w:b/>
                <w:lang w:val="en-ZA"/>
              </w:rPr>
              <w:t>Sub-total</w:t>
            </w:r>
          </w:p>
        </w:tc>
        <w:tc>
          <w:tcPr>
            <w:tcW w:w="3093" w:type="dxa"/>
          </w:tcPr>
          <w:p w:rsidR="0091440F" w:rsidRPr="0091440F" w:rsidRDefault="0091440F" w:rsidP="0091440F">
            <w:pPr>
              <w:pStyle w:val="GHTableBody"/>
              <w:rPr>
                <w:b/>
                <w:lang w:val="en-ZA"/>
              </w:rPr>
            </w:pPr>
            <w:r w:rsidRPr="0091440F">
              <w:rPr>
                <w:b/>
                <w:lang w:val="en-ZA"/>
              </w:rPr>
              <w:t>193,217,931</w:t>
            </w:r>
          </w:p>
        </w:tc>
      </w:tr>
      <w:tr w:rsidR="0091440F" w:rsidTr="0091440F">
        <w:tc>
          <w:tcPr>
            <w:tcW w:w="3093" w:type="dxa"/>
          </w:tcPr>
          <w:p w:rsidR="0091440F" w:rsidRPr="0091440F" w:rsidRDefault="0091440F" w:rsidP="0091440F">
            <w:pPr>
              <w:pStyle w:val="GHTableBody"/>
              <w:rPr>
                <w:b/>
                <w:lang w:val="en-ZA"/>
              </w:rPr>
            </w:pPr>
            <w:r w:rsidRPr="0091440F">
              <w:rPr>
                <w:b/>
                <w:lang w:val="en-ZA"/>
              </w:rPr>
              <w:t>Total capital requirements</w:t>
            </w:r>
          </w:p>
        </w:tc>
        <w:tc>
          <w:tcPr>
            <w:tcW w:w="3093" w:type="dxa"/>
          </w:tcPr>
          <w:p w:rsidR="0091440F" w:rsidRPr="0091440F" w:rsidRDefault="0091440F" w:rsidP="0091440F">
            <w:pPr>
              <w:pStyle w:val="GHTableBody"/>
              <w:rPr>
                <w:b/>
                <w:lang w:val="en-ZA"/>
              </w:rPr>
            </w:pPr>
            <w:r w:rsidRPr="0091440F">
              <w:rPr>
                <w:b/>
                <w:lang w:val="en-ZA"/>
              </w:rPr>
              <w:t>849,137,931</w:t>
            </w:r>
          </w:p>
        </w:tc>
      </w:tr>
    </w:tbl>
    <w:p w:rsidR="0091440F" w:rsidRDefault="0091440F" w:rsidP="009E5C2A">
      <w:pPr>
        <w:rPr>
          <w:lang w:val="en-ZA"/>
        </w:rPr>
      </w:pPr>
      <w:r>
        <w:rPr>
          <w:lang w:val="en-ZA"/>
        </w:rPr>
        <w:t xml:space="preserve">Source: </w:t>
      </w:r>
      <w:r>
        <w:rPr>
          <w:lang w:val="en-ZA"/>
        </w:rPr>
        <w:fldChar w:fldCharType="begin" w:fldLock="1"/>
      </w:r>
      <w:r>
        <w:rPr>
          <w:lang w:val="en-ZA"/>
        </w:rPr>
        <w:instrText>ADDIN CSL_CITATION {"citationItems":[{"id":"ITEM-1","itemData":{"author":[{"dropping-particle":"","family":"IEA","given":"","non-dropping-particle":"","parse-names":false,"suffix":""}],"id":"ITEM-1","issued":{"date-parts":[["2017"]]},"title":"Techno-Economic Evaluation of H YCO Plant Integrated to Ammonia / Urea or Methanol Production with CCS","type":"report"},"uris":["http://www.mendeley.com/documents/?uuid=139358e4-6efa-327d-a1e9-2a1007a98f99"]}],"mendeley":{"formattedCitation":"(IEA, 2017)","plainTextFormattedCitation":"(IEA, 2017)"},"properties":{"noteIndex":0},"schema":"https://github.com/citation-style-language/schema/raw/master/csl-citation.json"}</w:instrText>
      </w:r>
      <w:r>
        <w:rPr>
          <w:lang w:val="en-ZA"/>
        </w:rPr>
        <w:fldChar w:fldCharType="separate"/>
      </w:r>
      <w:r w:rsidRPr="0091440F">
        <w:rPr>
          <w:noProof/>
          <w:lang w:val="en-ZA"/>
        </w:rPr>
        <w:t>(IEA, 2017)</w:t>
      </w:r>
      <w:r>
        <w:rPr>
          <w:lang w:val="en-ZA"/>
        </w:rPr>
        <w:fldChar w:fldCharType="end"/>
      </w:r>
    </w:p>
    <w:p w:rsidR="00521AF1" w:rsidRDefault="00521AF1" w:rsidP="009E5C2A">
      <w:pPr>
        <w:rPr>
          <w:b/>
          <w:lang w:val="en-ZA"/>
        </w:rPr>
      </w:pPr>
      <w:r>
        <w:rPr>
          <w:b/>
          <w:lang w:val="en-ZA"/>
        </w:rPr>
        <w:t>Estimate of running costs in USD/ton/year</w:t>
      </w:r>
    </w:p>
    <w:p w:rsidR="00521AF1" w:rsidRDefault="00521AF1" w:rsidP="009E5C2A">
      <w:pPr>
        <w:rPr>
          <w:lang w:val="en-ZA"/>
        </w:rPr>
      </w:pPr>
      <w:r>
        <w:rPr>
          <w:lang w:val="en-ZA"/>
        </w:rPr>
        <w:t xml:space="preserve">This is largely dependent on the price of natural gas (if used as an input) or alternative inputs. </w:t>
      </w:r>
      <w:r>
        <w:rPr>
          <w:lang w:val="en-ZA"/>
        </w:rPr>
        <w:fldChar w:fldCharType="begin" w:fldLock="1"/>
      </w:r>
      <w:r>
        <w:rPr>
          <w:lang w:val="en-ZA"/>
        </w:rPr>
        <w:instrText>ADDIN CSL_CITATION {"citationItems":[{"id":"ITEM-1","itemData":{"author":[{"dropping-particle":"","family":"Bartels","given":"Jeffrey R","non-dropping-particle":"","parse-names":false,"suffix":""},{"dropping-particle":"","family":"Pate","given":"Michael B","non-dropping-particle":"","parse-names":false,"suffix":""}],"id":"ITEM-1","issued":{"date-parts":[["2008"]]},"title":"A feasibility study of implementing an Ammonia Economy","type":"report"},"uris":["http://www.mendeley.com/documents/?uuid=56904ca9-863c-329d-955d-1fcd1226737c"]}],"mendeley":{"formattedCitation":"(Bartels and Pate, 2008)","plainTextFormattedCitation":"(Bartels and Pate, 2008)","previouslyFormattedCitation":"(Bartels and Pate, 2008)"},"properties":{"noteIndex":0},"schema":"https://github.com/citation-style-language/schema/raw/master/csl-citation.json"}</w:instrText>
      </w:r>
      <w:r>
        <w:rPr>
          <w:lang w:val="en-ZA"/>
        </w:rPr>
        <w:fldChar w:fldCharType="separate"/>
      </w:r>
      <w:r w:rsidRPr="00521AF1">
        <w:rPr>
          <w:noProof/>
          <w:lang w:val="en-ZA"/>
        </w:rPr>
        <w:t>(Bartels and Pate, 2008)</w:t>
      </w:r>
      <w:r>
        <w:rPr>
          <w:lang w:val="en-ZA"/>
        </w:rPr>
        <w:fldChar w:fldCharType="end"/>
      </w:r>
      <w:r>
        <w:rPr>
          <w:lang w:val="en-ZA"/>
        </w:rPr>
        <w:t xml:space="preserve"> estimate that O&amp;M costs of 4% of overnight capital costs.</w:t>
      </w:r>
    </w:p>
    <w:p w:rsidR="00521AF1" w:rsidRDefault="00521AF1" w:rsidP="009E5C2A">
      <w:pPr>
        <w:rPr>
          <w:b/>
          <w:lang w:val="en-ZA"/>
        </w:rPr>
      </w:pPr>
      <w:r>
        <w:rPr>
          <w:b/>
          <w:lang w:val="en-ZA"/>
        </w:rPr>
        <w:t>Estimate of efficiency of PJ per PJ ammonia output (hydrogen, electricity and other)</w:t>
      </w:r>
    </w:p>
    <w:tbl>
      <w:tblPr>
        <w:tblStyle w:val="TGHnew"/>
        <w:tblW w:w="5000" w:type="pct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521AF1" w:rsidRPr="009F7328" w:rsidTr="00521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21AF1" w:rsidRPr="009F7328" w:rsidRDefault="00521AF1" w:rsidP="00521AF1">
            <w:pPr>
              <w:pStyle w:val="GHTableH2"/>
            </w:pP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H2"/>
            </w:pPr>
            <w:r w:rsidRPr="009F7328">
              <w:t>Units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H2"/>
            </w:pPr>
            <w:r w:rsidRPr="009F7328">
              <w:t>Gas turbine required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H2"/>
            </w:pPr>
            <w:r w:rsidRPr="009F7328">
              <w:t>Electricity from H2 Plant</w:t>
            </w:r>
          </w:p>
        </w:tc>
      </w:tr>
      <w:tr w:rsidR="00521AF1" w:rsidRPr="009F7328" w:rsidTr="00521AF1"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Energy requirement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kWh/tonne NH3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390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390</w:t>
            </w:r>
          </w:p>
        </w:tc>
      </w:tr>
      <w:tr w:rsidR="00521AF1" w:rsidRPr="009F7328" w:rsidTr="00521AF1"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Electricity production LHV efficiency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%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35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100</w:t>
            </w:r>
          </w:p>
        </w:tc>
      </w:tr>
      <w:tr w:rsidR="00521AF1" w:rsidRPr="009F7328" w:rsidTr="00521AF1"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Equivalent H</w:t>
            </w:r>
            <w:r w:rsidRPr="00521AF1">
              <w:rPr>
                <w:vertAlign w:val="subscript"/>
              </w:rPr>
              <w:t>2</w:t>
            </w:r>
            <w:r w:rsidRPr="009F7328">
              <w:t xml:space="preserve"> requirement 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Kg/tonne NH3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33.44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11.70</w:t>
            </w:r>
          </w:p>
        </w:tc>
      </w:tr>
      <w:tr w:rsidR="00521AF1" w:rsidRPr="009F7328" w:rsidTr="00521AF1"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Total H</w:t>
            </w:r>
            <w:r w:rsidRPr="00521AF1">
              <w:rPr>
                <w:vertAlign w:val="subscript"/>
              </w:rPr>
              <w:t>2</w:t>
            </w:r>
            <w:r w:rsidRPr="009F7328">
              <w:t xml:space="preserve"> requirement per tonne NH</w:t>
            </w:r>
            <w:r w:rsidRPr="00521AF1">
              <w:rPr>
                <w:vertAlign w:val="subscript"/>
              </w:rPr>
              <w:t>3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Per tonne NH3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211.01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189.27</w:t>
            </w:r>
          </w:p>
        </w:tc>
      </w:tr>
      <w:tr w:rsidR="00521AF1" w:rsidRPr="009F7328" w:rsidTr="00521AF1"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Conversion efficiency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%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84.2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93.8</w:t>
            </w:r>
          </w:p>
        </w:tc>
      </w:tr>
      <w:tr w:rsidR="00521AF1" w:rsidRPr="009F7328" w:rsidTr="00521AF1"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LHV efficiency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%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73.4</w:t>
            </w:r>
          </w:p>
        </w:tc>
        <w:tc>
          <w:tcPr>
            <w:tcW w:w="1250" w:type="pct"/>
          </w:tcPr>
          <w:p w:rsidR="00521AF1" w:rsidRPr="009F7328" w:rsidRDefault="00521AF1" w:rsidP="00521AF1">
            <w:pPr>
              <w:pStyle w:val="GHTableBody"/>
            </w:pPr>
            <w:r w:rsidRPr="009F7328">
              <w:t>81.8</w:t>
            </w:r>
          </w:p>
        </w:tc>
      </w:tr>
    </w:tbl>
    <w:p w:rsidR="00521AF1" w:rsidRPr="00521AF1" w:rsidRDefault="00521AF1" w:rsidP="009E5C2A">
      <w:pPr>
        <w:rPr>
          <w:lang w:val="en-ZA"/>
        </w:rPr>
      </w:pPr>
      <w:r>
        <w:rPr>
          <w:lang w:val="en-ZA"/>
        </w:rPr>
        <w:t xml:space="preserve">Source: </w:t>
      </w:r>
      <w:r>
        <w:rPr>
          <w:lang w:val="en-ZA"/>
        </w:rPr>
        <w:fldChar w:fldCharType="begin" w:fldLock="1"/>
      </w:r>
      <w:r w:rsidR="0091440F">
        <w:rPr>
          <w:lang w:val="en-ZA"/>
        </w:rPr>
        <w:instrText>ADDIN CSL_CITATION {"citationItems":[{"id":"ITEM-1","itemData":{"author":[{"dropping-particle":"","family":"Bartels","given":"Jeffrey R","non-dropping-particle":"","parse-names":false,"suffix":""},{"dropping-particle":"","family":"Pate","given":"Michael B","non-dropping-particle":"","parse-names":false,"suffix":""}],"id":"ITEM-1","issued":{"date-parts":[["2008"]]},"title":"A feasibility study of implementing an Ammonia Economy","type":"report"},"uris":["http://www.mendeley.com/documents/?uuid=56904ca9-863c-329d-955d-1fcd1226737c"]}],"mendeley":{"formattedCitation":"(Bartels and Pate, 2008)","plainTextFormattedCitation":"(Bartels and Pate, 2008)","previouslyFormattedCitation":"(Bartels and Pate, 2008)"},"properties":{"noteIndex":0},"schema":"https://github.com/citation-style-language/schema/raw/master/csl-citation.json"}</w:instrText>
      </w:r>
      <w:r>
        <w:rPr>
          <w:lang w:val="en-ZA"/>
        </w:rPr>
        <w:fldChar w:fldCharType="separate"/>
      </w:r>
      <w:r w:rsidRPr="00521AF1">
        <w:rPr>
          <w:noProof/>
          <w:lang w:val="en-ZA"/>
        </w:rPr>
        <w:t>(Bartels and Pate, 2008)</w:t>
      </w:r>
      <w:r>
        <w:rPr>
          <w:lang w:val="en-ZA"/>
        </w:rPr>
        <w:fldChar w:fldCharType="end"/>
      </w:r>
    </w:p>
    <w:p w:rsidR="009E5C2A" w:rsidRDefault="00521AF1" w:rsidP="00521AF1">
      <w:pPr>
        <w:pStyle w:val="Heading2"/>
        <w:rPr>
          <w:lang w:val="en-ZA"/>
        </w:rPr>
      </w:pPr>
      <w:r>
        <w:rPr>
          <w:lang w:val="en-ZA"/>
        </w:rPr>
        <w:t>Other process emissions in the chemicals sector</w:t>
      </w:r>
    </w:p>
    <w:p w:rsidR="00521AF1" w:rsidRDefault="00521AF1" w:rsidP="00521AF1">
      <w:pPr>
        <w:rPr>
          <w:b/>
          <w:lang w:val="en-ZA"/>
        </w:rPr>
      </w:pPr>
      <w:r>
        <w:rPr>
          <w:b/>
          <w:lang w:val="en-ZA"/>
        </w:rPr>
        <w:t>Quantify abatement possible</w:t>
      </w:r>
    </w:p>
    <w:tbl>
      <w:tblPr>
        <w:tblStyle w:val="TGHnew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918"/>
        <w:gridCol w:w="783"/>
        <w:gridCol w:w="709"/>
        <w:gridCol w:w="947"/>
        <w:gridCol w:w="1038"/>
        <w:gridCol w:w="992"/>
        <w:gridCol w:w="950"/>
      </w:tblGrid>
      <w:tr w:rsidR="00521AF1" w:rsidRPr="009F7328" w:rsidTr="00A37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Mitigation action</w:t>
            </w:r>
          </w:p>
        </w:tc>
        <w:tc>
          <w:tcPr>
            <w:tcW w:w="992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Description</w:t>
            </w:r>
          </w:p>
        </w:tc>
        <w:tc>
          <w:tcPr>
            <w:tcW w:w="850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Process emissions abatement potential [%]</w:t>
            </w:r>
          </w:p>
        </w:tc>
        <w:tc>
          <w:tcPr>
            <w:tcW w:w="918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Applicability [%]</w:t>
            </w:r>
          </w:p>
        </w:tc>
        <w:tc>
          <w:tcPr>
            <w:tcW w:w="783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CAPEX per site [2010 Million ZAR]</w:t>
            </w:r>
          </w:p>
        </w:tc>
        <w:tc>
          <w:tcPr>
            <w:tcW w:w="709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OPEX per site [2010 Million ZAR]</w:t>
            </w:r>
          </w:p>
        </w:tc>
        <w:tc>
          <w:tcPr>
            <w:tcW w:w="947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Abatement cost [2010 ZAR/tCO2eq]</w:t>
            </w:r>
          </w:p>
        </w:tc>
        <w:tc>
          <w:tcPr>
            <w:tcW w:w="1038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Site production capacity [Mt/yr]</w:t>
            </w:r>
          </w:p>
        </w:tc>
        <w:tc>
          <w:tcPr>
            <w:tcW w:w="992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Lifetime [Year]</w:t>
            </w:r>
          </w:p>
        </w:tc>
        <w:tc>
          <w:tcPr>
            <w:tcW w:w="950" w:type="dxa"/>
          </w:tcPr>
          <w:p w:rsidR="00521AF1" w:rsidRPr="009F7328" w:rsidRDefault="00521AF1" w:rsidP="00521AF1">
            <w:pPr>
              <w:pStyle w:val="GHTableH2"/>
              <w:rPr>
                <w:lang w:eastAsia="en-GB"/>
              </w:rPr>
            </w:pPr>
            <w:r w:rsidRPr="009F7328">
              <w:rPr>
                <w:lang w:eastAsia="en-GB"/>
              </w:rPr>
              <w:t>Uptake [%]</w:t>
            </w:r>
          </w:p>
        </w:tc>
      </w:tr>
      <w:tr w:rsidR="00FD41E1" w:rsidRPr="009F7328" w:rsidTr="00A37E06">
        <w:tc>
          <w:tcPr>
            <w:tcW w:w="1101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1061A5">
              <w:rPr>
                <w:lang w:eastAsia="en-GB"/>
              </w:rPr>
              <w:t>Replace coal-fired partial oxidation processes with natural gas-fired steam reforming production (ammonia):</w:t>
            </w:r>
          </w:p>
        </w:tc>
        <w:tc>
          <w:tcPr>
            <w:tcW w:w="992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1061A5">
              <w:rPr>
                <w:lang w:eastAsia="en-GB"/>
              </w:rPr>
              <w:t>Natural gas-power steam reforming process uses 28 GJ/t ammonia of energy and 1.6 CO2 t/t ammonia compared to 42 GJ/t ammonia and 3.8 CO2t/t ammonia for coal-powered partial oxidation</w:t>
            </w:r>
          </w:p>
        </w:tc>
        <w:tc>
          <w:tcPr>
            <w:tcW w:w="850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42%</w:t>
            </w:r>
          </w:p>
        </w:tc>
        <w:tc>
          <w:tcPr>
            <w:tcW w:w="918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100%</w:t>
            </w:r>
          </w:p>
        </w:tc>
        <w:tc>
          <w:tcPr>
            <w:tcW w:w="783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240</w:t>
            </w:r>
          </w:p>
        </w:tc>
        <w:tc>
          <w:tcPr>
            <w:tcW w:w="709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12</w:t>
            </w:r>
          </w:p>
        </w:tc>
        <w:tc>
          <w:tcPr>
            <w:tcW w:w="947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1038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0.4</w:t>
            </w:r>
          </w:p>
        </w:tc>
        <w:tc>
          <w:tcPr>
            <w:tcW w:w="992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25</w:t>
            </w:r>
          </w:p>
        </w:tc>
        <w:tc>
          <w:tcPr>
            <w:tcW w:w="950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1061A5">
              <w:rPr>
                <w:lang w:eastAsia="en-GB"/>
              </w:rPr>
              <w:t>2020/2030/2050: 50%</w:t>
            </w:r>
          </w:p>
        </w:tc>
      </w:tr>
      <w:tr w:rsidR="00FD41E1" w:rsidRPr="009F7328" w:rsidTr="00A37E06">
        <w:tc>
          <w:tcPr>
            <w:tcW w:w="1101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1061A5">
              <w:rPr>
                <w:lang w:eastAsia="en-GB"/>
              </w:rPr>
              <w:lastRenderedPageBreak/>
              <w:t>CCS (for new ammonia plants):</w:t>
            </w:r>
          </w:p>
        </w:tc>
        <w:tc>
          <w:tcPr>
            <w:tcW w:w="992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1061A5">
              <w:rPr>
                <w:lang w:eastAsia="en-GB"/>
              </w:rPr>
              <w:t>Capture of flue gases</w:t>
            </w:r>
          </w:p>
        </w:tc>
        <w:tc>
          <w:tcPr>
            <w:tcW w:w="850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90%</w:t>
            </w:r>
          </w:p>
        </w:tc>
        <w:tc>
          <w:tcPr>
            <w:tcW w:w="918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100%</w:t>
            </w:r>
          </w:p>
        </w:tc>
        <w:tc>
          <w:tcPr>
            <w:tcW w:w="783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709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947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585</w:t>
            </w:r>
          </w:p>
        </w:tc>
        <w:tc>
          <w:tcPr>
            <w:tcW w:w="1038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992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25</w:t>
            </w:r>
          </w:p>
        </w:tc>
        <w:tc>
          <w:tcPr>
            <w:tcW w:w="950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100% by 2030</w:t>
            </w:r>
          </w:p>
        </w:tc>
      </w:tr>
      <w:tr w:rsidR="00FD41E1" w:rsidRPr="009F7328" w:rsidTr="00A37E06">
        <w:tc>
          <w:tcPr>
            <w:tcW w:w="1101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1061A5">
              <w:rPr>
                <w:lang w:eastAsia="en-GB"/>
              </w:rPr>
              <w:t>N2O abatement for new production plants (nitric acid):</w:t>
            </w:r>
          </w:p>
        </w:tc>
        <w:tc>
          <w:tcPr>
            <w:tcW w:w="992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1061A5">
              <w:rPr>
                <w:lang w:eastAsia="en-GB"/>
              </w:rPr>
              <w:t>N2O emissions removal efficiency of 98-99%  can be achieved</w:t>
            </w:r>
          </w:p>
        </w:tc>
        <w:tc>
          <w:tcPr>
            <w:tcW w:w="850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90%</w:t>
            </w:r>
          </w:p>
        </w:tc>
        <w:tc>
          <w:tcPr>
            <w:tcW w:w="918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100%</w:t>
            </w:r>
          </w:p>
        </w:tc>
        <w:tc>
          <w:tcPr>
            <w:tcW w:w="783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3.2</w:t>
            </w:r>
          </w:p>
        </w:tc>
        <w:tc>
          <w:tcPr>
            <w:tcW w:w="709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0.2</w:t>
            </w:r>
          </w:p>
        </w:tc>
        <w:tc>
          <w:tcPr>
            <w:tcW w:w="947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1038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0.3</w:t>
            </w:r>
          </w:p>
        </w:tc>
        <w:tc>
          <w:tcPr>
            <w:tcW w:w="992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25</w:t>
            </w:r>
          </w:p>
        </w:tc>
        <w:tc>
          <w:tcPr>
            <w:tcW w:w="950" w:type="dxa"/>
          </w:tcPr>
          <w:p w:rsidR="00521AF1" w:rsidRPr="009F7328" w:rsidRDefault="00521AF1" w:rsidP="00FD41E1">
            <w:pPr>
              <w:pStyle w:val="GHTableBody"/>
              <w:rPr>
                <w:lang w:eastAsia="en-GB"/>
              </w:rPr>
            </w:pPr>
            <w:r w:rsidRPr="009F7328">
              <w:rPr>
                <w:lang w:eastAsia="en-GB"/>
              </w:rPr>
              <w:t>100% by 2020</w:t>
            </w:r>
          </w:p>
        </w:tc>
      </w:tr>
    </w:tbl>
    <w:p w:rsidR="00521AF1" w:rsidRDefault="00FD41E1" w:rsidP="00FD41E1">
      <w:pPr>
        <w:pStyle w:val="GHTableBody"/>
        <w:rPr>
          <w:lang w:val="en-ZA"/>
        </w:rPr>
      </w:pPr>
      <w:r>
        <w:rPr>
          <w:lang w:val="en-ZA"/>
        </w:rPr>
        <w:t>Source: MPA, 2014</w:t>
      </w:r>
    </w:p>
    <w:p w:rsidR="00FD41E1" w:rsidRDefault="00FD41E1" w:rsidP="00FD41E1">
      <w:pPr>
        <w:pStyle w:val="Heading2"/>
        <w:rPr>
          <w:lang w:val="en-ZA"/>
        </w:rPr>
      </w:pPr>
      <w:r>
        <w:rPr>
          <w:lang w:val="en-ZA"/>
        </w:rPr>
        <w:t>Petroleum refining: emissions abatement</w:t>
      </w:r>
    </w:p>
    <w:tbl>
      <w:tblPr>
        <w:tblStyle w:val="TGHnew"/>
        <w:tblW w:w="5000" w:type="pct"/>
        <w:tblLayout w:type="fixed"/>
        <w:tblLook w:val="04A0" w:firstRow="1" w:lastRow="0" w:firstColumn="1" w:lastColumn="0" w:noHBand="0" w:noVBand="1"/>
      </w:tblPr>
      <w:tblGrid>
        <w:gridCol w:w="2805"/>
        <w:gridCol w:w="1558"/>
        <w:gridCol w:w="848"/>
        <w:gridCol w:w="1050"/>
        <w:gridCol w:w="510"/>
        <w:gridCol w:w="850"/>
        <w:gridCol w:w="852"/>
        <w:gridCol w:w="807"/>
      </w:tblGrid>
      <w:tr w:rsidR="00FD41E1" w:rsidRPr="00056EC9" w:rsidTr="00A37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511" w:type="pct"/>
            <w:noWrap/>
          </w:tcPr>
          <w:p w:rsidR="00FD41E1" w:rsidRPr="00056EC9" w:rsidRDefault="00FD41E1" w:rsidP="00FD41E1">
            <w:pPr>
              <w:pStyle w:val="GHTableH2"/>
              <w:rPr>
                <w:lang w:eastAsia="en-GB"/>
              </w:rPr>
            </w:pP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H2"/>
              <w:rPr>
                <w:lang w:eastAsia="en-GB"/>
              </w:rPr>
            </w:pPr>
            <w:r>
              <w:rPr>
                <w:lang w:eastAsia="en-GB"/>
              </w:rPr>
              <w:t>Emissions abatement potential [%]</w:t>
            </w: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H2"/>
              <w:rPr>
                <w:lang w:eastAsia="en-GB"/>
              </w:rPr>
            </w:pPr>
            <w:r>
              <w:rPr>
                <w:lang w:eastAsia="en-GB"/>
              </w:rPr>
              <w:t>Applicability [%]</w:t>
            </w:r>
          </w:p>
        </w:tc>
        <w:tc>
          <w:tcPr>
            <w:tcW w:w="566" w:type="pct"/>
          </w:tcPr>
          <w:p w:rsidR="00FD41E1" w:rsidRDefault="00FD41E1" w:rsidP="00FD41E1">
            <w:pPr>
              <w:pStyle w:val="GHTableH2"/>
              <w:rPr>
                <w:lang w:eastAsia="en-GB"/>
              </w:rPr>
            </w:pPr>
            <w:r>
              <w:rPr>
                <w:lang w:eastAsia="en-GB"/>
              </w:rPr>
              <w:t>Fuel/energy saving potential [%]</w:t>
            </w:r>
          </w:p>
        </w:tc>
        <w:tc>
          <w:tcPr>
            <w:tcW w:w="275" w:type="pct"/>
          </w:tcPr>
          <w:p w:rsidR="00FD41E1" w:rsidRDefault="00FD41E1" w:rsidP="00FD41E1">
            <w:pPr>
              <w:pStyle w:val="GHTableH2"/>
              <w:rPr>
                <w:lang w:eastAsia="en-GB"/>
              </w:rPr>
            </w:pPr>
            <w:r>
              <w:rPr>
                <w:lang w:eastAsia="en-GB"/>
              </w:rPr>
              <w:t>Applicability [%]</w:t>
            </w:r>
          </w:p>
        </w:tc>
        <w:tc>
          <w:tcPr>
            <w:tcW w:w="458" w:type="pct"/>
          </w:tcPr>
          <w:p w:rsidR="00FD41E1" w:rsidRDefault="00FD41E1" w:rsidP="00FD41E1">
            <w:pPr>
              <w:pStyle w:val="GHTableH2"/>
              <w:rPr>
                <w:lang w:eastAsia="en-GB"/>
              </w:rPr>
            </w:pPr>
            <w:r>
              <w:rPr>
                <w:lang w:eastAsia="en-GB"/>
              </w:rPr>
              <w:t>Electricity saving potential [%]</w:t>
            </w:r>
          </w:p>
        </w:tc>
        <w:tc>
          <w:tcPr>
            <w:tcW w:w="459" w:type="pct"/>
          </w:tcPr>
          <w:p w:rsidR="00FD41E1" w:rsidRDefault="00FD41E1" w:rsidP="00FD41E1">
            <w:pPr>
              <w:pStyle w:val="GHTableH2"/>
              <w:rPr>
                <w:lang w:eastAsia="en-GB"/>
              </w:rPr>
            </w:pPr>
            <w:r>
              <w:rPr>
                <w:lang w:eastAsia="en-GB"/>
              </w:rPr>
              <w:t>Applicability [%]</w:t>
            </w:r>
          </w:p>
        </w:tc>
        <w:tc>
          <w:tcPr>
            <w:tcW w:w="435" w:type="pct"/>
          </w:tcPr>
          <w:p w:rsidR="00FD41E1" w:rsidRDefault="00FD41E1" w:rsidP="00FD41E1">
            <w:pPr>
              <w:pStyle w:val="GHTableH2"/>
              <w:rPr>
                <w:lang w:eastAsia="en-GB"/>
              </w:rPr>
            </w:pPr>
            <w:r>
              <w:rPr>
                <w:lang w:eastAsia="en-GB"/>
              </w:rPr>
              <w:t>Uptake [%]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Improve steam generating boiler efficiency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5%</w:t>
            </w: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38%</w:t>
            </w: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3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 by 2020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Improve process heater efficiency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5%</w:t>
            </w: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18%</w:t>
            </w: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3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 by 2020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Waste heat recovery</w:t>
            </w:r>
            <w:r w:rsidRPr="00056EC9">
              <w:rPr>
                <w:lang w:eastAsia="en-GB"/>
              </w:rPr>
              <w:t xml:space="preserve"> and utilisation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5%</w:t>
            </w: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3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50% by 2020, 100% by 2030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Minimise flaring and utilise flare gas as fuel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75%</w:t>
            </w: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3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 b6 2020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Efficient energy production (CCGT and CHP)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60%</w:t>
            </w: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435" w:type="pct"/>
          </w:tcPr>
          <w:p w:rsidR="00FD41E1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50% by 2030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Waste heat boiler and expander applied to flue gas from the FCC regenerator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15%</w:t>
            </w: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20%</w:t>
            </w: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3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 by 2020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CCS - Existing refineries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70%</w:t>
            </w: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-40%</w:t>
            </w: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-10%</w:t>
            </w: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435" w:type="pct"/>
          </w:tcPr>
          <w:p w:rsidR="00FD41E1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50% by 2030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EMMS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2%</w:t>
            </w: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2%</w:t>
            </w: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435" w:type="pct"/>
          </w:tcPr>
          <w:p w:rsidR="00FD41E1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 by 2030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Improved process control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2%</w:t>
            </w: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2%</w:t>
            </w: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</w:t>
            </w:r>
          </w:p>
        </w:tc>
        <w:tc>
          <w:tcPr>
            <w:tcW w:w="435" w:type="pct"/>
          </w:tcPr>
          <w:p w:rsidR="00FD41E1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100% by 2030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 w:rsidRPr="00056EC9">
              <w:rPr>
                <w:lang w:eastAsia="en-GB"/>
              </w:rPr>
              <w:t>Improved heat exchanger efficiencies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10%</w:t>
            </w: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40%</w:t>
            </w: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3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50% by 2020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Improved electric motor system controls and VSDs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10%</w:t>
            </w: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60%</w:t>
            </w:r>
          </w:p>
        </w:tc>
        <w:tc>
          <w:tcPr>
            <w:tcW w:w="435" w:type="pct"/>
          </w:tcPr>
          <w:p w:rsidR="00FD41E1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50% by 2020, 100% by 2030</w:t>
            </w:r>
          </w:p>
        </w:tc>
      </w:tr>
      <w:tr w:rsidR="00A37E06" w:rsidRPr="00056EC9" w:rsidTr="00A37E06">
        <w:trPr>
          <w:trHeight w:val="300"/>
        </w:trPr>
        <w:tc>
          <w:tcPr>
            <w:tcW w:w="1511" w:type="pct"/>
            <w:noWrap/>
            <w:hideMark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Energy efficient</w:t>
            </w:r>
            <w:r w:rsidRPr="00056EC9">
              <w:rPr>
                <w:lang w:eastAsia="en-GB"/>
              </w:rPr>
              <w:t xml:space="preserve"> utility systems</w:t>
            </w:r>
          </w:p>
        </w:tc>
        <w:tc>
          <w:tcPr>
            <w:tcW w:w="83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7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566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275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</w:p>
        </w:tc>
        <w:tc>
          <w:tcPr>
            <w:tcW w:w="458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10%</w:t>
            </w:r>
          </w:p>
        </w:tc>
        <w:tc>
          <w:tcPr>
            <w:tcW w:w="459" w:type="pct"/>
          </w:tcPr>
          <w:p w:rsidR="00FD41E1" w:rsidRPr="00056EC9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40%</w:t>
            </w:r>
          </w:p>
        </w:tc>
        <w:tc>
          <w:tcPr>
            <w:tcW w:w="435" w:type="pct"/>
          </w:tcPr>
          <w:p w:rsidR="00FD41E1" w:rsidRDefault="00FD41E1" w:rsidP="00FD41E1">
            <w:pPr>
              <w:pStyle w:val="GHTableBody"/>
              <w:rPr>
                <w:lang w:eastAsia="en-GB"/>
              </w:rPr>
            </w:pPr>
            <w:r>
              <w:rPr>
                <w:lang w:eastAsia="en-GB"/>
              </w:rPr>
              <w:t>50% by 2020, 100% by 2030</w:t>
            </w:r>
          </w:p>
        </w:tc>
      </w:tr>
    </w:tbl>
    <w:p w:rsidR="00FD41E1" w:rsidRPr="00FD41E1" w:rsidRDefault="00A37E06" w:rsidP="00FD41E1">
      <w:pPr>
        <w:rPr>
          <w:lang w:val="en-ZA"/>
        </w:rPr>
      </w:pPr>
      <w:r>
        <w:rPr>
          <w:lang w:val="en-ZA"/>
        </w:rPr>
        <w:t>Source: MPA, 2014</w:t>
      </w:r>
    </w:p>
    <w:sectPr w:rsidR="00FD41E1" w:rsidRPr="00FD41E1" w:rsidSect="002E0C09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8" w:right="1418" w:bottom="1418" w:left="1418" w:header="11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030" w:rsidRDefault="00F61030" w:rsidP="001E7B5F">
      <w:r>
        <w:separator/>
      </w:r>
    </w:p>
  </w:endnote>
  <w:endnote w:type="continuationSeparator" w:id="0">
    <w:p w:rsidR="00F61030" w:rsidRDefault="00F61030" w:rsidP="001E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664" w:rsidRPr="00F7798B" w:rsidRDefault="004C2664" w:rsidP="006E0FF0">
    <w:pPr>
      <w:pStyle w:val="GHNumbering"/>
      <w:numPr>
        <w:ilvl w:val="0"/>
        <w:numId w:val="0"/>
      </w:numPr>
      <w:ind w:left="567"/>
      <w:jc w:val="right"/>
    </w:pPr>
    <w:r w:rsidRPr="00F7798B">
      <w:rPr>
        <w:rStyle w:val="FooterChar"/>
        <w:rFonts w:ascii="Roboto Condensed Light" w:hAnsi="Roboto Condensed Light"/>
      </w:rPr>
      <w:t>project title</w:t>
    </w:r>
    <w:r w:rsidRPr="00F7798B">
      <w:t xml:space="preserve">  </w:t>
    </w:r>
    <w:r w:rsidRPr="00F7798B">
      <w:rPr>
        <w:rStyle w:val="PageNumber"/>
        <w:rFonts w:ascii="Roboto Condensed Light" w:hAnsi="Roboto Condensed Light"/>
      </w:rPr>
      <w:t xml:space="preserve">|  </w:t>
    </w:r>
    <w:r w:rsidRPr="00F7798B">
      <w:rPr>
        <w:rStyle w:val="PageNumber"/>
        <w:rFonts w:ascii="Roboto Condensed Light" w:hAnsi="Roboto Condensed Light"/>
        <w:caps/>
        <w:szCs w:val="14"/>
      </w:rPr>
      <w:fldChar w:fldCharType="begin"/>
    </w:r>
    <w:r w:rsidRPr="00F7798B">
      <w:rPr>
        <w:rStyle w:val="PageNumber"/>
        <w:rFonts w:ascii="Roboto Condensed Light" w:hAnsi="Roboto Condensed Light"/>
        <w:caps/>
        <w:szCs w:val="14"/>
      </w:rPr>
      <w:instrText xml:space="preserve"> PAGE </w:instrText>
    </w:r>
    <w:r w:rsidRPr="00F7798B">
      <w:rPr>
        <w:rStyle w:val="PageNumber"/>
        <w:rFonts w:ascii="Roboto Condensed Light" w:hAnsi="Roboto Condensed Light"/>
        <w:caps/>
        <w:szCs w:val="14"/>
      </w:rPr>
      <w:fldChar w:fldCharType="separate"/>
    </w:r>
    <w:r w:rsidR="0091440F">
      <w:rPr>
        <w:rStyle w:val="PageNumber"/>
        <w:rFonts w:ascii="Roboto Condensed Light" w:hAnsi="Roboto Condensed Light"/>
        <w:caps/>
        <w:noProof/>
        <w:szCs w:val="14"/>
      </w:rPr>
      <w:t>1</w:t>
    </w:r>
    <w:r w:rsidRPr="00F7798B">
      <w:rPr>
        <w:rStyle w:val="PageNumber"/>
        <w:rFonts w:ascii="Roboto Condensed Light" w:hAnsi="Roboto Condensed Light"/>
        <w:caps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664" w:rsidRDefault="004C2664" w:rsidP="00131B75">
    <w:pPr>
      <w:pStyle w:val="GHNumbering"/>
      <w:ind w:left="-1276"/>
    </w:pPr>
    <w:r>
      <w:rPr>
        <w:noProof/>
        <w:lang w:eastAsia="en-GB"/>
      </w:rPr>
      <w:drawing>
        <wp:anchor distT="0" distB="0" distL="114300" distR="114300" simplePos="0" relativeHeight="251661824" behindDoc="1" locked="0" layoutInCell="1" allowOverlap="1" wp14:anchorId="12B1F3ED" wp14:editId="4FE78850">
          <wp:simplePos x="0" y="0"/>
          <wp:positionH relativeFrom="column">
            <wp:posOffset>-1203325</wp:posOffset>
          </wp:positionH>
          <wp:positionV relativeFrom="paragraph">
            <wp:posOffset>-198120</wp:posOffset>
          </wp:positionV>
          <wp:extent cx="7997825" cy="5211445"/>
          <wp:effectExtent l="0" t="0" r="3175" b="0"/>
          <wp:wrapNone/>
          <wp:docPr id="3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7825" cy="521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6704" behindDoc="1" locked="0" layoutInCell="1" allowOverlap="1" wp14:anchorId="00654E44" wp14:editId="49783B14">
          <wp:simplePos x="0" y="0"/>
          <wp:positionH relativeFrom="column">
            <wp:posOffset>-1205230</wp:posOffset>
          </wp:positionH>
          <wp:positionV relativeFrom="paragraph">
            <wp:posOffset>-30422850</wp:posOffset>
          </wp:positionV>
          <wp:extent cx="7997825" cy="5211445"/>
          <wp:effectExtent l="0" t="0" r="3175" b="0"/>
          <wp:wrapNone/>
          <wp:docPr id="31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7825" cy="521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030" w:rsidRDefault="00F61030" w:rsidP="001E7B5F">
      <w:r>
        <w:separator/>
      </w:r>
    </w:p>
  </w:footnote>
  <w:footnote w:type="continuationSeparator" w:id="0">
    <w:p w:rsidR="00F61030" w:rsidRDefault="00F61030" w:rsidP="001E7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664" w:rsidRDefault="004C2664" w:rsidP="00131B75">
    <w:pPr>
      <w:ind w:hanging="1418"/>
    </w:pPr>
    <w:r>
      <w:rPr>
        <w:noProof/>
        <w:lang w:eastAsia="en-GB"/>
      </w:rPr>
      <w:drawing>
        <wp:anchor distT="0" distB="0" distL="114300" distR="114300" simplePos="0" relativeHeight="251666944" behindDoc="1" locked="0" layoutInCell="1" allowOverlap="1" wp14:anchorId="394DB3D7" wp14:editId="74F9154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9200" cy="490855"/>
          <wp:effectExtent l="0" t="0" r="0" b="0"/>
          <wp:wrapNone/>
          <wp:docPr id="28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664" w:rsidRDefault="004C2664" w:rsidP="001E7B5F">
    <w:pPr>
      <w:ind w:left="-179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style="width:8.35pt;height:8.35pt" o:bullet="t">
        <v:imagedata r:id="rId1" o:title="Featured listfin"/>
      </v:shape>
    </w:pict>
  </w:numPicBullet>
  <w:abstractNum w:abstractNumId="0">
    <w:nsid w:val="00CD54AE"/>
    <w:multiLevelType w:val="hybridMultilevel"/>
    <w:tmpl w:val="11BCA406"/>
    <w:lvl w:ilvl="0" w:tplc="F00A6FE4">
      <w:start w:val="1"/>
      <w:numFmt w:val="decimal"/>
      <w:pStyle w:val="GHTOC2"/>
      <w:lvlText w:val="%1.1"/>
      <w:lvlJc w:val="left"/>
      <w:pPr>
        <w:ind w:left="852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50C44F0"/>
    <w:multiLevelType w:val="multilevel"/>
    <w:tmpl w:val="FF109100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5F6591C"/>
    <w:multiLevelType w:val="multilevel"/>
    <w:tmpl w:val="CA047A5C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7EF7F5E"/>
    <w:multiLevelType w:val="multilevel"/>
    <w:tmpl w:val="1F9035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B4D497B"/>
    <w:multiLevelType w:val="multilevel"/>
    <w:tmpl w:val="4E00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0AD47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31A1C"/>
    <w:multiLevelType w:val="hybridMultilevel"/>
    <w:tmpl w:val="890ADF2C"/>
    <w:lvl w:ilvl="0" w:tplc="275AEF78">
      <w:start w:val="1"/>
      <w:numFmt w:val="decimal"/>
      <w:pStyle w:val="GHNumbering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1E47E56"/>
    <w:multiLevelType w:val="hybridMultilevel"/>
    <w:tmpl w:val="6054CF6A"/>
    <w:lvl w:ilvl="0" w:tplc="90F6C44E">
      <w:start w:val="1"/>
      <w:numFmt w:val="decimal"/>
      <w:pStyle w:val="GHTermsandConditionstext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61B90"/>
    <w:multiLevelType w:val="hybridMultilevel"/>
    <w:tmpl w:val="5D68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4376C"/>
    <w:multiLevelType w:val="multilevel"/>
    <w:tmpl w:val="E4425744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Restart w:val="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1E1726C"/>
    <w:multiLevelType w:val="hybridMultilevel"/>
    <w:tmpl w:val="EE4C7C74"/>
    <w:lvl w:ilvl="0" w:tplc="A2B46CF8">
      <w:start w:val="1"/>
      <w:numFmt w:val="lowerRoman"/>
      <w:pStyle w:val="GHNumerals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D19D8"/>
    <w:multiLevelType w:val="hybridMultilevel"/>
    <w:tmpl w:val="860280B6"/>
    <w:lvl w:ilvl="0" w:tplc="4F3651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77E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BB571ED"/>
    <w:multiLevelType w:val="hybridMultilevel"/>
    <w:tmpl w:val="06DC7730"/>
    <w:lvl w:ilvl="0" w:tplc="E508D160">
      <w:start w:val="1"/>
      <w:numFmt w:val="bullet"/>
      <w:pStyle w:val="GHBullet2"/>
      <w:lvlText w:val=""/>
      <w:lvlJc w:val="left"/>
      <w:pPr>
        <w:tabs>
          <w:tab w:val="num" w:pos="1497"/>
        </w:tabs>
        <w:ind w:left="1497" w:hanging="284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3">
    <w:nsid w:val="2E095819"/>
    <w:multiLevelType w:val="multilevel"/>
    <w:tmpl w:val="49780AA4"/>
    <w:lvl w:ilvl="0">
      <w:start w:val="1"/>
      <w:numFmt w:val="upperLetter"/>
      <w:pStyle w:val="Appendixlevel1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leve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leve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leve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C4A2BD4"/>
    <w:multiLevelType w:val="hybridMultilevel"/>
    <w:tmpl w:val="3098A1D6"/>
    <w:lvl w:ilvl="0" w:tplc="58147522">
      <w:start w:val="1"/>
      <w:numFmt w:val="bullet"/>
      <w:pStyle w:val="GHFeaturedlis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94B953"/>
      </w:rPr>
    </w:lvl>
    <w:lvl w:ilvl="1" w:tplc="B2526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649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49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C9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412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DA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0E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21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165390"/>
    <w:multiLevelType w:val="hybridMultilevel"/>
    <w:tmpl w:val="0DF8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204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71C38EA"/>
    <w:multiLevelType w:val="multilevel"/>
    <w:tmpl w:val="BE6E040C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/>
        <w:color w:val="8EAE30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C0504D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4F81BD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4F81BD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4F81BD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4F81BD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4F81BD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4F81BD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4F81BD"/>
        <w:sz w:val="16"/>
      </w:rPr>
    </w:lvl>
  </w:abstractNum>
  <w:abstractNum w:abstractNumId="18">
    <w:nsid w:val="4A6538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A7F34EA"/>
    <w:multiLevelType w:val="multilevel"/>
    <w:tmpl w:val="7D56DA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B7806A3"/>
    <w:multiLevelType w:val="hybridMultilevel"/>
    <w:tmpl w:val="5734FFDA"/>
    <w:lvl w:ilvl="0" w:tplc="B00C5ED0">
      <w:start w:val="1"/>
      <w:numFmt w:val="bullet"/>
      <w:pStyle w:val="GHBullet1"/>
      <w:lvlText w:val="&gt;"/>
      <w:lvlJc w:val="left"/>
      <w:pPr>
        <w:tabs>
          <w:tab w:val="num" w:pos="851"/>
        </w:tabs>
        <w:ind w:left="851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562B3"/>
    <w:multiLevelType w:val="multilevel"/>
    <w:tmpl w:val="F2727FEA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1EF00FB"/>
    <w:multiLevelType w:val="multilevel"/>
    <w:tmpl w:val="F06E7454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6361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AC20884"/>
    <w:multiLevelType w:val="multilevel"/>
    <w:tmpl w:val="6FBE5B3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5C9D3247"/>
    <w:multiLevelType w:val="multilevel"/>
    <w:tmpl w:val="A8E83A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5CCC59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6CD12A7"/>
    <w:multiLevelType w:val="hybridMultilevel"/>
    <w:tmpl w:val="E6E20A38"/>
    <w:lvl w:ilvl="0" w:tplc="54825590">
      <w:start w:val="1"/>
      <w:numFmt w:val="decimal"/>
      <w:pStyle w:val="GHTOC3"/>
      <w:lvlText w:val="%1.1.1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908A1"/>
    <w:multiLevelType w:val="multilevel"/>
    <w:tmpl w:val="1C5E8E48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77B1D30"/>
    <w:multiLevelType w:val="multilevel"/>
    <w:tmpl w:val="F2727FEA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1EE179E"/>
    <w:multiLevelType w:val="multilevel"/>
    <w:tmpl w:val="B7AAAE9A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56855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9BB5A8E"/>
    <w:multiLevelType w:val="multilevel"/>
    <w:tmpl w:val="F2727FEA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9FF6D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20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0"/>
  </w:num>
  <w:num w:numId="10">
    <w:abstractNumId w:val="27"/>
  </w:num>
  <w:num w:numId="11">
    <w:abstractNumId w:val="6"/>
  </w:num>
  <w:num w:numId="12">
    <w:abstractNumId w:val="31"/>
  </w:num>
  <w:num w:numId="13">
    <w:abstractNumId w:val="25"/>
  </w:num>
  <w:num w:numId="14">
    <w:abstractNumId w:val="33"/>
  </w:num>
  <w:num w:numId="15">
    <w:abstractNumId w:val="11"/>
  </w:num>
  <w:num w:numId="16">
    <w:abstractNumId w:val="13"/>
  </w:num>
  <w:num w:numId="17">
    <w:abstractNumId w:val="16"/>
  </w:num>
  <w:num w:numId="18">
    <w:abstractNumId w:val="19"/>
  </w:num>
  <w:num w:numId="19">
    <w:abstractNumId w:val="26"/>
  </w:num>
  <w:num w:numId="20">
    <w:abstractNumId w:val="2"/>
  </w:num>
  <w:num w:numId="21">
    <w:abstractNumId w:val="28"/>
  </w:num>
  <w:num w:numId="22">
    <w:abstractNumId w:val="24"/>
  </w:num>
  <w:num w:numId="23">
    <w:abstractNumId w:val="29"/>
  </w:num>
  <w:num w:numId="24">
    <w:abstractNumId w:val="1"/>
  </w:num>
  <w:num w:numId="25">
    <w:abstractNumId w:val="8"/>
  </w:num>
  <w:num w:numId="26">
    <w:abstractNumId w:val="15"/>
  </w:num>
  <w:num w:numId="27">
    <w:abstractNumId w:val="21"/>
  </w:num>
  <w:num w:numId="28">
    <w:abstractNumId w:val="32"/>
  </w:num>
  <w:num w:numId="29">
    <w:abstractNumId w:val="22"/>
  </w:num>
  <w:num w:numId="30">
    <w:abstractNumId w:val="30"/>
  </w:num>
  <w:num w:numId="31">
    <w:abstractNumId w:val="7"/>
  </w:num>
  <w:num w:numId="32">
    <w:abstractNumId w:val="4"/>
  </w:num>
  <w:num w:numId="33">
    <w:abstractNumId w:val="25"/>
  </w:num>
  <w:num w:numId="34">
    <w:abstractNumId w:val="23"/>
  </w:num>
  <w:num w:numId="35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08"/>
    <w:rsid w:val="00021655"/>
    <w:rsid w:val="00026A2F"/>
    <w:rsid w:val="0004661C"/>
    <w:rsid w:val="000623E3"/>
    <w:rsid w:val="00065BAF"/>
    <w:rsid w:val="000927FF"/>
    <w:rsid w:val="0009286D"/>
    <w:rsid w:val="00095D70"/>
    <w:rsid w:val="0009665C"/>
    <w:rsid w:val="000B34F0"/>
    <w:rsid w:val="001227DD"/>
    <w:rsid w:val="00131B75"/>
    <w:rsid w:val="00137659"/>
    <w:rsid w:val="00137BF4"/>
    <w:rsid w:val="00195116"/>
    <w:rsid w:val="001A3146"/>
    <w:rsid w:val="001B273F"/>
    <w:rsid w:val="001D5908"/>
    <w:rsid w:val="001E5BD8"/>
    <w:rsid w:val="001E7B5F"/>
    <w:rsid w:val="001E7BCB"/>
    <w:rsid w:val="00200FE5"/>
    <w:rsid w:val="002023FE"/>
    <w:rsid w:val="00202BAD"/>
    <w:rsid w:val="0022044E"/>
    <w:rsid w:val="00247482"/>
    <w:rsid w:val="002A56DB"/>
    <w:rsid w:val="002B0019"/>
    <w:rsid w:val="002B74F0"/>
    <w:rsid w:val="002C7BCB"/>
    <w:rsid w:val="002D1764"/>
    <w:rsid w:val="002E0C09"/>
    <w:rsid w:val="002F3ACE"/>
    <w:rsid w:val="003032ED"/>
    <w:rsid w:val="00316C38"/>
    <w:rsid w:val="00321D7B"/>
    <w:rsid w:val="00361F64"/>
    <w:rsid w:val="00381E63"/>
    <w:rsid w:val="003822DD"/>
    <w:rsid w:val="003A20E7"/>
    <w:rsid w:val="00414AA9"/>
    <w:rsid w:val="00446D5E"/>
    <w:rsid w:val="00451402"/>
    <w:rsid w:val="0046276E"/>
    <w:rsid w:val="004629D3"/>
    <w:rsid w:val="00462A65"/>
    <w:rsid w:val="0046529E"/>
    <w:rsid w:val="0046766A"/>
    <w:rsid w:val="004769F2"/>
    <w:rsid w:val="004836A4"/>
    <w:rsid w:val="00487AE6"/>
    <w:rsid w:val="0049428C"/>
    <w:rsid w:val="004B7880"/>
    <w:rsid w:val="004C2664"/>
    <w:rsid w:val="004C5C37"/>
    <w:rsid w:val="004E41B9"/>
    <w:rsid w:val="004F43B2"/>
    <w:rsid w:val="004F7C67"/>
    <w:rsid w:val="00521AF1"/>
    <w:rsid w:val="00523683"/>
    <w:rsid w:val="00531D6D"/>
    <w:rsid w:val="00536DC3"/>
    <w:rsid w:val="00541D73"/>
    <w:rsid w:val="00585A23"/>
    <w:rsid w:val="005D15DA"/>
    <w:rsid w:val="005E4EF9"/>
    <w:rsid w:val="005F7B6C"/>
    <w:rsid w:val="00664BA1"/>
    <w:rsid w:val="00666268"/>
    <w:rsid w:val="00687549"/>
    <w:rsid w:val="0069767B"/>
    <w:rsid w:val="006A19C6"/>
    <w:rsid w:val="006B235B"/>
    <w:rsid w:val="006B4D48"/>
    <w:rsid w:val="006B519F"/>
    <w:rsid w:val="006D4F00"/>
    <w:rsid w:val="006E016F"/>
    <w:rsid w:val="006E0FF0"/>
    <w:rsid w:val="007109F1"/>
    <w:rsid w:val="00743C0B"/>
    <w:rsid w:val="007641A6"/>
    <w:rsid w:val="00774DC9"/>
    <w:rsid w:val="007802E7"/>
    <w:rsid w:val="007B6C16"/>
    <w:rsid w:val="00804611"/>
    <w:rsid w:val="008210AF"/>
    <w:rsid w:val="00822E60"/>
    <w:rsid w:val="00826D5E"/>
    <w:rsid w:val="00827059"/>
    <w:rsid w:val="008515C5"/>
    <w:rsid w:val="00852860"/>
    <w:rsid w:val="0087186B"/>
    <w:rsid w:val="008805D5"/>
    <w:rsid w:val="00887398"/>
    <w:rsid w:val="008940FD"/>
    <w:rsid w:val="008973AE"/>
    <w:rsid w:val="008A4B65"/>
    <w:rsid w:val="008B0E68"/>
    <w:rsid w:val="008C4E1F"/>
    <w:rsid w:val="008D183A"/>
    <w:rsid w:val="008D6CA8"/>
    <w:rsid w:val="008E46BE"/>
    <w:rsid w:val="008F0B6E"/>
    <w:rsid w:val="009010F3"/>
    <w:rsid w:val="00901C58"/>
    <w:rsid w:val="00903EFA"/>
    <w:rsid w:val="0091440F"/>
    <w:rsid w:val="009158EA"/>
    <w:rsid w:val="0091642E"/>
    <w:rsid w:val="00941684"/>
    <w:rsid w:val="009540B8"/>
    <w:rsid w:val="00956EB9"/>
    <w:rsid w:val="00965749"/>
    <w:rsid w:val="0097538E"/>
    <w:rsid w:val="00975399"/>
    <w:rsid w:val="00983FAE"/>
    <w:rsid w:val="009A07DE"/>
    <w:rsid w:val="009B5907"/>
    <w:rsid w:val="009E5C2A"/>
    <w:rsid w:val="009F426E"/>
    <w:rsid w:val="00A009CA"/>
    <w:rsid w:val="00A2140B"/>
    <w:rsid w:val="00A265B2"/>
    <w:rsid w:val="00A37E06"/>
    <w:rsid w:val="00A55D66"/>
    <w:rsid w:val="00A61E79"/>
    <w:rsid w:val="00A73DA2"/>
    <w:rsid w:val="00A76C46"/>
    <w:rsid w:val="00A80A44"/>
    <w:rsid w:val="00A848F7"/>
    <w:rsid w:val="00AA6679"/>
    <w:rsid w:val="00AB17B4"/>
    <w:rsid w:val="00AB61F1"/>
    <w:rsid w:val="00AB6250"/>
    <w:rsid w:val="00AC0077"/>
    <w:rsid w:val="00AF228D"/>
    <w:rsid w:val="00AF77B9"/>
    <w:rsid w:val="00B00DF4"/>
    <w:rsid w:val="00B15908"/>
    <w:rsid w:val="00B175D2"/>
    <w:rsid w:val="00B2336F"/>
    <w:rsid w:val="00B64893"/>
    <w:rsid w:val="00B64F3A"/>
    <w:rsid w:val="00B6707B"/>
    <w:rsid w:val="00B93C25"/>
    <w:rsid w:val="00BB5E92"/>
    <w:rsid w:val="00BB7E37"/>
    <w:rsid w:val="00C35E8F"/>
    <w:rsid w:val="00C37716"/>
    <w:rsid w:val="00C62EEC"/>
    <w:rsid w:val="00C764C4"/>
    <w:rsid w:val="00C82C1F"/>
    <w:rsid w:val="00CB2622"/>
    <w:rsid w:val="00CC49E3"/>
    <w:rsid w:val="00CE2301"/>
    <w:rsid w:val="00CE6696"/>
    <w:rsid w:val="00CF4B39"/>
    <w:rsid w:val="00D26B3F"/>
    <w:rsid w:val="00D80132"/>
    <w:rsid w:val="00D94533"/>
    <w:rsid w:val="00DB0E02"/>
    <w:rsid w:val="00DB5768"/>
    <w:rsid w:val="00DD10F3"/>
    <w:rsid w:val="00DD676C"/>
    <w:rsid w:val="00DD6A76"/>
    <w:rsid w:val="00DE50CF"/>
    <w:rsid w:val="00DE6215"/>
    <w:rsid w:val="00E21DD5"/>
    <w:rsid w:val="00E30688"/>
    <w:rsid w:val="00E37213"/>
    <w:rsid w:val="00E4733D"/>
    <w:rsid w:val="00E50130"/>
    <w:rsid w:val="00E63643"/>
    <w:rsid w:val="00EA6A85"/>
    <w:rsid w:val="00EA6FEA"/>
    <w:rsid w:val="00EC4005"/>
    <w:rsid w:val="00EC461B"/>
    <w:rsid w:val="00ED52CD"/>
    <w:rsid w:val="00EE654D"/>
    <w:rsid w:val="00EF589D"/>
    <w:rsid w:val="00F10297"/>
    <w:rsid w:val="00F12A74"/>
    <w:rsid w:val="00F229FD"/>
    <w:rsid w:val="00F3623D"/>
    <w:rsid w:val="00F61030"/>
    <w:rsid w:val="00F6263D"/>
    <w:rsid w:val="00F655D4"/>
    <w:rsid w:val="00F72A22"/>
    <w:rsid w:val="00F7798B"/>
    <w:rsid w:val="00F8522F"/>
    <w:rsid w:val="00F96B09"/>
    <w:rsid w:val="00FB285C"/>
    <w:rsid w:val="00FB732E"/>
    <w:rsid w:val="00FD41E1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E19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PGothic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85"/>
    <w:pPr>
      <w:spacing w:after="180" w:line="360" w:lineRule="auto"/>
      <w:jc w:val="both"/>
    </w:pPr>
    <w:rPr>
      <w:rFonts w:ascii="Roboto Light" w:hAnsi="Roboto Light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0CF"/>
    <w:pPr>
      <w:keepNext/>
      <w:keepLines/>
      <w:numPr>
        <w:numId w:val="13"/>
      </w:numPr>
      <w:spacing w:after="360" w:line="240" w:lineRule="auto"/>
      <w:ind w:left="709" w:hanging="709"/>
      <w:outlineLvl w:val="0"/>
    </w:pPr>
    <w:rPr>
      <w:rFonts w:ascii="Roboto Condensed" w:hAnsi="Roboto Condensed"/>
      <w:bCs/>
      <w:caps/>
      <w:color w:val="75A712"/>
      <w:sz w:val="34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50CF"/>
    <w:pPr>
      <w:keepNext/>
      <w:keepLines/>
      <w:numPr>
        <w:ilvl w:val="1"/>
        <w:numId w:val="13"/>
      </w:numPr>
      <w:spacing w:before="240" w:after="120"/>
      <w:outlineLvl w:val="1"/>
    </w:pPr>
    <w:rPr>
      <w:rFonts w:ascii="Roboto Condensed" w:hAnsi="Roboto Condensed"/>
      <w:bCs/>
      <w:color w:val="0D0D0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0688"/>
    <w:pPr>
      <w:keepNext/>
      <w:keepLines/>
      <w:numPr>
        <w:ilvl w:val="2"/>
        <w:numId w:val="13"/>
      </w:numPr>
      <w:spacing w:before="200"/>
      <w:outlineLvl w:val="2"/>
    </w:pPr>
    <w:rPr>
      <w:i/>
      <w:i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51402"/>
    <w:pPr>
      <w:keepNext/>
      <w:keepLines/>
      <w:numPr>
        <w:ilvl w:val="3"/>
        <w:numId w:val="13"/>
      </w:numPr>
      <w:spacing w:before="200"/>
      <w:outlineLvl w:val="3"/>
    </w:pPr>
    <w:rPr>
      <w:b/>
      <w:color w:val="94B9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30688"/>
    <w:pPr>
      <w:keepNext/>
      <w:keepLines/>
      <w:numPr>
        <w:ilvl w:val="4"/>
        <w:numId w:val="13"/>
      </w:numPr>
      <w:spacing w:before="200"/>
      <w:outlineLvl w:val="4"/>
    </w:pPr>
    <w:rPr>
      <w:color w:val="00000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30688"/>
    <w:pPr>
      <w:keepNext/>
      <w:keepLines/>
      <w:numPr>
        <w:ilvl w:val="5"/>
        <w:numId w:val="13"/>
      </w:numPr>
      <w:spacing w:before="200"/>
      <w:outlineLvl w:val="5"/>
    </w:pPr>
    <w:rPr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68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68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68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E50CF"/>
    <w:rPr>
      <w:rFonts w:ascii="Roboto Condensed" w:hAnsi="Roboto Condensed"/>
      <w:bCs/>
      <w:caps/>
      <w:color w:val="75A712"/>
      <w:sz w:val="34"/>
      <w:szCs w:val="40"/>
    </w:rPr>
  </w:style>
  <w:style w:type="character" w:customStyle="1" w:styleId="Heading2Char">
    <w:name w:val="Heading 2 Char"/>
    <w:link w:val="Heading2"/>
    <w:uiPriority w:val="9"/>
    <w:rsid w:val="00DE50CF"/>
    <w:rPr>
      <w:rFonts w:ascii="Roboto Condensed" w:hAnsi="Roboto Condensed"/>
      <w:bCs/>
      <w:color w:val="0D0D0D"/>
      <w:sz w:val="28"/>
      <w:szCs w:val="28"/>
    </w:rPr>
  </w:style>
  <w:style w:type="character" w:customStyle="1" w:styleId="Heading3Char">
    <w:name w:val="Heading 3 Char"/>
    <w:link w:val="Heading3"/>
    <w:uiPriority w:val="9"/>
    <w:rsid w:val="00E30688"/>
    <w:rPr>
      <w:rFonts w:ascii="Arial" w:hAnsi="Arial"/>
      <w:i/>
      <w:iCs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451402"/>
    <w:rPr>
      <w:rFonts w:ascii="Roboto Light" w:hAnsi="Roboto Light"/>
      <w:b/>
      <w:color w:val="94B953"/>
      <w:sz w:val="22"/>
      <w:szCs w:val="22"/>
    </w:rPr>
  </w:style>
  <w:style w:type="character" w:customStyle="1" w:styleId="Heading5Char">
    <w:name w:val="Heading 5 Char"/>
    <w:link w:val="Heading5"/>
    <w:uiPriority w:val="9"/>
    <w:rsid w:val="00E30688"/>
    <w:rPr>
      <w:rFonts w:ascii="Arial" w:hAnsi="Arial"/>
      <w:color w:val="000000"/>
    </w:rPr>
  </w:style>
  <w:style w:type="character" w:customStyle="1" w:styleId="Heading6Char">
    <w:name w:val="Heading 6 Char"/>
    <w:link w:val="Heading6"/>
    <w:uiPriority w:val="9"/>
    <w:rsid w:val="00E30688"/>
    <w:rPr>
      <w:rFonts w:ascii="Arial" w:hAnsi="Arial"/>
      <w:i/>
      <w:iCs/>
      <w:color w:val="000000"/>
      <w:sz w:val="1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688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6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6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GHBodytextindent2">
    <w:name w:val="GH_Body text indent 2"/>
    <w:basedOn w:val="Normal"/>
    <w:qFormat/>
    <w:rsid w:val="003731BB"/>
    <w:pPr>
      <w:tabs>
        <w:tab w:val="left" w:pos="7180"/>
      </w:tabs>
      <w:ind w:left="1134"/>
    </w:pPr>
  </w:style>
  <w:style w:type="paragraph" w:customStyle="1" w:styleId="GHTableH2">
    <w:name w:val="GH_Table H2"/>
    <w:qFormat/>
    <w:rsid w:val="001A63F2"/>
    <w:pPr>
      <w:spacing w:before="120" w:after="120"/>
      <w:jc w:val="center"/>
    </w:pPr>
    <w:rPr>
      <w:rFonts w:ascii="Arial" w:hAnsi="Arial"/>
      <w:b/>
      <w:bCs/>
      <w:sz w:val="16"/>
      <w:szCs w:val="16"/>
    </w:rPr>
  </w:style>
  <w:style w:type="character" w:styleId="Hyperlink">
    <w:name w:val="Hyperlink"/>
    <w:uiPriority w:val="99"/>
    <w:unhideWhenUsed/>
    <w:rsid w:val="00AD4023"/>
    <w:rPr>
      <w:rFonts w:ascii="Arial" w:hAnsi="Arial"/>
      <w:color w:val="0000FF"/>
      <w:sz w:val="1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7E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DF37E2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qFormat/>
    <w:rsid w:val="00DF37E2"/>
    <w:pPr>
      <w:tabs>
        <w:tab w:val="center" w:pos="4320"/>
        <w:tab w:val="right" w:pos="8640"/>
      </w:tabs>
      <w:jc w:val="right"/>
    </w:pPr>
    <w:rPr>
      <w:caps/>
      <w:sz w:val="14"/>
      <w:szCs w:val="14"/>
    </w:rPr>
  </w:style>
  <w:style w:type="character" w:customStyle="1" w:styleId="FooterChar">
    <w:name w:val="Footer Char"/>
    <w:link w:val="Footer"/>
    <w:uiPriority w:val="99"/>
    <w:rsid w:val="00DF37E2"/>
    <w:rPr>
      <w:rFonts w:ascii="Arial" w:hAnsi="Arial"/>
      <w:caps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EF9"/>
    <w:pPr>
      <w:spacing w:after="0" w:line="240" w:lineRule="auto"/>
    </w:pPr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EF9"/>
    <w:rPr>
      <w:rFonts w:ascii="Lucida Grande" w:hAnsi="Lucida Grande" w:cs="Lucida Grande"/>
      <w:sz w:val="18"/>
      <w:szCs w:val="18"/>
    </w:rPr>
  </w:style>
  <w:style w:type="paragraph" w:customStyle="1" w:styleId="GHIntrotext">
    <w:name w:val="GH_Intro text"/>
    <w:basedOn w:val="Normal"/>
    <w:qFormat/>
    <w:rsid w:val="00C764C4"/>
    <w:pPr>
      <w:spacing w:before="100" w:beforeAutospacing="1"/>
      <w:ind w:left="57"/>
    </w:pPr>
    <w:rPr>
      <w:sz w:val="22"/>
    </w:rPr>
  </w:style>
  <w:style w:type="paragraph" w:customStyle="1" w:styleId="GHDisclaimertext">
    <w:name w:val="GH_Disclaimer text"/>
    <w:basedOn w:val="Normal"/>
    <w:qFormat/>
    <w:rsid w:val="00D363AB"/>
    <w:rPr>
      <w:sz w:val="12"/>
    </w:rPr>
  </w:style>
  <w:style w:type="paragraph" w:customStyle="1" w:styleId="GHNumbering">
    <w:name w:val="GH_Numbering"/>
    <w:basedOn w:val="GHBullet2"/>
    <w:qFormat/>
    <w:rsid w:val="00EF589D"/>
    <w:pPr>
      <w:numPr>
        <w:numId w:val="5"/>
      </w:numPr>
      <w:ind w:left="851"/>
    </w:pPr>
    <w:rPr>
      <w:rFonts w:ascii="Roboto Condensed Light" w:hAnsi="Roboto Condensed Light"/>
    </w:rPr>
  </w:style>
  <w:style w:type="paragraph" w:customStyle="1" w:styleId="GHBullet2">
    <w:name w:val="GH_Bullet 2"/>
    <w:basedOn w:val="Normal"/>
    <w:qFormat/>
    <w:rsid w:val="005E4EF9"/>
    <w:pPr>
      <w:numPr>
        <w:numId w:val="3"/>
      </w:numPr>
      <w:tabs>
        <w:tab w:val="left" w:pos="1213"/>
      </w:tabs>
      <w:contextualSpacing/>
    </w:pPr>
  </w:style>
  <w:style w:type="paragraph" w:customStyle="1" w:styleId="GHBullet1">
    <w:name w:val="GH_Bullet 1"/>
    <w:basedOn w:val="Normal"/>
    <w:qFormat/>
    <w:rsid w:val="005E4EF9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021655"/>
    <w:pPr>
      <w:ind w:left="720"/>
      <w:contextualSpacing/>
    </w:pPr>
  </w:style>
  <w:style w:type="character" w:styleId="SubtleEmphasis">
    <w:name w:val="Subtle Emphasis"/>
    <w:uiPriority w:val="19"/>
    <w:rsid w:val="00DF37E2"/>
    <w:rPr>
      <w:rFonts w:ascii="Arial" w:hAnsi="Arial"/>
      <w:i/>
      <w:iCs/>
      <w:color w:val="808080"/>
      <w:sz w:val="18"/>
    </w:rPr>
  </w:style>
  <w:style w:type="paragraph" w:customStyle="1" w:styleId="GHSubtitle">
    <w:name w:val="GH_Subtitle"/>
    <w:basedOn w:val="Normal"/>
    <w:next w:val="Normal"/>
    <w:qFormat/>
    <w:rsid w:val="00451402"/>
    <w:rPr>
      <w:rFonts w:ascii="Roboto Condensed Light" w:hAnsi="Roboto Condensed Light"/>
      <w:color w:val="94B953"/>
      <w:sz w:val="28"/>
      <w:szCs w:val="28"/>
    </w:rPr>
  </w:style>
  <w:style w:type="character" w:styleId="Strong">
    <w:name w:val="Strong"/>
    <w:uiPriority w:val="22"/>
    <w:rsid w:val="00D22923"/>
    <w:rPr>
      <w:rFonts w:ascii="Arial" w:hAnsi="Arial"/>
      <w:b/>
      <w:bCs/>
      <w:sz w:val="18"/>
    </w:rPr>
  </w:style>
  <w:style w:type="character" w:styleId="Emphasis">
    <w:name w:val="Emphasis"/>
    <w:aliases w:val="GH"/>
    <w:uiPriority w:val="20"/>
    <w:rsid w:val="00D22923"/>
    <w:rPr>
      <w:rFonts w:ascii="Arial" w:hAnsi="Arial"/>
      <w:i/>
      <w:iCs/>
      <w:sz w:val="18"/>
    </w:rPr>
  </w:style>
  <w:style w:type="character" w:styleId="IntenseEmphasis">
    <w:name w:val="Intense Emphasis"/>
    <w:uiPriority w:val="21"/>
    <w:rsid w:val="00D22923"/>
    <w:rPr>
      <w:rFonts w:ascii="Arial" w:hAnsi="Arial"/>
      <w:b/>
      <w:bCs/>
      <w:i/>
      <w:iCs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D22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HBodytextindent">
    <w:name w:val="GH_Body text indent"/>
    <w:basedOn w:val="Normal"/>
    <w:qFormat/>
    <w:rsid w:val="005E4EF9"/>
    <w:pPr>
      <w:tabs>
        <w:tab w:val="left" w:pos="7180"/>
      </w:tabs>
      <w:ind w:left="567"/>
    </w:pPr>
  </w:style>
  <w:style w:type="paragraph" w:customStyle="1" w:styleId="GHFeaturedlist">
    <w:name w:val="GH_Featured list"/>
    <w:basedOn w:val="Normal"/>
    <w:qFormat/>
    <w:rsid w:val="00D26B3F"/>
    <w:pPr>
      <w:numPr>
        <w:numId w:val="2"/>
      </w:numPr>
      <w:contextualSpacing/>
    </w:pPr>
  </w:style>
  <w:style w:type="paragraph" w:customStyle="1" w:styleId="GHNumerals">
    <w:name w:val="GH_Numerals"/>
    <w:basedOn w:val="Normal"/>
    <w:qFormat/>
    <w:rsid w:val="005E4EF9"/>
    <w:pPr>
      <w:numPr>
        <w:numId w:val="6"/>
      </w:numPr>
      <w:tabs>
        <w:tab w:val="left" w:pos="284"/>
        <w:tab w:val="left" w:pos="7180"/>
      </w:tabs>
      <w:ind w:left="1497" w:hanging="284"/>
      <w:contextualSpacing/>
    </w:pPr>
  </w:style>
  <w:style w:type="character" w:styleId="PageNumber">
    <w:name w:val="page number"/>
    <w:basedOn w:val="DefaultParagraphFont"/>
    <w:uiPriority w:val="99"/>
    <w:unhideWhenUsed/>
    <w:rsid w:val="00903EFA"/>
    <w:rPr>
      <w:rFonts w:ascii="Arial" w:hAnsi="Arial"/>
      <w:sz w:val="14"/>
    </w:rPr>
  </w:style>
  <w:style w:type="paragraph" w:customStyle="1" w:styleId="GHTableH1">
    <w:name w:val="GH_Table H1"/>
    <w:basedOn w:val="Normal"/>
    <w:qFormat/>
    <w:rsid w:val="00536DC3"/>
    <w:pPr>
      <w:keepNext/>
      <w:spacing w:before="60" w:after="60" w:line="240" w:lineRule="auto"/>
      <w:jc w:val="left"/>
    </w:pPr>
    <w:rPr>
      <w:rFonts w:ascii="Roboto Condensed" w:eastAsia="Calibri" w:hAnsi="Roboto Condensed" w:cs="Calibri"/>
      <w:bCs/>
      <w:lang w:eastAsia="ja-JP"/>
    </w:rPr>
  </w:style>
  <w:style w:type="paragraph" w:styleId="Caption">
    <w:name w:val="caption"/>
    <w:basedOn w:val="Normal"/>
    <w:next w:val="Normal"/>
    <w:uiPriority w:val="99"/>
    <w:qFormat/>
    <w:rsid w:val="00026A2F"/>
    <w:pPr>
      <w:keepNext/>
      <w:spacing w:after="120"/>
    </w:pPr>
    <w:rPr>
      <w:rFonts w:ascii="Roboto" w:eastAsia="Cambria" w:hAnsi="Roboto" w:cs="Cambria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447699"/>
    <w:pPr>
      <w:ind w:left="720"/>
    </w:pPr>
  </w:style>
  <w:style w:type="paragraph" w:customStyle="1" w:styleId="GHFigure">
    <w:name w:val="GH_Figure"/>
    <w:basedOn w:val="Caption"/>
    <w:next w:val="Normal"/>
    <w:rsid w:val="00D05AE3"/>
    <w:pPr>
      <w:pBdr>
        <w:top w:val="single" w:sz="2" w:space="1" w:color="808080"/>
      </w:pBdr>
      <w:spacing w:before="60"/>
      <w:jc w:val="left"/>
    </w:pPr>
    <w:rPr>
      <w:rFonts w:eastAsia="Calibri"/>
    </w:rPr>
  </w:style>
  <w:style w:type="paragraph" w:styleId="Title">
    <w:name w:val="Title"/>
    <w:basedOn w:val="Normal"/>
    <w:next w:val="Normal"/>
    <w:link w:val="TitleChar"/>
    <w:uiPriority w:val="10"/>
    <w:rsid w:val="005E4EF9"/>
    <w:pPr>
      <w:spacing w:before="120" w:after="120" w:line="240" w:lineRule="auto"/>
      <w:ind w:left="1134" w:hanging="567"/>
      <w:contextualSpacing/>
    </w:pPr>
    <w:rPr>
      <w:b/>
      <w:bCs/>
      <w:caps/>
      <w:color w:val="75A712"/>
      <w:spacing w:val="5"/>
      <w:kern w:val="28"/>
      <w:sz w:val="34"/>
      <w:szCs w:val="28"/>
    </w:rPr>
  </w:style>
  <w:style w:type="character" w:customStyle="1" w:styleId="TitleChar">
    <w:name w:val="Title Char"/>
    <w:link w:val="Title"/>
    <w:uiPriority w:val="10"/>
    <w:rsid w:val="00703494"/>
    <w:rPr>
      <w:rFonts w:ascii="Arial" w:eastAsia="MS PGothic" w:hAnsi="Arial" w:cs="Times New Roman"/>
      <w:b/>
      <w:bCs/>
      <w:caps/>
      <w:color w:val="75A712"/>
      <w:spacing w:val="5"/>
      <w:kern w:val="28"/>
      <w:sz w:val="34"/>
      <w:szCs w:val="28"/>
    </w:rPr>
  </w:style>
  <w:style w:type="paragraph" w:customStyle="1" w:styleId="GHTermsandconditions">
    <w:name w:val="GH_Terms and conditions"/>
    <w:basedOn w:val="Normal"/>
    <w:next w:val="GHTermsandConditionstext"/>
    <w:rsid w:val="005E4EF9"/>
    <w:pPr>
      <w:pBdr>
        <w:bottom w:val="single" w:sz="8" w:space="1" w:color="75A712"/>
      </w:pBdr>
      <w:spacing w:line="240" w:lineRule="auto"/>
      <w:ind w:left="567" w:hanging="567"/>
    </w:pPr>
    <w:rPr>
      <w:color w:val="75A712"/>
      <w:sz w:val="28"/>
    </w:rPr>
  </w:style>
  <w:style w:type="paragraph" w:customStyle="1" w:styleId="GHTermsandConditionstext">
    <w:name w:val="GH_Terms and Conditions text"/>
    <w:basedOn w:val="Normal"/>
    <w:qFormat/>
    <w:rsid w:val="00220F50"/>
    <w:pPr>
      <w:numPr>
        <w:numId w:val="11"/>
      </w:numPr>
      <w:spacing w:after="160" w:line="240" w:lineRule="auto"/>
    </w:pPr>
    <w:rPr>
      <w:sz w:val="15"/>
      <w:szCs w:val="16"/>
    </w:rPr>
  </w:style>
  <w:style w:type="paragraph" w:styleId="FootnoteText">
    <w:name w:val="footnote text"/>
    <w:basedOn w:val="Normal"/>
    <w:link w:val="FootnoteTextChar"/>
    <w:uiPriority w:val="99"/>
    <w:rsid w:val="00A265B2"/>
    <w:pPr>
      <w:keepNext/>
      <w:keepLines/>
      <w:spacing w:line="240" w:lineRule="auto"/>
      <w:contextualSpacing/>
    </w:pPr>
    <w:rPr>
      <w:rFonts w:ascii="Roboto Condensed Light" w:eastAsia="Cambria" w:hAnsi="Roboto Condensed Light"/>
      <w:sz w:val="16"/>
      <w:szCs w:val="20"/>
      <w:lang w:val="en-ZA"/>
    </w:rPr>
  </w:style>
  <w:style w:type="character" w:customStyle="1" w:styleId="FootnoteTextChar">
    <w:name w:val="Footnote Text Char"/>
    <w:link w:val="FootnoteText"/>
    <w:uiPriority w:val="99"/>
    <w:rsid w:val="00A265B2"/>
    <w:rPr>
      <w:rFonts w:ascii="Roboto Condensed Light" w:eastAsia="Cambria" w:hAnsi="Roboto Condensed Light"/>
      <w:sz w:val="16"/>
      <w:szCs w:val="20"/>
      <w:lang w:val="en-ZA"/>
    </w:rPr>
  </w:style>
  <w:style w:type="character" w:styleId="FootnoteReference">
    <w:name w:val="footnote reference"/>
    <w:uiPriority w:val="99"/>
    <w:rsid w:val="00D05AE3"/>
    <w:rPr>
      <w:rFonts w:cs="Times New Roman"/>
      <w:vertAlign w:val="superscript"/>
    </w:rPr>
  </w:style>
  <w:style w:type="paragraph" w:customStyle="1" w:styleId="GHTableheading2">
    <w:name w:val="GH_Table heading 2"/>
    <w:basedOn w:val="Normal"/>
    <w:rsid w:val="003F61CA"/>
    <w:pPr>
      <w:pBdr>
        <w:bottom w:val="single" w:sz="2" w:space="1" w:color="808080"/>
      </w:pBdr>
      <w:spacing w:before="120" w:after="120"/>
      <w:ind w:left="284" w:right="284"/>
      <w:jc w:val="right"/>
    </w:pPr>
    <w:rPr>
      <w:b/>
      <w:bCs/>
      <w:caps/>
    </w:rPr>
  </w:style>
  <w:style w:type="paragraph" w:customStyle="1" w:styleId="GHHighlight">
    <w:name w:val="GH_Highlight"/>
    <w:basedOn w:val="Normal"/>
    <w:qFormat/>
    <w:rsid w:val="002115A3"/>
    <w:pPr>
      <w:shd w:val="clear" w:color="auto" w:fill="C1E68D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customStyle="1" w:styleId="GHTOCHeading1">
    <w:name w:val="GH_TOC Heading 1"/>
    <w:basedOn w:val="Normal"/>
    <w:rsid w:val="005E4EF9"/>
    <w:pPr>
      <w:pBdr>
        <w:bottom w:val="single" w:sz="4" w:space="1" w:color="75A712"/>
      </w:pBdr>
      <w:spacing w:line="240" w:lineRule="auto"/>
    </w:pPr>
    <w:rPr>
      <w:bCs/>
      <w:color w:val="75A712"/>
      <w:sz w:val="28"/>
      <w:szCs w:val="28"/>
    </w:rPr>
  </w:style>
  <w:style w:type="paragraph" w:customStyle="1" w:styleId="GHTOC1">
    <w:name w:val="GH_TOC 1"/>
    <w:basedOn w:val="Normal"/>
    <w:qFormat/>
    <w:rsid w:val="00DF37E2"/>
    <w:pPr>
      <w:tabs>
        <w:tab w:val="left" w:pos="567"/>
        <w:tab w:val="right" w:pos="8963"/>
      </w:tabs>
      <w:spacing w:before="240"/>
    </w:pPr>
    <w:rPr>
      <w:rFonts w:cs="Arial"/>
      <w:b/>
      <w:bCs/>
      <w:noProof/>
      <w:color w:val="000000"/>
      <w:lang w:eastAsia="ja-JP"/>
    </w:rPr>
  </w:style>
  <w:style w:type="paragraph" w:customStyle="1" w:styleId="GHTOC2">
    <w:name w:val="GH_TOC 2"/>
    <w:basedOn w:val="Normal"/>
    <w:qFormat/>
    <w:rsid w:val="00DF37E2"/>
    <w:pPr>
      <w:numPr>
        <w:numId w:val="9"/>
      </w:numPr>
      <w:tabs>
        <w:tab w:val="left" w:pos="567"/>
        <w:tab w:val="right" w:pos="8963"/>
      </w:tabs>
      <w:ind w:left="0" w:firstLine="0"/>
    </w:pPr>
    <w:rPr>
      <w:rFonts w:cs="Arial"/>
      <w:i/>
      <w:noProof/>
    </w:rPr>
  </w:style>
  <w:style w:type="paragraph" w:customStyle="1" w:styleId="GHTOC4">
    <w:name w:val="GH_TOC 4"/>
    <w:basedOn w:val="Normal"/>
    <w:qFormat/>
    <w:rsid w:val="005E4EF9"/>
    <w:pPr>
      <w:tabs>
        <w:tab w:val="right" w:pos="8964"/>
      </w:tabs>
    </w:pPr>
    <w:rPr>
      <w:i/>
      <w:iCs/>
    </w:rPr>
  </w:style>
  <w:style w:type="paragraph" w:customStyle="1" w:styleId="GHTOC3">
    <w:name w:val="GH_TOC 3"/>
    <w:basedOn w:val="Normal"/>
    <w:qFormat/>
    <w:rsid w:val="00DF37E2"/>
    <w:pPr>
      <w:numPr>
        <w:numId w:val="10"/>
      </w:numPr>
      <w:tabs>
        <w:tab w:val="left" w:pos="567"/>
        <w:tab w:val="right" w:pos="8964"/>
      </w:tabs>
    </w:pPr>
    <w:rPr>
      <w:i/>
      <w:iCs/>
    </w:rPr>
  </w:style>
  <w:style w:type="paragraph" w:customStyle="1" w:styleId="GHTOC5">
    <w:name w:val="GH_TOC 5"/>
    <w:basedOn w:val="Normal"/>
    <w:qFormat/>
    <w:rsid w:val="00DF37E2"/>
    <w:pPr>
      <w:tabs>
        <w:tab w:val="right" w:pos="8963"/>
      </w:tabs>
      <w:spacing w:before="240" w:after="120"/>
    </w:pPr>
    <w:rPr>
      <w:rFonts w:cs="Arial"/>
      <w:b/>
      <w:bCs/>
      <w:i/>
      <w:noProof/>
      <w:color w:val="000000"/>
    </w:rPr>
  </w:style>
  <w:style w:type="paragraph" w:customStyle="1" w:styleId="GHTOC6">
    <w:name w:val="GH_TOC 6"/>
    <w:basedOn w:val="Normal"/>
    <w:qFormat/>
    <w:rsid w:val="00DF37E2"/>
    <w:pPr>
      <w:tabs>
        <w:tab w:val="left" w:pos="421"/>
        <w:tab w:val="right" w:pos="8963"/>
      </w:tabs>
      <w:ind w:left="1134" w:hanging="567"/>
    </w:pPr>
    <w:rPr>
      <w:rFonts w:cs="Arial"/>
      <w:i/>
      <w:noProof/>
    </w:rPr>
  </w:style>
  <w:style w:type="paragraph" w:customStyle="1" w:styleId="GHTableBody">
    <w:name w:val="GH_Table Body"/>
    <w:basedOn w:val="Normal"/>
    <w:qFormat/>
    <w:rsid w:val="006D4F00"/>
    <w:pPr>
      <w:spacing w:before="60" w:after="60" w:line="240" w:lineRule="auto"/>
      <w:jc w:val="left"/>
    </w:pPr>
    <w:rPr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54"/>
    <w:pPr>
      <w:pBdr>
        <w:bottom w:val="single" w:sz="4" w:space="4" w:color="000000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CF1954"/>
    <w:rPr>
      <w:rFonts w:ascii="Arial" w:hAnsi="Arial"/>
      <w:b/>
      <w:bCs/>
      <w:i/>
      <w:iCs/>
      <w:sz w:val="18"/>
    </w:rPr>
  </w:style>
  <w:style w:type="character" w:styleId="IntenseReference">
    <w:name w:val="Intense Reference"/>
    <w:uiPriority w:val="32"/>
    <w:rsid w:val="00CF1954"/>
    <w:rPr>
      <w:rFonts w:ascii="Arial" w:hAnsi="Arial"/>
      <w:b/>
      <w:bCs/>
      <w:caps w:val="0"/>
      <w:smallCaps w:val="0"/>
      <w:strike w:val="0"/>
      <w:dstrike w:val="0"/>
      <w:vanish/>
      <w:color w:val="auto"/>
      <w:spacing w:val="5"/>
      <w:sz w:val="18"/>
      <w:szCs w:val="18"/>
      <w:u w:val="single"/>
      <w:vertAlign w:val="baseline"/>
    </w:rPr>
  </w:style>
  <w:style w:type="character" w:styleId="SubtleReference">
    <w:name w:val="Subtle Reference"/>
    <w:uiPriority w:val="31"/>
    <w:rsid w:val="00CF1954"/>
    <w:rPr>
      <w:rFonts w:ascii="Arial" w:hAnsi="Arial"/>
      <w:caps w:val="0"/>
      <w:smallCaps w:val="0"/>
      <w:strike w:val="0"/>
      <w:dstrike w:val="0"/>
      <w:vanish/>
      <w:color w:val="75A712"/>
      <w:sz w:val="18"/>
      <w:szCs w:val="18"/>
      <w:u w:val="single"/>
      <w:vertAlign w:val="baseli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7880"/>
    <w:pPr>
      <w:spacing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7880"/>
    <w:rPr>
      <w:rFonts w:ascii="Lucida Grande" w:hAnsi="Lucida Grande" w:cs="Lucida Grand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64C4"/>
    <w:pPr>
      <w:spacing w:after="10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64C4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64C4"/>
    <w:pPr>
      <w:spacing w:after="100"/>
      <w:ind w:left="360"/>
    </w:pPr>
    <w:rPr>
      <w:i/>
    </w:rPr>
  </w:style>
  <w:style w:type="paragraph" w:customStyle="1" w:styleId="Appendixlevel1">
    <w:name w:val="Appendix level 1"/>
    <w:basedOn w:val="Heading1"/>
    <w:next w:val="Normal"/>
    <w:link w:val="Appendixlevel1Char"/>
    <w:qFormat/>
    <w:rsid w:val="00451402"/>
    <w:pPr>
      <w:numPr>
        <w:numId w:val="16"/>
      </w:numPr>
    </w:pPr>
    <w:rPr>
      <w:color w:val="94B953"/>
      <w:szCs w:val="34"/>
    </w:rPr>
  </w:style>
  <w:style w:type="character" w:customStyle="1" w:styleId="Appendixlevel1Char">
    <w:name w:val="Appendix level 1 Char"/>
    <w:basedOn w:val="Heading1Char"/>
    <w:link w:val="Appendixlevel1"/>
    <w:rsid w:val="00451402"/>
    <w:rPr>
      <w:rFonts w:ascii="Roboto Condensed" w:hAnsi="Roboto Condensed"/>
      <w:bCs/>
      <w:caps/>
      <w:color w:val="94B953"/>
      <w:sz w:val="34"/>
      <w:szCs w:val="34"/>
    </w:rPr>
  </w:style>
  <w:style w:type="paragraph" w:customStyle="1" w:styleId="Appendixlevel2">
    <w:name w:val="Appendix level 2"/>
    <w:basedOn w:val="Heading2"/>
    <w:next w:val="Normal"/>
    <w:qFormat/>
    <w:rsid w:val="007109F1"/>
    <w:pPr>
      <w:numPr>
        <w:numId w:val="16"/>
      </w:numPr>
    </w:pPr>
  </w:style>
  <w:style w:type="paragraph" w:customStyle="1" w:styleId="Appendixlevel3">
    <w:name w:val="Appendix level 3"/>
    <w:basedOn w:val="Heading3"/>
    <w:next w:val="Normal"/>
    <w:qFormat/>
    <w:rsid w:val="007109F1"/>
    <w:pPr>
      <w:numPr>
        <w:numId w:val="16"/>
      </w:numPr>
      <w:tabs>
        <w:tab w:val="left" w:pos="2368"/>
      </w:tabs>
    </w:pPr>
  </w:style>
  <w:style w:type="paragraph" w:customStyle="1" w:styleId="Appendixlevel4">
    <w:name w:val="Appendix level 4"/>
    <w:basedOn w:val="Normal"/>
    <w:next w:val="Normal"/>
    <w:qFormat/>
    <w:rsid w:val="00451402"/>
    <w:pPr>
      <w:numPr>
        <w:ilvl w:val="3"/>
        <w:numId w:val="16"/>
      </w:numPr>
      <w:tabs>
        <w:tab w:val="left" w:pos="2368"/>
      </w:tabs>
    </w:pPr>
    <w:rPr>
      <w:b/>
      <w:color w:val="94B953"/>
      <w:sz w:val="22"/>
    </w:rPr>
  </w:style>
  <w:style w:type="table" w:styleId="LightShading">
    <w:name w:val="Light Shading"/>
    <w:basedOn w:val="TableNormal"/>
    <w:uiPriority w:val="60"/>
    <w:rsid w:val="001B27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B273F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LightList">
    <w:name w:val="Light List"/>
    <w:basedOn w:val="TableNormal"/>
    <w:uiPriority w:val="61"/>
    <w:rsid w:val="001B27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1B27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1B273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B273F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B27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B273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GHBody">
    <w:name w:val="GH_Body"/>
    <w:basedOn w:val="Normal"/>
    <w:qFormat/>
    <w:rsid w:val="00903EFA"/>
    <w:pPr>
      <w:spacing w:after="0"/>
    </w:pPr>
  </w:style>
  <w:style w:type="paragraph" w:customStyle="1" w:styleId="GHAppendixA">
    <w:name w:val="GH_Appendix A"/>
    <w:basedOn w:val="Normal"/>
    <w:next w:val="GHBody"/>
    <w:rsid w:val="00903EFA"/>
    <w:pPr>
      <w:pBdr>
        <w:bottom w:val="single" w:sz="8" w:space="1" w:color="75A712"/>
      </w:pBdr>
      <w:tabs>
        <w:tab w:val="left" w:pos="7180"/>
      </w:tabs>
      <w:spacing w:after="0" w:line="240" w:lineRule="auto"/>
    </w:pPr>
    <w:rPr>
      <w:color w:val="75A712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FF"/>
    <w:rPr>
      <w:i/>
      <w:iCs/>
      <w:color w:val="000000" w:themeColor="text1"/>
    </w:rPr>
  </w:style>
  <w:style w:type="paragraph" w:customStyle="1" w:styleId="TOCheader">
    <w:name w:val="TOC header"/>
    <w:basedOn w:val="Normal"/>
    <w:link w:val="TOCheaderChar"/>
    <w:qFormat/>
    <w:rsid w:val="00451402"/>
    <w:pPr>
      <w:spacing w:after="360" w:line="240" w:lineRule="auto"/>
      <w:ind w:left="284" w:hanging="284"/>
    </w:pPr>
    <w:rPr>
      <w:rFonts w:ascii="Roboto Condensed" w:hAnsi="Roboto Condensed"/>
      <w:bCs/>
      <w:caps/>
      <w:color w:val="94B953"/>
      <w:sz w:val="34"/>
      <w:szCs w:val="40"/>
    </w:rPr>
  </w:style>
  <w:style w:type="character" w:customStyle="1" w:styleId="TOCheaderChar">
    <w:name w:val="TOC header Char"/>
    <w:basedOn w:val="DefaultParagraphFont"/>
    <w:link w:val="TOCheader"/>
    <w:rsid w:val="00451402"/>
    <w:rPr>
      <w:rFonts w:ascii="Roboto Condensed" w:hAnsi="Roboto Condensed"/>
      <w:bCs/>
      <w:caps/>
      <w:color w:val="94B953"/>
      <w:sz w:val="34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0927FF"/>
    <w:rPr>
      <w:rFonts w:ascii="Arial" w:hAnsi="Arial"/>
      <w:i/>
      <w:iCs/>
      <w:color w:val="000000" w:themeColor="text1"/>
      <w:sz w:val="18"/>
      <w:szCs w:val="24"/>
    </w:rPr>
  </w:style>
  <w:style w:type="character" w:styleId="BookTitle">
    <w:name w:val="Book Title"/>
    <w:basedOn w:val="DefaultParagraphFont"/>
    <w:uiPriority w:val="33"/>
    <w:rsid w:val="009A07DE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8F0B6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0"/>
      <w:szCs w:val="20"/>
      <w:lang w:val="en-ZA"/>
    </w:rPr>
  </w:style>
  <w:style w:type="table" w:customStyle="1" w:styleId="TGHnew">
    <w:name w:val="TGH new"/>
    <w:basedOn w:val="TableNormal"/>
    <w:uiPriority w:val="99"/>
    <w:rsid w:val="008B0E68"/>
    <w:rPr>
      <w:rFonts w:ascii="Roboto Light" w:hAnsi="Roboto Light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rFonts w:ascii="Roboto Condensed" w:hAnsi="Roboto Condensed"/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table" w:styleId="LightList-Accent3">
    <w:name w:val="Light List Accent 3"/>
    <w:basedOn w:val="TableNormal"/>
    <w:uiPriority w:val="61"/>
    <w:rsid w:val="00536DC3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ColorfulShading-Accent3">
    <w:name w:val="Colorful Shading Accent 3"/>
    <w:basedOn w:val="TableNormal"/>
    <w:uiPriority w:val="71"/>
    <w:rsid w:val="00536DC3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PGothic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85"/>
    <w:pPr>
      <w:spacing w:after="180" w:line="360" w:lineRule="auto"/>
      <w:jc w:val="both"/>
    </w:pPr>
    <w:rPr>
      <w:rFonts w:ascii="Roboto Light" w:hAnsi="Roboto Light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0CF"/>
    <w:pPr>
      <w:keepNext/>
      <w:keepLines/>
      <w:numPr>
        <w:numId w:val="13"/>
      </w:numPr>
      <w:spacing w:after="360" w:line="240" w:lineRule="auto"/>
      <w:ind w:left="709" w:hanging="709"/>
      <w:outlineLvl w:val="0"/>
    </w:pPr>
    <w:rPr>
      <w:rFonts w:ascii="Roboto Condensed" w:hAnsi="Roboto Condensed"/>
      <w:bCs/>
      <w:caps/>
      <w:color w:val="75A712"/>
      <w:sz w:val="34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50CF"/>
    <w:pPr>
      <w:keepNext/>
      <w:keepLines/>
      <w:numPr>
        <w:ilvl w:val="1"/>
        <w:numId w:val="13"/>
      </w:numPr>
      <w:spacing w:before="240" w:after="120"/>
      <w:outlineLvl w:val="1"/>
    </w:pPr>
    <w:rPr>
      <w:rFonts w:ascii="Roboto Condensed" w:hAnsi="Roboto Condensed"/>
      <w:bCs/>
      <w:color w:val="0D0D0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0688"/>
    <w:pPr>
      <w:keepNext/>
      <w:keepLines/>
      <w:numPr>
        <w:ilvl w:val="2"/>
        <w:numId w:val="13"/>
      </w:numPr>
      <w:spacing w:before="200"/>
      <w:outlineLvl w:val="2"/>
    </w:pPr>
    <w:rPr>
      <w:i/>
      <w:i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51402"/>
    <w:pPr>
      <w:keepNext/>
      <w:keepLines/>
      <w:numPr>
        <w:ilvl w:val="3"/>
        <w:numId w:val="13"/>
      </w:numPr>
      <w:spacing w:before="200"/>
      <w:outlineLvl w:val="3"/>
    </w:pPr>
    <w:rPr>
      <w:b/>
      <w:color w:val="94B9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30688"/>
    <w:pPr>
      <w:keepNext/>
      <w:keepLines/>
      <w:numPr>
        <w:ilvl w:val="4"/>
        <w:numId w:val="13"/>
      </w:numPr>
      <w:spacing w:before="200"/>
      <w:outlineLvl w:val="4"/>
    </w:pPr>
    <w:rPr>
      <w:color w:val="00000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30688"/>
    <w:pPr>
      <w:keepNext/>
      <w:keepLines/>
      <w:numPr>
        <w:ilvl w:val="5"/>
        <w:numId w:val="13"/>
      </w:numPr>
      <w:spacing w:before="200"/>
      <w:outlineLvl w:val="5"/>
    </w:pPr>
    <w:rPr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68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68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68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E50CF"/>
    <w:rPr>
      <w:rFonts w:ascii="Roboto Condensed" w:hAnsi="Roboto Condensed"/>
      <w:bCs/>
      <w:caps/>
      <w:color w:val="75A712"/>
      <w:sz w:val="34"/>
      <w:szCs w:val="40"/>
    </w:rPr>
  </w:style>
  <w:style w:type="character" w:customStyle="1" w:styleId="Heading2Char">
    <w:name w:val="Heading 2 Char"/>
    <w:link w:val="Heading2"/>
    <w:uiPriority w:val="9"/>
    <w:rsid w:val="00DE50CF"/>
    <w:rPr>
      <w:rFonts w:ascii="Roboto Condensed" w:hAnsi="Roboto Condensed"/>
      <w:bCs/>
      <w:color w:val="0D0D0D"/>
      <w:sz w:val="28"/>
      <w:szCs w:val="28"/>
    </w:rPr>
  </w:style>
  <w:style w:type="character" w:customStyle="1" w:styleId="Heading3Char">
    <w:name w:val="Heading 3 Char"/>
    <w:link w:val="Heading3"/>
    <w:uiPriority w:val="9"/>
    <w:rsid w:val="00E30688"/>
    <w:rPr>
      <w:rFonts w:ascii="Arial" w:hAnsi="Arial"/>
      <w:i/>
      <w:iCs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451402"/>
    <w:rPr>
      <w:rFonts w:ascii="Roboto Light" w:hAnsi="Roboto Light"/>
      <w:b/>
      <w:color w:val="94B953"/>
      <w:sz w:val="22"/>
      <w:szCs w:val="22"/>
    </w:rPr>
  </w:style>
  <w:style w:type="character" w:customStyle="1" w:styleId="Heading5Char">
    <w:name w:val="Heading 5 Char"/>
    <w:link w:val="Heading5"/>
    <w:uiPriority w:val="9"/>
    <w:rsid w:val="00E30688"/>
    <w:rPr>
      <w:rFonts w:ascii="Arial" w:hAnsi="Arial"/>
      <w:color w:val="000000"/>
    </w:rPr>
  </w:style>
  <w:style w:type="character" w:customStyle="1" w:styleId="Heading6Char">
    <w:name w:val="Heading 6 Char"/>
    <w:link w:val="Heading6"/>
    <w:uiPriority w:val="9"/>
    <w:rsid w:val="00E30688"/>
    <w:rPr>
      <w:rFonts w:ascii="Arial" w:hAnsi="Arial"/>
      <w:i/>
      <w:iCs/>
      <w:color w:val="000000"/>
      <w:sz w:val="1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688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6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6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GHBodytextindent2">
    <w:name w:val="GH_Body text indent 2"/>
    <w:basedOn w:val="Normal"/>
    <w:qFormat/>
    <w:rsid w:val="003731BB"/>
    <w:pPr>
      <w:tabs>
        <w:tab w:val="left" w:pos="7180"/>
      </w:tabs>
      <w:ind w:left="1134"/>
    </w:pPr>
  </w:style>
  <w:style w:type="paragraph" w:customStyle="1" w:styleId="GHTableH2">
    <w:name w:val="GH_Table H2"/>
    <w:qFormat/>
    <w:rsid w:val="001A63F2"/>
    <w:pPr>
      <w:spacing w:before="120" w:after="120"/>
      <w:jc w:val="center"/>
    </w:pPr>
    <w:rPr>
      <w:rFonts w:ascii="Arial" w:hAnsi="Arial"/>
      <w:b/>
      <w:bCs/>
      <w:sz w:val="16"/>
      <w:szCs w:val="16"/>
    </w:rPr>
  </w:style>
  <w:style w:type="character" w:styleId="Hyperlink">
    <w:name w:val="Hyperlink"/>
    <w:uiPriority w:val="99"/>
    <w:unhideWhenUsed/>
    <w:rsid w:val="00AD4023"/>
    <w:rPr>
      <w:rFonts w:ascii="Arial" w:hAnsi="Arial"/>
      <w:color w:val="0000FF"/>
      <w:sz w:val="1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7E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DF37E2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qFormat/>
    <w:rsid w:val="00DF37E2"/>
    <w:pPr>
      <w:tabs>
        <w:tab w:val="center" w:pos="4320"/>
        <w:tab w:val="right" w:pos="8640"/>
      </w:tabs>
      <w:jc w:val="right"/>
    </w:pPr>
    <w:rPr>
      <w:caps/>
      <w:sz w:val="14"/>
      <w:szCs w:val="14"/>
    </w:rPr>
  </w:style>
  <w:style w:type="character" w:customStyle="1" w:styleId="FooterChar">
    <w:name w:val="Footer Char"/>
    <w:link w:val="Footer"/>
    <w:uiPriority w:val="99"/>
    <w:rsid w:val="00DF37E2"/>
    <w:rPr>
      <w:rFonts w:ascii="Arial" w:hAnsi="Arial"/>
      <w:caps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EF9"/>
    <w:pPr>
      <w:spacing w:after="0" w:line="240" w:lineRule="auto"/>
    </w:pPr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EF9"/>
    <w:rPr>
      <w:rFonts w:ascii="Lucida Grande" w:hAnsi="Lucida Grande" w:cs="Lucida Grande"/>
      <w:sz w:val="18"/>
      <w:szCs w:val="18"/>
    </w:rPr>
  </w:style>
  <w:style w:type="paragraph" w:customStyle="1" w:styleId="GHIntrotext">
    <w:name w:val="GH_Intro text"/>
    <w:basedOn w:val="Normal"/>
    <w:qFormat/>
    <w:rsid w:val="00C764C4"/>
    <w:pPr>
      <w:spacing w:before="100" w:beforeAutospacing="1"/>
      <w:ind w:left="57"/>
    </w:pPr>
    <w:rPr>
      <w:sz w:val="22"/>
    </w:rPr>
  </w:style>
  <w:style w:type="paragraph" w:customStyle="1" w:styleId="GHDisclaimertext">
    <w:name w:val="GH_Disclaimer text"/>
    <w:basedOn w:val="Normal"/>
    <w:qFormat/>
    <w:rsid w:val="00D363AB"/>
    <w:rPr>
      <w:sz w:val="12"/>
    </w:rPr>
  </w:style>
  <w:style w:type="paragraph" w:customStyle="1" w:styleId="GHNumbering">
    <w:name w:val="GH_Numbering"/>
    <w:basedOn w:val="GHBullet2"/>
    <w:qFormat/>
    <w:rsid w:val="00EF589D"/>
    <w:pPr>
      <w:numPr>
        <w:numId w:val="5"/>
      </w:numPr>
      <w:ind w:left="851"/>
    </w:pPr>
    <w:rPr>
      <w:rFonts w:ascii="Roboto Condensed Light" w:hAnsi="Roboto Condensed Light"/>
    </w:rPr>
  </w:style>
  <w:style w:type="paragraph" w:customStyle="1" w:styleId="GHBullet2">
    <w:name w:val="GH_Bullet 2"/>
    <w:basedOn w:val="Normal"/>
    <w:qFormat/>
    <w:rsid w:val="005E4EF9"/>
    <w:pPr>
      <w:numPr>
        <w:numId w:val="3"/>
      </w:numPr>
      <w:tabs>
        <w:tab w:val="left" w:pos="1213"/>
      </w:tabs>
      <w:contextualSpacing/>
    </w:pPr>
  </w:style>
  <w:style w:type="paragraph" w:customStyle="1" w:styleId="GHBullet1">
    <w:name w:val="GH_Bullet 1"/>
    <w:basedOn w:val="Normal"/>
    <w:qFormat/>
    <w:rsid w:val="005E4EF9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021655"/>
    <w:pPr>
      <w:ind w:left="720"/>
      <w:contextualSpacing/>
    </w:pPr>
  </w:style>
  <w:style w:type="character" w:styleId="SubtleEmphasis">
    <w:name w:val="Subtle Emphasis"/>
    <w:uiPriority w:val="19"/>
    <w:rsid w:val="00DF37E2"/>
    <w:rPr>
      <w:rFonts w:ascii="Arial" w:hAnsi="Arial"/>
      <w:i/>
      <w:iCs/>
      <w:color w:val="808080"/>
      <w:sz w:val="18"/>
    </w:rPr>
  </w:style>
  <w:style w:type="paragraph" w:customStyle="1" w:styleId="GHSubtitle">
    <w:name w:val="GH_Subtitle"/>
    <w:basedOn w:val="Normal"/>
    <w:next w:val="Normal"/>
    <w:qFormat/>
    <w:rsid w:val="00451402"/>
    <w:rPr>
      <w:rFonts w:ascii="Roboto Condensed Light" w:hAnsi="Roboto Condensed Light"/>
      <w:color w:val="94B953"/>
      <w:sz w:val="28"/>
      <w:szCs w:val="28"/>
    </w:rPr>
  </w:style>
  <w:style w:type="character" w:styleId="Strong">
    <w:name w:val="Strong"/>
    <w:uiPriority w:val="22"/>
    <w:rsid w:val="00D22923"/>
    <w:rPr>
      <w:rFonts w:ascii="Arial" w:hAnsi="Arial"/>
      <w:b/>
      <w:bCs/>
      <w:sz w:val="18"/>
    </w:rPr>
  </w:style>
  <w:style w:type="character" w:styleId="Emphasis">
    <w:name w:val="Emphasis"/>
    <w:aliases w:val="GH"/>
    <w:uiPriority w:val="20"/>
    <w:rsid w:val="00D22923"/>
    <w:rPr>
      <w:rFonts w:ascii="Arial" w:hAnsi="Arial"/>
      <w:i/>
      <w:iCs/>
      <w:sz w:val="18"/>
    </w:rPr>
  </w:style>
  <w:style w:type="character" w:styleId="IntenseEmphasis">
    <w:name w:val="Intense Emphasis"/>
    <w:uiPriority w:val="21"/>
    <w:rsid w:val="00D22923"/>
    <w:rPr>
      <w:rFonts w:ascii="Arial" w:hAnsi="Arial"/>
      <w:b/>
      <w:bCs/>
      <w:i/>
      <w:iCs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D22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HBodytextindent">
    <w:name w:val="GH_Body text indent"/>
    <w:basedOn w:val="Normal"/>
    <w:qFormat/>
    <w:rsid w:val="005E4EF9"/>
    <w:pPr>
      <w:tabs>
        <w:tab w:val="left" w:pos="7180"/>
      </w:tabs>
      <w:ind w:left="567"/>
    </w:pPr>
  </w:style>
  <w:style w:type="paragraph" w:customStyle="1" w:styleId="GHFeaturedlist">
    <w:name w:val="GH_Featured list"/>
    <w:basedOn w:val="Normal"/>
    <w:qFormat/>
    <w:rsid w:val="00D26B3F"/>
    <w:pPr>
      <w:numPr>
        <w:numId w:val="2"/>
      </w:numPr>
      <w:contextualSpacing/>
    </w:pPr>
  </w:style>
  <w:style w:type="paragraph" w:customStyle="1" w:styleId="GHNumerals">
    <w:name w:val="GH_Numerals"/>
    <w:basedOn w:val="Normal"/>
    <w:qFormat/>
    <w:rsid w:val="005E4EF9"/>
    <w:pPr>
      <w:numPr>
        <w:numId w:val="6"/>
      </w:numPr>
      <w:tabs>
        <w:tab w:val="left" w:pos="284"/>
        <w:tab w:val="left" w:pos="7180"/>
      </w:tabs>
      <w:ind w:left="1497" w:hanging="284"/>
      <w:contextualSpacing/>
    </w:pPr>
  </w:style>
  <w:style w:type="character" w:styleId="PageNumber">
    <w:name w:val="page number"/>
    <w:basedOn w:val="DefaultParagraphFont"/>
    <w:uiPriority w:val="99"/>
    <w:unhideWhenUsed/>
    <w:rsid w:val="00903EFA"/>
    <w:rPr>
      <w:rFonts w:ascii="Arial" w:hAnsi="Arial"/>
      <w:sz w:val="14"/>
    </w:rPr>
  </w:style>
  <w:style w:type="paragraph" w:customStyle="1" w:styleId="GHTableH1">
    <w:name w:val="GH_Table H1"/>
    <w:basedOn w:val="Normal"/>
    <w:qFormat/>
    <w:rsid w:val="00536DC3"/>
    <w:pPr>
      <w:keepNext/>
      <w:spacing w:before="60" w:after="60" w:line="240" w:lineRule="auto"/>
      <w:jc w:val="left"/>
    </w:pPr>
    <w:rPr>
      <w:rFonts w:ascii="Roboto Condensed" w:eastAsia="Calibri" w:hAnsi="Roboto Condensed" w:cs="Calibri"/>
      <w:bCs/>
      <w:lang w:eastAsia="ja-JP"/>
    </w:rPr>
  </w:style>
  <w:style w:type="paragraph" w:styleId="Caption">
    <w:name w:val="caption"/>
    <w:basedOn w:val="Normal"/>
    <w:next w:val="Normal"/>
    <w:uiPriority w:val="99"/>
    <w:qFormat/>
    <w:rsid w:val="00026A2F"/>
    <w:pPr>
      <w:keepNext/>
      <w:spacing w:after="120"/>
    </w:pPr>
    <w:rPr>
      <w:rFonts w:ascii="Roboto" w:eastAsia="Cambria" w:hAnsi="Roboto" w:cs="Cambria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447699"/>
    <w:pPr>
      <w:ind w:left="720"/>
    </w:pPr>
  </w:style>
  <w:style w:type="paragraph" w:customStyle="1" w:styleId="GHFigure">
    <w:name w:val="GH_Figure"/>
    <w:basedOn w:val="Caption"/>
    <w:next w:val="Normal"/>
    <w:rsid w:val="00D05AE3"/>
    <w:pPr>
      <w:pBdr>
        <w:top w:val="single" w:sz="2" w:space="1" w:color="808080"/>
      </w:pBdr>
      <w:spacing w:before="60"/>
      <w:jc w:val="left"/>
    </w:pPr>
    <w:rPr>
      <w:rFonts w:eastAsia="Calibri"/>
    </w:rPr>
  </w:style>
  <w:style w:type="paragraph" w:styleId="Title">
    <w:name w:val="Title"/>
    <w:basedOn w:val="Normal"/>
    <w:next w:val="Normal"/>
    <w:link w:val="TitleChar"/>
    <w:uiPriority w:val="10"/>
    <w:rsid w:val="005E4EF9"/>
    <w:pPr>
      <w:spacing w:before="120" w:after="120" w:line="240" w:lineRule="auto"/>
      <w:ind w:left="1134" w:hanging="567"/>
      <w:contextualSpacing/>
    </w:pPr>
    <w:rPr>
      <w:b/>
      <w:bCs/>
      <w:caps/>
      <w:color w:val="75A712"/>
      <w:spacing w:val="5"/>
      <w:kern w:val="28"/>
      <w:sz w:val="34"/>
      <w:szCs w:val="28"/>
    </w:rPr>
  </w:style>
  <w:style w:type="character" w:customStyle="1" w:styleId="TitleChar">
    <w:name w:val="Title Char"/>
    <w:link w:val="Title"/>
    <w:uiPriority w:val="10"/>
    <w:rsid w:val="00703494"/>
    <w:rPr>
      <w:rFonts w:ascii="Arial" w:eastAsia="MS PGothic" w:hAnsi="Arial" w:cs="Times New Roman"/>
      <w:b/>
      <w:bCs/>
      <w:caps/>
      <w:color w:val="75A712"/>
      <w:spacing w:val="5"/>
      <w:kern w:val="28"/>
      <w:sz w:val="34"/>
      <w:szCs w:val="28"/>
    </w:rPr>
  </w:style>
  <w:style w:type="paragraph" w:customStyle="1" w:styleId="GHTermsandconditions">
    <w:name w:val="GH_Terms and conditions"/>
    <w:basedOn w:val="Normal"/>
    <w:next w:val="GHTermsandConditionstext"/>
    <w:rsid w:val="005E4EF9"/>
    <w:pPr>
      <w:pBdr>
        <w:bottom w:val="single" w:sz="8" w:space="1" w:color="75A712"/>
      </w:pBdr>
      <w:spacing w:line="240" w:lineRule="auto"/>
      <w:ind w:left="567" w:hanging="567"/>
    </w:pPr>
    <w:rPr>
      <w:color w:val="75A712"/>
      <w:sz w:val="28"/>
    </w:rPr>
  </w:style>
  <w:style w:type="paragraph" w:customStyle="1" w:styleId="GHTermsandConditionstext">
    <w:name w:val="GH_Terms and Conditions text"/>
    <w:basedOn w:val="Normal"/>
    <w:qFormat/>
    <w:rsid w:val="00220F50"/>
    <w:pPr>
      <w:numPr>
        <w:numId w:val="11"/>
      </w:numPr>
      <w:spacing w:after="160" w:line="240" w:lineRule="auto"/>
    </w:pPr>
    <w:rPr>
      <w:sz w:val="15"/>
      <w:szCs w:val="16"/>
    </w:rPr>
  </w:style>
  <w:style w:type="paragraph" w:styleId="FootnoteText">
    <w:name w:val="footnote text"/>
    <w:basedOn w:val="Normal"/>
    <w:link w:val="FootnoteTextChar"/>
    <w:uiPriority w:val="99"/>
    <w:rsid w:val="00A265B2"/>
    <w:pPr>
      <w:keepNext/>
      <w:keepLines/>
      <w:spacing w:line="240" w:lineRule="auto"/>
      <w:contextualSpacing/>
    </w:pPr>
    <w:rPr>
      <w:rFonts w:ascii="Roboto Condensed Light" w:eastAsia="Cambria" w:hAnsi="Roboto Condensed Light"/>
      <w:sz w:val="16"/>
      <w:szCs w:val="20"/>
      <w:lang w:val="en-ZA"/>
    </w:rPr>
  </w:style>
  <w:style w:type="character" w:customStyle="1" w:styleId="FootnoteTextChar">
    <w:name w:val="Footnote Text Char"/>
    <w:link w:val="FootnoteText"/>
    <w:uiPriority w:val="99"/>
    <w:rsid w:val="00A265B2"/>
    <w:rPr>
      <w:rFonts w:ascii="Roboto Condensed Light" w:eastAsia="Cambria" w:hAnsi="Roboto Condensed Light"/>
      <w:sz w:val="16"/>
      <w:szCs w:val="20"/>
      <w:lang w:val="en-ZA"/>
    </w:rPr>
  </w:style>
  <w:style w:type="character" w:styleId="FootnoteReference">
    <w:name w:val="footnote reference"/>
    <w:uiPriority w:val="99"/>
    <w:rsid w:val="00D05AE3"/>
    <w:rPr>
      <w:rFonts w:cs="Times New Roman"/>
      <w:vertAlign w:val="superscript"/>
    </w:rPr>
  </w:style>
  <w:style w:type="paragraph" w:customStyle="1" w:styleId="GHTableheading2">
    <w:name w:val="GH_Table heading 2"/>
    <w:basedOn w:val="Normal"/>
    <w:rsid w:val="003F61CA"/>
    <w:pPr>
      <w:pBdr>
        <w:bottom w:val="single" w:sz="2" w:space="1" w:color="808080"/>
      </w:pBdr>
      <w:spacing w:before="120" w:after="120"/>
      <w:ind w:left="284" w:right="284"/>
      <w:jc w:val="right"/>
    </w:pPr>
    <w:rPr>
      <w:b/>
      <w:bCs/>
      <w:caps/>
    </w:rPr>
  </w:style>
  <w:style w:type="paragraph" w:customStyle="1" w:styleId="GHHighlight">
    <w:name w:val="GH_Highlight"/>
    <w:basedOn w:val="Normal"/>
    <w:qFormat/>
    <w:rsid w:val="002115A3"/>
    <w:pPr>
      <w:shd w:val="clear" w:color="auto" w:fill="C1E68D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BAE"/>
    <w:rPr>
      <w:rFonts w:ascii="Calibri" w:hAnsi="Calibri"/>
      <w:sz w:val="22"/>
      <w:szCs w:val="22"/>
    </w:rPr>
  </w:style>
  <w:style w:type="paragraph" w:customStyle="1" w:styleId="GHTOCHeading1">
    <w:name w:val="GH_TOC Heading 1"/>
    <w:basedOn w:val="Normal"/>
    <w:rsid w:val="005E4EF9"/>
    <w:pPr>
      <w:pBdr>
        <w:bottom w:val="single" w:sz="4" w:space="1" w:color="75A712"/>
      </w:pBdr>
      <w:spacing w:line="240" w:lineRule="auto"/>
    </w:pPr>
    <w:rPr>
      <w:bCs/>
      <w:color w:val="75A712"/>
      <w:sz w:val="28"/>
      <w:szCs w:val="28"/>
    </w:rPr>
  </w:style>
  <w:style w:type="paragraph" w:customStyle="1" w:styleId="GHTOC1">
    <w:name w:val="GH_TOC 1"/>
    <w:basedOn w:val="Normal"/>
    <w:qFormat/>
    <w:rsid w:val="00DF37E2"/>
    <w:pPr>
      <w:tabs>
        <w:tab w:val="left" w:pos="567"/>
        <w:tab w:val="right" w:pos="8963"/>
      </w:tabs>
      <w:spacing w:before="240"/>
    </w:pPr>
    <w:rPr>
      <w:rFonts w:cs="Arial"/>
      <w:b/>
      <w:bCs/>
      <w:noProof/>
      <w:color w:val="000000"/>
      <w:lang w:eastAsia="ja-JP"/>
    </w:rPr>
  </w:style>
  <w:style w:type="paragraph" w:customStyle="1" w:styleId="GHTOC2">
    <w:name w:val="GH_TOC 2"/>
    <w:basedOn w:val="Normal"/>
    <w:qFormat/>
    <w:rsid w:val="00DF37E2"/>
    <w:pPr>
      <w:numPr>
        <w:numId w:val="9"/>
      </w:numPr>
      <w:tabs>
        <w:tab w:val="left" w:pos="567"/>
        <w:tab w:val="right" w:pos="8963"/>
      </w:tabs>
      <w:ind w:left="0" w:firstLine="0"/>
    </w:pPr>
    <w:rPr>
      <w:rFonts w:cs="Arial"/>
      <w:i/>
      <w:noProof/>
    </w:rPr>
  </w:style>
  <w:style w:type="paragraph" w:customStyle="1" w:styleId="GHTOC4">
    <w:name w:val="GH_TOC 4"/>
    <w:basedOn w:val="Normal"/>
    <w:qFormat/>
    <w:rsid w:val="005E4EF9"/>
    <w:pPr>
      <w:tabs>
        <w:tab w:val="right" w:pos="8964"/>
      </w:tabs>
    </w:pPr>
    <w:rPr>
      <w:i/>
      <w:iCs/>
    </w:rPr>
  </w:style>
  <w:style w:type="paragraph" w:customStyle="1" w:styleId="GHTOC3">
    <w:name w:val="GH_TOC 3"/>
    <w:basedOn w:val="Normal"/>
    <w:qFormat/>
    <w:rsid w:val="00DF37E2"/>
    <w:pPr>
      <w:numPr>
        <w:numId w:val="10"/>
      </w:numPr>
      <w:tabs>
        <w:tab w:val="left" w:pos="567"/>
        <w:tab w:val="right" w:pos="8964"/>
      </w:tabs>
    </w:pPr>
    <w:rPr>
      <w:i/>
      <w:iCs/>
    </w:rPr>
  </w:style>
  <w:style w:type="paragraph" w:customStyle="1" w:styleId="GHTOC5">
    <w:name w:val="GH_TOC 5"/>
    <w:basedOn w:val="Normal"/>
    <w:qFormat/>
    <w:rsid w:val="00DF37E2"/>
    <w:pPr>
      <w:tabs>
        <w:tab w:val="right" w:pos="8963"/>
      </w:tabs>
      <w:spacing w:before="240" w:after="120"/>
    </w:pPr>
    <w:rPr>
      <w:rFonts w:cs="Arial"/>
      <w:b/>
      <w:bCs/>
      <w:i/>
      <w:noProof/>
      <w:color w:val="000000"/>
    </w:rPr>
  </w:style>
  <w:style w:type="paragraph" w:customStyle="1" w:styleId="GHTOC6">
    <w:name w:val="GH_TOC 6"/>
    <w:basedOn w:val="Normal"/>
    <w:qFormat/>
    <w:rsid w:val="00DF37E2"/>
    <w:pPr>
      <w:tabs>
        <w:tab w:val="left" w:pos="421"/>
        <w:tab w:val="right" w:pos="8963"/>
      </w:tabs>
      <w:ind w:left="1134" w:hanging="567"/>
    </w:pPr>
    <w:rPr>
      <w:rFonts w:cs="Arial"/>
      <w:i/>
      <w:noProof/>
    </w:rPr>
  </w:style>
  <w:style w:type="paragraph" w:customStyle="1" w:styleId="GHTableBody">
    <w:name w:val="GH_Table Body"/>
    <w:basedOn w:val="Normal"/>
    <w:qFormat/>
    <w:rsid w:val="006D4F00"/>
    <w:pPr>
      <w:spacing w:before="60" w:after="60" w:line="240" w:lineRule="auto"/>
      <w:jc w:val="left"/>
    </w:pPr>
    <w:rPr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54"/>
    <w:pPr>
      <w:pBdr>
        <w:bottom w:val="single" w:sz="4" w:space="4" w:color="000000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CF1954"/>
    <w:rPr>
      <w:rFonts w:ascii="Arial" w:hAnsi="Arial"/>
      <w:b/>
      <w:bCs/>
      <w:i/>
      <w:iCs/>
      <w:sz w:val="18"/>
    </w:rPr>
  </w:style>
  <w:style w:type="character" w:styleId="IntenseReference">
    <w:name w:val="Intense Reference"/>
    <w:uiPriority w:val="32"/>
    <w:rsid w:val="00CF1954"/>
    <w:rPr>
      <w:rFonts w:ascii="Arial" w:hAnsi="Arial"/>
      <w:b/>
      <w:bCs/>
      <w:caps w:val="0"/>
      <w:smallCaps w:val="0"/>
      <w:strike w:val="0"/>
      <w:dstrike w:val="0"/>
      <w:vanish/>
      <w:color w:val="auto"/>
      <w:spacing w:val="5"/>
      <w:sz w:val="18"/>
      <w:szCs w:val="18"/>
      <w:u w:val="single"/>
      <w:vertAlign w:val="baseline"/>
    </w:rPr>
  </w:style>
  <w:style w:type="character" w:styleId="SubtleReference">
    <w:name w:val="Subtle Reference"/>
    <w:uiPriority w:val="31"/>
    <w:rsid w:val="00CF1954"/>
    <w:rPr>
      <w:rFonts w:ascii="Arial" w:hAnsi="Arial"/>
      <w:caps w:val="0"/>
      <w:smallCaps w:val="0"/>
      <w:strike w:val="0"/>
      <w:dstrike w:val="0"/>
      <w:vanish/>
      <w:color w:val="75A712"/>
      <w:sz w:val="18"/>
      <w:szCs w:val="18"/>
      <w:u w:val="single"/>
      <w:vertAlign w:val="baseli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7880"/>
    <w:pPr>
      <w:spacing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7880"/>
    <w:rPr>
      <w:rFonts w:ascii="Lucida Grande" w:hAnsi="Lucida Grande" w:cs="Lucida Grand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64C4"/>
    <w:pPr>
      <w:spacing w:after="10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64C4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64C4"/>
    <w:pPr>
      <w:spacing w:after="100"/>
      <w:ind w:left="360"/>
    </w:pPr>
    <w:rPr>
      <w:i/>
    </w:rPr>
  </w:style>
  <w:style w:type="paragraph" w:customStyle="1" w:styleId="Appendixlevel1">
    <w:name w:val="Appendix level 1"/>
    <w:basedOn w:val="Heading1"/>
    <w:next w:val="Normal"/>
    <w:link w:val="Appendixlevel1Char"/>
    <w:qFormat/>
    <w:rsid w:val="00451402"/>
    <w:pPr>
      <w:numPr>
        <w:numId w:val="16"/>
      </w:numPr>
    </w:pPr>
    <w:rPr>
      <w:color w:val="94B953"/>
      <w:szCs w:val="34"/>
    </w:rPr>
  </w:style>
  <w:style w:type="character" w:customStyle="1" w:styleId="Appendixlevel1Char">
    <w:name w:val="Appendix level 1 Char"/>
    <w:basedOn w:val="Heading1Char"/>
    <w:link w:val="Appendixlevel1"/>
    <w:rsid w:val="00451402"/>
    <w:rPr>
      <w:rFonts w:ascii="Roboto Condensed" w:hAnsi="Roboto Condensed"/>
      <w:bCs/>
      <w:caps/>
      <w:color w:val="94B953"/>
      <w:sz w:val="34"/>
      <w:szCs w:val="34"/>
    </w:rPr>
  </w:style>
  <w:style w:type="paragraph" w:customStyle="1" w:styleId="Appendixlevel2">
    <w:name w:val="Appendix level 2"/>
    <w:basedOn w:val="Heading2"/>
    <w:next w:val="Normal"/>
    <w:qFormat/>
    <w:rsid w:val="007109F1"/>
    <w:pPr>
      <w:numPr>
        <w:numId w:val="16"/>
      </w:numPr>
    </w:pPr>
  </w:style>
  <w:style w:type="paragraph" w:customStyle="1" w:styleId="Appendixlevel3">
    <w:name w:val="Appendix level 3"/>
    <w:basedOn w:val="Heading3"/>
    <w:next w:val="Normal"/>
    <w:qFormat/>
    <w:rsid w:val="007109F1"/>
    <w:pPr>
      <w:numPr>
        <w:numId w:val="16"/>
      </w:numPr>
      <w:tabs>
        <w:tab w:val="left" w:pos="2368"/>
      </w:tabs>
    </w:pPr>
  </w:style>
  <w:style w:type="paragraph" w:customStyle="1" w:styleId="Appendixlevel4">
    <w:name w:val="Appendix level 4"/>
    <w:basedOn w:val="Normal"/>
    <w:next w:val="Normal"/>
    <w:qFormat/>
    <w:rsid w:val="00451402"/>
    <w:pPr>
      <w:numPr>
        <w:ilvl w:val="3"/>
        <w:numId w:val="16"/>
      </w:numPr>
      <w:tabs>
        <w:tab w:val="left" w:pos="2368"/>
      </w:tabs>
    </w:pPr>
    <w:rPr>
      <w:b/>
      <w:color w:val="94B953"/>
      <w:sz w:val="22"/>
    </w:rPr>
  </w:style>
  <w:style w:type="table" w:styleId="LightShading">
    <w:name w:val="Light Shading"/>
    <w:basedOn w:val="TableNormal"/>
    <w:uiPriority w:val="60"/>
    <w:rsid w:val="001B27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B273F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LightList">
    <w:name w:val="Light List"/>
    <w:basedOn w:val="TableNormal"/>
    <w:uiPriority w:val="61"/>
    <w:rsid w:val="001B27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1B27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1B273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B273F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B273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B273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GHBody">
    <w:name w:val="GH_Body"/>
    <w:basedOn w:val="Normal"/>
    <w:qFormat/>
    <w:rsid w:val="00903EFA"/>
    <w:pPr>
      <w:spacing w:after="0"/>
    </w:pPr>
  </w:style>
  <w:style w:type="paragraph" w:customStyle="1" w:styleId="GHAppendixA">
    <w:name w:val="GH_Appendix A"/>
    <w:basedOn w:val="Normal"/>
    <w:next w:val="GHBody"/>
    <w:rsid w:val="00903EFA"/>
    <w:pPr>
      <w:pBdr>
        <w:bottom w:val="single" w:sz="8" w:space="1" w:color="75A712"/>
      </w:pBdr>
      <w:tabs>
        <w:tab w:val="left" w:pos="7180"/>
      </w:tabs>
      <w:spacing w:after="0" w:line="240" w:lineRule="auto"/>
    </w:pPr>
    <w:rPr>
      <w:color w:val="75A712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7FF"/>
    <w:rPr>
      <w:i/>
      <w:iCs/>
      <w:color w:val="000000" w:themeColor="text1"/>
    </w:rPr>
  </w:style>
  <w:style w:type="paragraph" w:customStyle="1" w:styleId="TOCheader">
    <w:name w:val="TOC header"/>
    <w:basedOn w:val="Normal"/>
    <w:link w:val="TOCheaderChar"/>
    <w:qFormat/>
    <w:rsid w:val="00451402"/>
    <w:pPr>
      <w:spacing w:after="360" w:line="240" w:lineRule="auto"/>
      <w:ind w:left="284" w:hanging="284"/>
    </w:pPr>
    <w:rPr>
      <w:rFonts w:ascii="Roboto Condensed" w:hAnsi="Roboto Condensed"/>
      <w:bCs/>
      <w:caps/>
      <w:color w:val="94B953"/>
      <w:sz w:val="34"/>
      <w:szCs w:val="40"/>
    </w:rPr>
  </w:style>
  <w:style w:type="character" w:customStyle="1" w:styleId="TOCheaderChar">
    <w:name w:val="TOC header Char"/>
    <w:basedOn w:val="DefaultParagraphFont"/>
    <w:link w:val="TOCheader"/>
    <w:rsid w:val="00451402"/>
    <w:rPr>
      <w:rFonts w:ascii="Roboto Condensed" w:hAnsi="Roboto Condensed"/>
      <w:bCs/>
      <w:caps/>
      <w:color w:val="94B953"/>
      <w:sz w:val="34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0927FF"/>
    <w:rPr>
      <w:rFonts w:ascii="Arial" w:hAnsi="Arial"/>
      <w:i/>
      <w:iCs/>
      <w:color w:val="000000" w:themeColor="text1"/>
      <w:sz w:val="18"/>
      <w:szCs w:val="24"/>
    </w:rPr>
  </w:style>
  <w:style w:type="character" w:styleId="BookTitle">
    <w:name w:val="Book Title"/>
    <w:basedOn w:val="DefaultParagraphFont"/>
    <w:uiPriority w:val="33"/>
    <w:rsid w:val="009A07DE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8F0B6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0"/>
      <w:szCs w:val="20"/>
      <w:lang w:val="en-ZA"/>
    </w:rPr>
  </w:style>
  <w:style w:type="table" w:customStyle="1" w:styleId="TGHnew">
    <w:name w:val="TGH new"/>
    <w:basedOn w:val="TableNormal"/>
    <w:uiPriority w:val="99"/>
    <w:rsid w:val="008B0E68"/>
    <w:rPr>
      <w:rFonts w:ascii="Roboto Light" w:hAnsi="Roboto Light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rFonts w:ascii="Roboto Condensed" w:hAnsi="Roboto Condensed"/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table" w:styleId="LightList-Accent3">
    <w:name w:val="Light List Accent 3"/>
    <w:basedOn w:val="TableNormal"/>
    <w:uiPriority w:val="61"/>
    <w:rsid w:val="00536DC3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ColorfulShading-Accent3">
    <w:name w:val="Colorful Shading Accent 3"/>
    <w:basedOn w:val="TableNormal"/>
    <w:uiPriority w:val="71"/>
    <w:rsid w:val="00536DC3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ammoniaindustry.com/the-capital-intensity-of-small-scale-ammonia-plants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a%20Logan\The%20Green%20House%20Dropbox\TGH%20templates\TGH%202019%20blank%20document%20template.dotx" TargetMode="External"/></Relationships>
</file>

<file path=word/theme/theme1.xml><?xml version="1.0" encoding="utf-8"?>
<a:theme xmlns:a="http://schemas.openxmlformats.org/drawingml/2006/main" name="TGH 2019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 Classic 2">
      <a:majorFont>
        <a:latin typeface="Roboto Condensed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boto Light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FF3BC-F002-4CD9-A5CC-C08863A6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TGH 2019 blank document template</Template>
  <TotalTime>142</TotalTime>
  <Pages>3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Logan</dc:creator>
  <cp:lastModifiedBy>Alexandra Logan</cp:lastModifiedBy>
  <cp:revision>8</cp:revision>
  <cp:lastPrinted>2019-05-10T11:46:00Z</cp:lastPrinted>
  <dcterms:created xsi:type="dcterms:W3CDTF">2021-04-07T06:31:00Z</dcterms:created>
  <dcterms:modified xsi:type="dcterms:W3CDTF">2021-04-07T09:26:00Z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4238fe80-a51f-3c75-accc-b6dd17416afb</vt:lpwstr>
  </property>
  <property fmtid="{D5CDD505-2E9C-101B-9397-08002B2CF9AE}" pid="24" name="Mendeley Citation Style_1">
    <vt:lpwstr>http://www.zotero.org/styles/harvard1</vt:lpwstr>
  </property>
</Properties>
</file>