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BC80F" w14:textId="69BE72D5" w:rsidR="00F0156B" w:rsidRDefault="00C16CBE" w:rsidP="00C16CBE">
      <w:pPr>
        <w:pStyle w:val="Title"/>
        <w:spacing w:before="720" w:line="276" w:lineRule="auto"/>
        <w:rPr>
          <w:sz w:val="48"/>
          <w:szCs w:val="48"/>
        </w:rPr>
      </w:pPr>
      <w:r w:rsidRPr="00C16CBE">
        <w:rPr>
          <w:sz w:val="48"/>
          <w:szCs w:val="48"/>
        </w:rPr>
        <w:t>Long term modelling of household demand</w:t>
      </w:r>
      <w:r w:rsidR="00EA50D3">
        <w:rPr>
          <w:sz w:val="48"/>
          <w:szCs w:val="48"/>
        </w:rPr>
        <w:t xml:space="preserve"> and its implications for energy planning</w:t>
      </w:r>
    </w:p>
    <w:p w14:paraId="2DC9B4F0" w14:textId="5A564E72" w:rsidR="00F0156B" w:rsidRDefault="00C16CBE" w:rsidP="00C16CBE">
      <w:pPr>
        <w:pStyle w:val="AuthorNames"/>
        <w:rPr>
          <w:b/>
          <w:bCs/>
        </w:rPr>
      </w:pPr>
      <w:r w:rsidRPr="00C16CBE">
        <w:rPr>
          <w:b/>
          <w:bCs/>
        </w:rPr>
        <w:t>Bruno Merven, Faaiqa Hartley</w:t>
      </w:r>
      <w:r>
        <w:rPr>
          <w:b/>
          <w:bCs/>
        </w:rPr>
        <w:t xml:space="preserve"> and</w:t>
      </w:r>
      <w:r w:rsidRPr="00C16CBE">
        <w:rPr>
          <w:b/>
          <w:bCs/>
        </w:rPr>
        <w:t xml:space="preserve"> Jules Schers</w:t>
      </w:r>
    </w:p>
    <w:p w14:paraId="7CBFD60A" w14:textId="77777777" w:rsidR="00F0156B" w:rsidRDefault="00093014" w:rsidP="00C16CBE">
      <w:pPr>
        <w:pStyle w:val="Heading1"/>
        <w:numPr>
          <w:ilvl w:val="0"/>
          <w:numId w:val="0"/>
        </w:numPr>
        <w:rPr>
          <w:lang w:val="en-GB"/>
        </w:rPr>
      </w:pPr>
      <w:bookmarkStart w:id="0" w:name="_Toc508797956"/>
      <w:r>
        <w:rPr>
          <w:lang w:val="en-GB"/>
        </w:rPr>
        <w:t>Abstract</w:t>
      </w:r>
      <w:bookmarkEnd w:id="0"/>
    </w:p>
    <w:p w14:paraId="34CE8A74" w14:textId="17EBB852" w:rsidR="00F0156B" w:rsidRDefault="000F2CFC" w:rsidP="00C16CBE">
      <w:pPr>
        <w:rPr>
          <w:rFonts w:eastAsia="Calibri" w:cs="Calibri"/>
        </w:rPr>
      </w:pPr>
      <w:r>
        <w:rPr>
          <w:rFonts w:eastAsia="Calibri" w:cs="Calibri"/>
        </w:rPr>
        <w:t xml:space="preserve">This paper proposes an alternative method for modelling long term changes in household consumption in computable general equilibrium models. The analysis is applied to the case of South Africa and focuses on the change in income related lifestyle choices on energy demand and composition. A comparison of adjusting household consumption share (relative to static shares) reveals a shift in the economic structure to services production with a marginal increase in employment. </w:t>
      </w:r>
      <w:r w:rsidR="00DE0500">
        <w:rPr>
          <w:rFonts w:eastAsia="Calibri" w:cs="Calibri"/>
        </w:rPr>
        <w:t>Energy demand is found to decrease due to lower household as well as production demand with the economy becoming less energy intensive.</w:t>
      </w:r>
    </w:p>
    <w:p w14:paraId="4164DC31" w14:textId="77777777" w:rsidR="006F06AE" w:rsidRPr="006F06AE" w:rsidRDefault="006F06AE" w:rsidP="006F06AE"/>
    <w:p w14:paraId="65189A55" w14:textId="77777777" w:rsidR="006F06AE" w:rsidRPr="006F06AE" w:rsidRDefault="006F06AE" w:rsidP="006F06AE"/>
    <w:p w14:paraId="324A2F08" w14:textId="77777777" w:rsidR="006F06AE" w:rsidRPr="006F06AE" w:rsidRDefault="006F06AE" w:rsidP="006F06AE"/>
    <w:p w14:paraId="541DD52A" w14:textId="77777777" w:rsidR="006F06AE" w:rsidRPr="006F06AE" w:rsidRDefault="006F06AE" w:rsidP="006F06AE"/>
    <w:p w14:paraId="47FEDE6C" w14:textId="77777777" w:rsidR="006F06AE" w:rsidRPr="006F06AE" w:rsidRDefault="006F06AE" w:rsidP="006F06AE"/>
    <w:p w14:paraId="17B7B4C8" w14:textId="77777777" w:rsidR="006F06AE" w:rsidRPr="006F06AE" w:rsidRDefault="006F06AE" w:rsidP="006F06AE"/>
    <w:p w14:paraId="5E28CCC2" w14:textId="77777777" w:rsidR="006F06AE" w:rsidRPr="006F06AE" w:rsidRDefault="006F06AE" w:rsidP="006F06AE"/>
    <w:p w14:paraId="753EC33B" w14:textId="77777777" w:rsidR="006F06AE" w:rsidRPr="006F06AE" w:rsidRDefault="006F06AE" w:rsidP="006F06AE"/>
    <w:p w14:paraId="0E6255D0" w14:textId="77777777" w:rsidR="006F06AE" w:rsidRDefault="006F06AE" w:rsidP="006F06AE">
      <w:pPr>
        <w:rPr>
          <w:rFonts w:eastAsia="Calibri" w:cs="Calibri"/>
        </w:rPr>
      </w:pPr>
    </w:p>
    <w:p w14:paraId="2F5F3040" w14:textId="2BD29448" w:rsidR="006F06AE" w:rsidRDefault="006F06AE" w:rsidP="006F06AE">
      <w:pPr>
        <w:tabs>
          <w:tab w:val="left" w:pos="1995"/>
        </w:tabs>
        <w:rPr>
          <w:rFonts w:eastAsia="Calibri" w:cs="Calibri"/>
        </w:rPr>
      </w:pPr>
      <w:r>
        <w:rPr>
          <w:rFonts w:eastAsia="Calibri" w:cs="Calibri"/>
        </w:rPr>
        <w:tab/>
      </w:r>
    </w:p>
    <w:p w14:paraId="6852C332" w14:textId="6E3CC15A" w:rsidR="006F06AE" w:rsidRPr="006F06AE" w:rsidRDefault="006F06AE" w:rsidP="006F06AE">
      <w:pPr>
        <w:tabs>
          <w:tab w:val="left" w:pos="1995"/>
        </w:tabs>
        <w:sectPr w:rsidR="006F06AE" w:rsidRPr="006F06AE">
          <w:headerReference w:type="default" r:id="rId8"/>
          <w:footerReference w:type="default" r:id="rId9"/>
          <w:pgSz w:w="11906" w:h="16838"/>
          <w:pgMar w:top="1701" w:right="1418" w:bottom="1440" w:left="1418" w:header="720" w:footer="0" w:gutter="0"/>
          <w:cols w:space="720"/>
          <w:formProt w:val="0"/>
          <w:docGrid w:linePitch="360" w:charSpace="4096"/>
        </w:sectPr>
      </w:pPr>
      <w:r>
        <w:tab/>
      </w:r>
    </w:p>
    <w:p w14:paraId="3E7A9F1C" w14:textId="287E8D74" w:rsidR="00F0156B" w:rsidRDefault="00093014" w:rsidP="00424303">
      <w:pPr>
        <w:pStyle w:val="Heading1"/>
        <w:numPr>
          <w:ilvl w:val="0"/>
          <w:numId w:val="2"/>
        </w:numPr>
        <w:spacing w:line="276" w:lineRule="auto"/>
      </w:pPr>
      <w:r>
        <w:lastRenderedPageBreak/>
        <w:t>Introduction</w:t>
      </w:r>
    </w:p>
    <w:p w14:paraId="423470A7" w14:textId="497E4955" w:rsidR="00B0407B" w:rsidRDefault="00CA2334" w:rsidP="000D514A">
      <w:pPr>
        <w:pStyle w:val="BodyText"/>
        <w:spacing w:after="120" w:line="240" w:lineRule="auto"/>
      </w:pPr>
      <w:r>
        <w:t xml:space="preserve">Households </w:t>
      </w:r>
      <w:r w:rsidR="00DA398D">
        <w:t xml:space="preserve">drive </w:t>
      </w:r>
      <w:r>
        <w:t>energy demand both directly</w:t>
      </w:r>
      <w:r w:rsidR="008A2823">
        <w:t>,</w:t>
      </w:r>
      <w:r>
        <w:t xml:space="preserve"> through their </w:t>
      </w:r>
      <w:r w:rsidR="00DA398D" w:rsidRPr="00DA398D">
        <w:t>direct consumption of energy</w:t>
      </w:r>
      <w:r w:rsidR="00AD410C">
        <w:t xml:space="preserve"> </w:t>
      </w:r>
      <w:r w:rsidR="00DA398D" w:rsidRPr="00DA398D">
        <w:t>commodities, as well as indirectly in their demand for other goods and services which use energy as an intermediary input.</w:t>
      </w:r>
      <w:r>
        <w:t xml:space="preserve"> </w:t>
      </w:r>
      <w:r w:rsidR="003123AD">
        <w:t>Not accounting for changes in production technologies and efficiencies, t</w:t>
      </w:r>
      <w:r>
        <w:t xml:space="preserve">he </w:t>
      </w:r>
      <w:r w:rsidR="0026679D">
        <w:t>long-term</w:t>
      </w:r>
      <w:r>
        <w:t xml:space="preserve"> planning of energy supply is therefore </w:t>
      </w:r>
      <w:r w:rsidR="003123AD">
        <w:t xml:space="preserve">highly </w:t>
      </w:r>
      <w:r>
        <w:t xml:space="preserve">dependent on </w:t>
      </w:r>
      <w:r w:rsidR="003123AD">
        <w:t>expectations of household</w:t>
      </w:r>
      <w:r w:rsidR="00FA544B">
        <w:t xml:space="preserve"> income and</w:t>
      </w:r>
      <w:r w:rsidR="003123AD">
        <w:t xml:space="preserve"> demand</w:t>
      </w:r>
      <w:r w:rsidR="00FA544B">
        <w:t xml:space="preserve"> growth</w:t>
      </w:r>
      <w:r w:rsidR="0026679D">
        <w:t xml:space="preserve"> over time</w:t>
      </w:r>
      <w:r w:rsidR="003123AD">
        <w:t xml:space="preserve">. </w:t>
      </w:r>
      <w:r w:rsidR="00FA544B">
        <w:t>Analytical efforts to improve the robustness of energy and mitigation planning use economic models to provide inputs to energy and climate tools</w:t>
      </w:r>
      <w:r w:rsidR="000E31A1">
        <w:t xml:space="preserve"> on changes in energy demand</w:t>
      </w:r>
      <w:r w:rsidR="00FA544B">
        <w:t xml:space="preserve">. Often these </w:t>
      </w:r>
      <w:r w:rsidR="000E31A1">
        <w:t xml:space="preserve">economic </w:t>
      </w:r>
      <w:r w:rsidR="00FA544B">
        <w:t>models</w:t>
      </w:r>
      <w:r w:rsidR="000E31A1">
        <w:t>,</w:t>
      </w:r>
      <w:r w:rsidR="00FA544B">
        <w:t xml:space="preserve"> however</w:t>
      </w:r>
      <w:r w:rsidR="000E31A1">
        <w:t>,</w:t>
      </w:r>
      <w:r w:rsidR="00FA544B">
        <w:t xml:space="preserve"> do not endogenously account for changes in energy demand resulting from changing household expenditure patterns. </w:t>
      </w:r>
      <w:r w:rsidR="0026679D">
        <w:t xml:space="preserve">In developing countries where </w:t>
      </w:r>
      <w:r w:rsidR="00C16CBE" w:rsidRPr="00C16CBE">
        <w:t xml:space="preserve">technical progress, increasing infrastructure and improving productivity </w:t>
      </w:r>
      <w:r w:rsidR="00B0407B">
        <w:t>w</w:t>
      </w:r>
      <w:r w:rsidR="0026679D">
        <w:t>ill</w:t>
      </w:r>
      <w:r w:rsidR="00B0407B">
        <w:t xml:space="preserve"> </w:t>
      </w:r>
      <w:r w:rsidR="00C16CBE" w:rsidRPr="00C16CBE">
        <w:t xml:space="preserve">still </w:t>
      </w:r>
      <w:r w:rsidR="00B0407B">
        <w:t>enable</w:t>
      </w:r>
      <w:r w:rsidR="00C16CBE" w:rsidRPr="00C16CBE">
        <w:t xml:space="preserve"> strong growth</w:t>
      </w:r>
      <w:r w:rsidR="00B0407B">
        <w:t xml:space="preserve">, </w:t>
      </w:r>
      <w:r w:rsidR="00C16CBE" w:rsidRPr="00C16CBE">
        <w:t>it will matter what lifestyles households adopt a</w:t>
      </w:r>
      <w:r w:rsidR="00FA544B">
        <w:t xml:space="preserve">s their </w:t>
      </w:r>
      <w:r w:rsidR="00B0407B">
        <w:t>income</w:t>
      </w:r>
      <w:r w:rsidR="00FA544B">
        <w:t xml:space="preserve"> levels increase</w:t>
      </w:r>
      <w:r w:rsidR="00C16CBE" w:rsidRPr="00C16CBE">
        <w:t>.</w:t>
      </w:r>
    </w:p>
    <w:p w14:paraId="730B78A6" w14:textId="2764517F" w:rsidR="000E31A1" w:rsidRDefault="007A26BD" w:rsidP="000D514A">
      <w:pPr>
        <w:pStyle w:val="BodyText"/>
        <w:spacing w:after="120" w:line="240" w:lineRule="auto"/>
      </w:pPr>
      <w:r>
        <w:t>In South Africa, one of the most advanced tools for energy planning is the linked energy-economic model</w:t>
      </w:r>
      <w:r w:rsidR="000016A1">
        <w:t>,</w:t>
      </w:r>
      <w:r>
        <w:t xml:space="preserve"> SATIMGE (</w:t>
      </w:r>
      <w:r w:rsidR="002912A7">
        <w:rPr>
          <w:rFonts w:ascii="Calibri" w:eastAsia="Calibri" w:hAnsi="Calibri" w:cs="Calibri"/>
        </w:rPr>
        <w:t>Arndt et al. 2016; Merven et al. 2017; 2018; 2019a; 2019b</w:t>
      </w:r>
      <w:r>
        <w:t xml:space="preserve">). This model combines the strengths of a detailed technical energy system optimisation model with those of a computable general equilibrium </w:t>
      </w:r>
      <w:r w:rsidR="000016A1">
        <w:t xml:space="preserve">(CGE) </w:t>
      </w:r>
      <w:r>
        <w:t xml:space="preserve">model to provide a consistent tool for energy and mitigation planning with the impacts on economic development quantified. </w:t>
      </w:r>
      <w:r w:rsidR="00C16CBE" w:rsidRPr="00C16CBE">
        <w:t>When describing household consumption behaviour</w:t>
      </w:r>
      <w:r>
        <w:t>, however,</w:t>
      </w:r>
      <w:r w:rsidR="00C16CBE" w:rsidRPr="00C16CBE">
        <w:t xml:space="preserve"> many CGE models rely on household price and income elasticities, in various forms, to predict responses of households to changing economic conditions, specifically: changing real income and changing relative prices. </w:t>
      </w:r>
      <w:r w:rsidR="00BD4EA8">
        <w:t xml:space="preserve">Whilst relevant for short to medium analysis, it is argued in this paper that this approach is not relevant for long term analysis as </w:t>
      </w:r>
      <w:r w:rsidR="00BD4EA8" w:rsidRPr="00C16CBE">
        <w:t>they often describe households as rather static income</w:t>
      </w:r>
      <w:r w:rsidR="00BD4EA8">
        <w:t xml:space="preserve"> or </w:t>
      </w:r>
      <w:r w:rsidR="00BD4EA8" w:rsidRPr="00C16CBE">
        <w:t>expenditure classes for whom the composition of household consumption only changes mildly over time</w:t>
      </w:r>
      <w:r w:rsidR="00B2104F">
        <w:t xml:space="preserve">; are </w:t>
      </w:r>
      <w:r w:rsidR="00BD4EA8">
        <w:t>based on</w:t>
      </w:r>
      <w:r w:rsidR="00BD4EA8" w:rsidRPr="00C16CBE">
        <w:t xml:space="preserve"> income elasticit</w:t>
      </w:r>
      <w:r w:rsidR="00BD4EA8">
        <w:t>ies that are</w:t>
      </w:r>
      <w:r w:rsidR="00BD4EA8" w:rsidRPr="00C16CBE">
        <w:t xml:space="preserve"> typically </w:t>
      </w:r>
      <w:r w:rsidR="00B2104F">
        <w:t xml:space="preserve">estimated </w:t>
      </w:r>
      <w:r w:rsidR="00BD4EA8" w:rsidRPr="00C16CBE">
        <w:t>on changes in household consumption over short</w:t>
      </w:r>
      <w:r w:rsidR="00BD4EA8">
        <w:t xml:space="preserve"> time</w:t>
      </w:r>
      <w:r w:rsidR="00BD4EA8" w:rsidRPr="00C16CBE">
        <w:t xml:space="preserve"> periods</w:t>
      </w:r>
      <w:r w:rsidR="00B2104F">
        <w:t>; and, i</w:t>
      </w:r>
      <w:r w:rsidR="00BD4EA8">
        <w:t xml:space="preserve">n many cases, </w:t>
      </w:r>
      <w:r w:rsidR="00B2104F">
        <w:t xml:space="preserve">are </w:t>
      </w:r>
      <w:r w:rsidR="00BD4EA8">
        <w:t>reduced</w:t>
      </w:r>
      <w:r w:rsidR="00B2104F">
        <w:t xml:space="preserve"> to</w:t>
      </w:r>
      <w:r w:rsidR="00BD4EA8">
        <w:t xml:space="preserve"> Cobb-Douglas </w:t>
      </w:r>
      <w:r w:rsidR="00B2104F">
        <w:t>functions as</w:t>
      </w:r>
      <w:r w:rsidR="00BD4EA8">
        <w:t xml:space="preserve"> </w:t>
      </w:r>
      <w:r w:rsidR="00B2104F">
        <w:t>income elasticities are not available for many developing countries.</w:t>
      </w:r>
      <w:r w:rsidR="00C56B15">
        <w:t xml:space="preserve"> </w:t>
      </w:r>
      <w:r w:rsidR="000E31A1">
        <w:t>An example of this is the continued demand for coal by lower household income groups over 40-year analysis periods</w:t>
      </w:r>
      <w:r w:rsidR="000016A1">
        <w:t xml:space="preserve"> despite rising </w:t>
      </w:r>
      <w:r w:rsidR="003D6A82" w:rsidRPr="003D6A82">
        <w:t>real income</w:t>
      </w:r>
      <w:r w:rsidR="000016A1">
        <w:t>s</w:t>
      </w:r>
      <w:r w:rsidR="003D6A82" w:rsidRPr="003D6A82">
        <w:t xml:space="preserve"> </w:t>
      </w:r>
      <w:r w:rsidR="000016A1">
        <w:t>equivalent to</w:t>
      </w:r>
      <w:r w:rsidR="003D6A82" w:rsidRPr="003D6A82">
        <w:t xml:space="preserve"> </w:t>
      </w:r>
      <w:r w:rsidR="000016A1">
        <w:t xml:space="preserve">the </w:t>
      </w:r>
      <w:r w:rsidR="003D6A82" w:rsidRPr="003D6A82">
        <w:t>middle-income group today who consume no coal.</w:t>
      </w:r>
    </w:p>
    <w:p w14:paraId="18739ED7" w14:textId="47FB89FD" w:rsidR="14C45E8B" w:rsidRPr="003367CC" w:rsidRDefault="000E31A1" w:rsidP="000D514A">
      <w:pPr>
        <w:pStyle w:val="BodyText"/>
        <w:spacing w:after="120" w:line="240" w:lineRule="auto"/>
      </w:pPr>
      <w:r>
        <w:t xml:space="preserve">This paper proposes an alternative methodology to modelling long-term household demands for the case of South Africa. </w:t>
      </w:r>
      <w:r w:rsidR="00672BE0">
        <w:t>Specifically,</w:t>
      </w:r>
      <w:r>
        <w:t xml:space="preserve"> we include Cobb Douglas functions of household consumption </w:t>
      </w:r>
      <w:r w:rsidR="00672BE0">
        <w:t xml:space="preserve">for </w:t>
      </w:r>
      <w:r>
        <w:t xml:space="preserve">which the </w:t>
      </w:r>
      <w:r w:rsidR="0020371E">
        <w:t xml:space="preserve">shares </w:t>
      </w:r>
      <w:r>
        <w:t>of consumption demand</w:t>
      </w:r>
      <w:r w:rsidR="0020371E">
        <w:t xml:space="preserve"> for goods and services</w:t>
      </w:r>
      <w:r>
        <w:t xml:space="preserve"> adjust over time to account for</w:t>
      </w:r>
      <w:r w:rsidR="00EC216F">
        <w:t xml:space="preserve"> changes in </w:t>
      </w:r>
      <w:r w:rsidR="0020371E">
        <w:t xml:space="preserve">living standards </w:t>
      </w:r>
      <w:r>
        <w:t>due to changes in real incomes</w:t>
      </w:r>
      <w:r w:rsidR="00672BE0">
        <w:t>. This results in household consumption patterns shifting to better capture evolving living standards</w:t>
      </w:r>
      <w:r w:rsidR="00EC216F">
        <w:t xml:space="preserve"> </w:t>
      </w:r>
      <w:r w:rsidR="0020371E">
        <w:t>and</w:t>
      </w:r>
      <w:r w:rsidR="008C560E">
        <w:t xml:space="preserve"> the </w:t>
      </w:r>
      <w:r w:rsidR="0020371E">
        <w:t>“</w:t>
      </w:r>
      <w:r w:rsidR="008C560E">
        <w:t>welfare</w:t>
      </w:r>
      <w:r w:rsidR="0020371E">
        <w:t>-</w:t>
      </w:r>
      <w:r w:rsidR="008C560E">
        <w:t>enhancing feature of modern economic development</w:t>
      </w:r>
      <w:r w:rsidR="0020371E">
        <w:t>”</w:t>
      </w:r>
      <w:r w:rsidR="008C560E">
        <w:t xml:space="preserve"> </w:t>
      </w:r>
      <w:r w:rsidR="008C560E" w:rsidRPr="008C560E">
        <w:t>(</w:t>
      </w:r>
      <w:r w:rsidR="008C560E">
        <w:t>Chai, 2018</w:t>
      </w:r>
      <w:r w:rsidR="008C560E" w:rsidRPr="008C560E">
        <w:t>).</w:t>
      </w:r>
      <w:r w:rsidR="00706A5F">
        <w:t xml:space="preserve"> The paper is structured as follows: Section 2</w:t>
      </w:r>
      <w:r w:rsidR="006E76DE">
        <w:t xml:space="preserve"> provides a summary of </w:t>
      </w:r>
      <w:r w:rsidR="00CC2B44">
        <w:t>long-term</w:t>
      </w:r>
      <w:r w:rsidR="006E76DE">
        <w:t xml:space="preserve"> household demand modelling literature</w:t>
      </w:r>
      <w:r w:rsidR="00706A5F">
        <w:t xml:space="preserve">; Section 3 describes the model and methodological changes in more detail; </w:t>
      </w:r>
      <w:r w:rsidR="00195AA0">
        <w:t xml:space="preserve">and </w:t>
      </w:r>
      <w:r w:rsidR="00706A5F">
        <w:t xml:space="preserve">Section </w:t>
      </w:r>
      <w:r w:rsidR="00195AA0">
        <w:t>4</w:t>
      </w:r>
      <w:r w:rsidR="00706A5F">
        <w:t xml:space="preserve"> </w:t>
      </w:r>
      <w:r w:rsidR="00195AA0">
        <w:t xml:space="preserve">illustrates </w:t>
      </w:r>
      <w:r w:rsidR="00706A5F">
        <w:t xml:space="preserve">the implications </w:t>
      </w:r>
      <w:r w:rsidR="00195AA0">
        <w:t>of household expenditure pattern changes</w:t>
      </w:r>
      <w:r w:rsidR="00706A5F">
        <w:t xml:space="preserve"> on economic growth, employment and energy demand. Section </w:t>
      </w:r>
      <w:r w:rsidR="00195AA0">
        <w:t>5</w:t>
      </w:r>
      <w:r w:rsidR="00706A5F">
        <w:t xml:space="preserve"> concludes with a discussion of the implications of this research and the identification </w:t>
      </w:r>
      <w:r w:rsidR="00195AA0">
        <w:t>of</w:t>
      </w:r>
      <w:r w:rsidR="00706A5F">
        <w:t xml:space="preserve"> further enhancements to the methodology to improve the robustness of this technique.</w:t>
      </w:r>
    </w:p>
    <w:p w14:paraId="4D172854" w14:textId="72962732" w:rsidR="006C2203" w:rsidRDefault="006C2203" w:rsidP="006C2203">
      <w:pPr>
        <w:pStyle w:val="Heading1"/>
        <w:numPr>
          <w:ilvl w:val="0"/>
          <w:numId w:val="2"/>
        </w:numPr>
        <w:spacing w:line="276" w:lineRule="auto"/>
      </w:pPr>
      <w:r>
        <w:t xml:space="preserve">Literature on </w:t>
      </w:r>
      <w:r w:rsidRPr="006C6A44">
        <w:t>long term modelling of household demand</w:t>
      </w:r>
    </w:p>
    <w:p w14:paraId="21C00FB7" w14:textId="7CFE02AF" w:rsidR="006C2203" w:rsidRDefault="0051350D" w:rsidP="006C2203">
      <w:pPr>
        <w:pStyle w:val="Heading2"/>
        <w:numPr>
          <w:ilvl w:val="1"/>
          <w:numId w:val="2"/>
        </w:numPr>
        <w:spacing w:after="120"/>
      </w:pPr>
      <w:r>
        <w:t>I</w:t>
      </w:r>
      <w:r w:rsidRPr="0051350D">
        <w:t>ntroduction to the literature study</w:t>
      </w:r>
    </w:p>
    <w:p w14:paraId="7FC320AF" w14:textId="77777777" w:rsidR="00BC32A0" w:rsidRDefault="00BC32A0" w:rsidP="00BC32A0">
      <w:pPr>
        <w:rPr>
          <w:color w:val="000000"/>
        </w:rPr>
      </w:pPr>
      <w:bookmarkStart w:id="1" w:name="_Hlk33753120"/>
      <w:r>
        <w:rPr>
          <w:color w:val="000000"/>
        </w:rPr>
        <w:t xml:space="preserve">A large part of economics is about cost-benefit analysis of policy. Climate policy and other questions about man’s use of the environment and about resource management push existing methods and tools for cost-benefit analysis to a frontier, because they require </w:t>
      </w:r>
      <w:r w:rsidRPr="00C10756">
        <w:rPr>
          <w:i/>
          <w:iCs/>
          <w:color w:val="000000"/>
        </w:rPr>
        <w:t>ex ante</w:t>
      </w:r>
      <w:r>
        <w:rPr>
          <w:color w:val="000000"/>
        </w:rPr>
        <w:t xml:space="preserve"> evaluation of policies and other responses (or lack thereof) to environmental problems to take into account long time horizons. In the </w:t>
      </w:r>
      <w:r>
        <w:rPr>
          <w:color w:val="000000"/>
        </w:rPr>
        <w:lastRenderedPageBreak/>
        <w:t>case of climate and energy policy, economic evaluation of such far time horizons cannot be avoided. Furthermore, the solutions for many environmental problems require strong technical and/or behavioural change, for which there are often no past precedents – at least none that will work in the same way.</w:t>
      </w:r>
    </w:p>
    <w:p w14:paraId="7BC9D32E" w14:textId="77777777" w:rsidR="00BC32A0" w:rsidRDefault="00BC32A0" w:rsidP="00BC32A0">
      <w:pPr>
        <w:rPr>
          <w:color w:val="000000"/>
        </w:rPr>
      </w:pPr>
      <w:r>
        <w:rPr>
          <w:color w:val="000000"/>
        </w:rPr>
        <w:t xml:space="preserve">New or alternative technologies might not be cheaper than existing polluting technology, or they might not be developed or constructed </w:t>
      </w:r>
      <w:r w:rsidRPr="00C10756">
        <w:rPr>
          <w:i/>
          <w:iCs/>
          <w:color w:val="000000"/>
        </w:rPr>
        <w:t>in time</w:t>
      </w:r>
      <w:r>
        <w:rPr>
          <w:color w:val="000000"/>
        </w:rPr>
        <w:t>, meaning with the foresight to avoid stranding polluting assets in a process of speed-up (or catch-up) of replacement of polluting capital. One can imagine this has consequences for expected and future GDP growth, which are also relevant to future pensions and returns on investments – as well as for how we save and consume today. Furthermore, there might be consequences for inequality, and a proper evaluation of distributional impacts will be necessary too.</w:t>
      </w:r>
    </w:p>
    <w:p w14:paraId="08B7846D" w14:textId="77777777" w:rsidR="00BC32A0" w:rsidRDefault="00BC32A0" w:rsidP="00BC32A0">
      <w:pPr>
        <w:rPr>
          <w:color w:val="000000"/>
        </w:rPr>
      </w:pPr>
      <w:r>
        <w:rPr>
          <w:color w:val="000000"/>
        </w:rPr>
        <w:t xml:space="preserve">Given the potentially big changes that can be expected in welfare, technology, preferences and relative prices at the time scale of multiple decades, the composition of household demand might change much more than can be expected based on econometrically calibrated price and income elasticities. To correctly represent household </w:t>
      </w:r>
      <w:proofErr w:type="gramStart"/>
      <w:r>
        <w:rPr>
          <w:color w:val="000000"/>
        </w:rPr>
        <w:t>demand</w:t>
      </w:r>
      <w:proofErr w:type="gramEnd"/>
      <w:r>
        <w:rPr>
          <w:color w:val="000000"/>
        </w:rPr>
        <w:t xml:space="preserve"> it is important to understand what distributional impacts of policies and other changes (technology, lifestyle) could be. Household demand is also an important determinant for the composition of the economy (globally about 50% according to </w:t>
      </w:r>
      <w:r w:rsidRPr="002A488D">
        <w:rPr>
          <w:color w:val="000000"/>
        </w:rPr>
        <w:t>Chai (2018</w:t>
      </w:r>
      <w:r>
        <w:rPr>
          <w:color w:val="000000"/>
        </w:rPr>
        <w:t xml:space="preserve">). Lastly, households also determine a significant part of national energy use. </w:t>
      </w:r>
    </w:p>
    <w:p w14:paraId="79710469" w14:textId="07D3167D" w:rsidR="00BC32A0" w:rsidRPr="00BC32A0" w:rsidRDefault="00BC32A0" w:rsidP="006C2203">
      <w:r>
        <w:rPr>
          <w:color w:val="000000"/>
        </w:rPr>
        <w:t>To correctly capture household demand and its rigidities is therefore very important for macro-economic projections. However, as this section proposes, conventional representations of household demand in CGE models are insufficient to capture changes in household demand in the long term, leave alone for disaggregated household</w:t>
      </w:r>
      <w:r w:rsidRPr="00C10756">
        <w:t xml:space="preserve">s. This section first elaborates on the arguments about whether existing approaches can deal with long term changes in household demand (2.2) and then introduces our approach of modelling household demand through “income bands” (2.3). </w:t>
      </w:r>
    </w:p>
    <w:p w14:paraId="50F0E4A0" w14:textId="280B8FD0" w:rsidR="006C2203" w:rsidRDefault="006C2203" w:rsidP="006C2203">
      <w:pPr>
        <w:pStyle w:val="Heading2"/>
        <w:numPr>
          <w:ilvl w:val="1"/>
          <w:numId w:val="2"/>
        </w:numPr>
        <w:spacing w:after="120"/>
      </w:pPr>
      <w:bookmarkStart w:id="2" w:name="_Ref33756777"/>
      <w:bookmarkEnd w:id="1"/>
      <w:r w:rsidRPr="006C2203">
        <w:t>A criticism of the use of income elasticities for long term prospective modelling of household demand</w:t>
      </w:r>
      <w:bookmarkEnd w:id="2"/>
    </w:p>
    <w:p w14:paraId="65B7C9D7" w14:textId="4B940D0A" w:rsidR="00BC32A0" w:rsidRDefault="00BC32A0" w:rsidP="00BC32A0">
      <w:pPr>
        <w:rPr>
          <w:rFonts w:eastAsia="Times New Roman" w:cstheme="minorHAnsi"/>
          <w:color w:val="000000"/>
          <w:lang w:eastAsia="en-ZA"/>
        </w:rPr>
      </w:pPr>
      <w:r>
        <w:rPr>
          <w:color w:val="000000"/>
        </w:rPr>
        <w:t xml:space="preserve">Typically, CGE models use income and price elasticities to describe household demand. For instance, in their classical book about applied CGE modelling for developing countries, </w:t>
      </w:r>
      <w:proofErr w:type="spellStart"/>
      <w:r>
        <w:rPr>
          <w:color w:val="000000"/>
        </w:rPr>
        <w:t>Dervis</w:t>
      </w:r>
      <w:proofErr w:type="spellEnd"/>
      <w:r w:rsidR="00C0576D">
        <w:rPr>
          <w:color w:val="000000"/>
        </w:rPr>
        <w:t xml:space="preserve"> et al</w:t>
      </w:r>
      <w:r>
        <w:rPr>
          <w:color w:val="000000"/>
        </w:rPr>
        <w:t xml:space="preserve"> (</w:t>
      </w:r>
      <w:r w:rsidRPr="00C0576D">
        <w:rPr>
          <w:color w:val="000000"/>
        </w:rPr>
        <w:t>1982</w:t>
      </w:r>
      <w:r>
        <w:rPr>
          <w:color w:val="000000"/>
        </w:rPr>
        <w:t xml:space="preserve">) propose the use of a </w:t>
      </w:r>
      <w:r w:rsidRPr="00C10756">
        <w:rPr>
          <w:rFonts w:ascii="Calibri" w:hAnsi="Calibri" w:cs="Calibri"/>
          <w:color w:val="000000"/>
        </w:rPr>
        <w:t>Linear Expansion System</w:t>
      </w:r>
      <w:r>
        <w:rPr>
          <w:rFonts w:ascii="Calibri" w:hAnsi="Calibri" w:cs="Calibri"/>
          <w:color w:val="000000"/>
        </w:rPr>
        <w:t>s</w:t>
      </w:r>
      <w:r>
        <w:rPr>
          <w:color w:val="000000"/>
        </w:rPr>
        <w:t xml:space="preserve"> (LES)</w:t>
      </w:r>
      <w:r>
        <w:rPr>
          <w:rStyle w:val="FootnoteReference"/>
          <w:color w:val="000000"/>
        </w:rPr>
        <w:footnoteReference w:id="1"/>
      </w:r>
      <w:r>
        <w:rPr>
          <w:color w:val="000000"/>
        </w:rPr>
        <w:t xml:space="preserve"> for the description of household consumption behaviour. CGE models </w:t>
      </w:r>
      <w:r w:rsidRPr="00C16CBE">
        <w:rPr>
          <w:rFonts w:eastAsia="Times New Roman" w:cstheme="minorHAnsi"/>
          <w:color w:val="000000"/>
          <w:lang w:eastAsia="en-ZA"/>
        </w:rPr>
        <w:t xml:space="preserve">tend to keep </w:t>
      </w:r>
      <w:r>
        <w:rPr>
          <w:rFonts w:eastAsia="Times New Roman" w:cstheme="minorHAnsi"/>
          <w:color w:val="000000"/>
          <w:lang w:eastAsia="en-ZA"/>
        </w:rPr>
        <w:t>the income and price</w:t>
      </w:r>
      <w:r w:rsidRPr="00C16CBE">
        <w:rPr>
          <w:rFonts w:eastAsia="Times New Roman" w:cstheme="minorHAnsi"/>
          <w:color w:val="000000"/>
          <w:lang w:eastAsia="en-ZA"/>
        </w:rPr>
        <w:t xml:space="preserve"> elasticities </w:t>
      </w:r>
      <w:r>
        <w:rPr>
          <w:rFonts w:eastAsia="Times New Roman" w:cstheme="minorHAnsi"/>
          <w:color w:val="000000"/>
          <w:lang w:eastAsia="en-ZA"/>
        </w:rPr>
        <w:t xml:space="preserve">of such consumption functions </w:t>
      </w:r>
      <w:r w:rsidRPr="00C16CBE">
        <w:rPr>
          <w:rFonts w:eastAsia="Times New Roman" w:cstheme="minorHAnsi"/>
          <w:color w:val="000000"/>
          <w:lang w:eastAsia="en-ZA"/>
        </w:rPr>
        <w:t>constant over the projection period of their scenarios</w:t>
      </w:r>
      <w:r w:rsidRPr="00C10756">
        <w:rPr>
          <w:rFonts w:eastAsia="Times New Roman" w:cstheme="minorHAnsi"/>
          <w:lang w:eastAsia="en-ZA"/>
        </w:rPr>
        <w:t xml:space="preserve">, but such </w:t>
      </w:r>
      <w:r w:rsidRPr="00C10756">
        <w:t>c</w:t>
      </w:r>
      <w:r>
        <w:rPr>
          <w:color w:val="000000"/>
        </w:rPr>
        <w:t>onstant income and price elasticities are most likely too static to describe the evolutions that can be found in consumption behaviour over longer time horizons (</w:t>
      </w:r>
      <w:proofErr w:type="spellStart"/>
      <w:r w:rsidRPr="00EC070A">
        <w:rPr>
          <w:color w:val="000000"/>
        </w:rPr>
        <w:t>Lahiri</w:t>
      </w:r>
      <w:proofErr w:type="spellEnd"/>
      <w:r w:rsidR="00EC070A" w:rsidRPr="00EC070A">
        <w:rPr>
          <w:color w:val="000000"/>
        </w:rPr>
        <w:t xml:space="preserve"> et al</w:t>
      </w:r>
      <w:r w:rsidRPr="00EC070A">
        <w:rPr>
          <w:color w:val="000000"/>
        </w:rPr>
        <w:t>, 2000</w:t>
      </w:r>
      <w:r>
        <w:rPr>
          <w:color w:val="000000"/>
        </w:rPr>
        <w:t xml:space="preserve">), </w:t>
      </w:r>
      <w:r w:rsidR="00341C44">
        <w:rPr>
          <w:color w:val="000000"/>
        </w:rPr>
        <w:t xml:space="preserve">for </w:t>
      </w:r>
      <w:r>
        <w:rPr>
          <w:color w:val="000000"/>
        </w:rPr>
        <w:t xml:space="preserve">which big changes can take place in welfare, as well as technically and </w:t>
      </w:r>
      <w:r w:rsidR="00341C44">
        <w:rPr>
          <w:color w:val="000000"/>
        </w:rPr>
        <w:t>soci</w:t>
      </w:r>
      <w:r>
        <w:rPr>
          <w:color w:val="000000"/>
        </w:rPr>
        <w:t>ally (</w:t>
      </w:r>
      <w:r w:rsidRPr="00341C44">
        <w:rPr>
          <w:color w:val="000000"/>
        </w:rPr>
        <w:t>Chai</w:t>
      </w:r>
      <w:r w:rsidR="00EC070A" w:rsidRPr="00341C44">
        <w:rPr>
          <w:color w:val="000000"/>
        </w:rPr>
        <w:t xml:space="preserve">, </w:t>
      </w:r>
      <w:r w:rsidRPr="00341C44">
        <w:rPr>
          <w:color w:val="000000"/>
        </w:rPr>
        <w:t>2018</w:t>
      </w:r>
      <w:r>
        <w:rPr>
          <w:color w:val="000000"/>
        </w:rPr>
        <w:t>).</w:t>
      </w:r>
      <w:r>
        <w:rPr>
          <w:rFonts w:eastAsia="Times New Roman" w:cstheme="minorHAnsi"/>
          <w:color w:val="000000"/>
          <w:lang w:eastAsia="en-ZA"/>
        </w:rPr>
        <w:t xml:space="preserve"> </w:t>
      </w:r>
    </w:p>
    <w:p w14:paraId="56C718D1" w14:textId="7EFCB7AF" w:rsidR="00BC32A0" w:rsidRPr="00687DD4" w:rsidRDefault="00BC32A0" w:rsidP="00BC32A0">
      <w:pPr>
        <w:rPr>
          <w:rFonts w:ascii="Calibri" w:eastAsia="Calibri" w:hAnsi="Calibri" w:cs="Calibri"/>
        </w:rPr>
      </w:pPr>
      <w:r>
        <w:rPr>
          <w:color w:val="000000"/>
        </w:rPr>
        <w:t>Al</w:t>
      </w:r>
      <w:r w:rsidR="00341C44">
        <w:rPr>
          <w:color w:val="000000"/>
        </w:rPr>
        <w:t>so</w:t>
      </w:r>
      <w:r>
        <w:rPr>
          <w:color w:val="000000"/>
        </w:rPr>
        <w:t>, Engel budget share curves are found to be non-linear for many categories of goods and services in both the UK (</w:t>
      </w:r>
      <w:proofErr w:type="spellStart"/>
      <w:r w:rsidRPr="00F32A6D">
        <w:rPr>
          <w:color w:val="000000"/>
        </w:rPr>
        <w:t>Barigozzi</w:t>
      </w:r>
      <w:proofErr w:type="spellEnd"/>
      <w:r w:rsidRPr="00F32A6D">
        <w:rPr>
          <w:color w:val="000000"/>
        </w:rPr>
        <w:t xml:space="preserve"> and Moneta, 201</w:t>
      </w:r>
      <w:r w:rsidR="00996C09" w:rsidRPr="00F32A6D">
        <w:rPr>
          <w:color w:val="000000"/>
        </w:rPr>
        <w:t>6</w:t>
      </w:r>
      <w:r w:rsidRPr="00F32A6D">
        <w:rPr>
          <w:color w:val="000000"/>
        </w:rPr>
        <w:t>)</w:t>
      </w:r>
      <w:r>
        <w:rPr>
          <w:color w:val="000000"/>
        </w:rPr>
        <w:t xml:space="preserve"> and South </w:t>
      </w:r>
      <w:r w:rsidRPr="00C10756">
        <w:rPr>
          <w:color w:val="000000"/>
        </w:rPr>
        <w:t>Africa</w:t>
      </w:r>
      <w:r w:rsidR="007F25D3">
        <w:rPr>
          <w:rFonts w:eastAsia="Times New Roman" w:cstheme="minorHAnsi"/>
          <w:color w:val="000000"/>
          <w:lang w:eastAsia="en-ZA"/>
        </w:rPr>
        <w:t xml:space="preserve">, for which </w:t>
      </w:r>
      <w:proofErr w:type="spellStart"/>
      <w:r w:rsidR="007F25D3">
        <w:rPr>
          <w:color w:val="000000"/>
        </w:rPr>
        <w:t>Bagilet</w:t>
      </w:r>
      <w:proofErr w:type="spellEnd"/>
      <w:r w:rsidR="007F25D3">
        <w:rPr>
          <w:color w:val="000000"/>
        </w:rPr>
        <w:t xml:space="preserve"> </w:t>
      </w:r>
      <w:r w:rsidR="007F25D3" w:rsidRPr="00640A43">
        <w:rPr>
          <w:color w:val="000000"/>
        </w:rPr>
        <w:t>(2017)</w:t>
      </w:r>
      <w:r w:rsidR="007F25D3">
        <w:rPr>
          <w:color w:val="000000"/>
        </w:rPr>
        <w:t xml:space="preserve"> finds quadratic Engel budget share curves for many product categories</w:t>
      </w:r>
      <w:r w:rsidR="007F25D3" w:rsidRPr="00F32A6D">
        <w:rPr>
          <w:color w:val="000000"/>
        </w:rPr>
        <w:t>.</w:t>
      </w:r>
      <w:r w:rsidR="007F25D3" w:rsidRPr="00F32A6D">
        <w:rPr>
          <w:color w:val="000000"/>
        </w:rPr>
        <w:t xml:space="preserve"> </w:t>
      </w:r>
      <w:proofErr w:type="spellStart"/>
      <w:r w:rsidRPr="00F32A6D">
        <w:rPr>
          <w:rFonts w:ascii="Calibri" w:eastAsia="Calibri" w:hAnsi="Calibri" w:cs="Calibri"/>
        </w:rPr>
        <w:t>Barigozzi</w:t>
      </w:r>
      <w:proofErr w:type="spellEnd"/>
      <w:r w:rsidRPr="00F32A6D">
        <w:rPr>
          <w:rFonts w:ascii="Calibri" w:eastAsia="Calibri" w:hAnsi="Calibri" w:cs="Calibri"/>
        </w:rPr>
        <w:t xml:space="preserve"> and Moneta (201</w:t>
      </w:r>
      <w:r w:rsidR="00781D19" w:rsidRPr="00F32A6D">
        <w:rPr>
          <w:rFonts w:ascii="Calibri" w:eastAsia="Calibri" w:hAnsi="Calibri" w:cs="Calibri"/>
        </w:rPr>
        <w:t>6</w:t>
      </w:r>
      <w:r w:rsidRPr="00F32A6D">
        <w:rPr>
          <w:rFonts w:ascii="Calibri" w:eastAsia="Calibri" w:hAnsi="Calibri" w:cs="Calibri"/>
        </w:rPr>
        <w:t>)</w:t>
      </w:r>
      <w:r w:rsidRPr="00687DD4">
        <w:rPr>
          <w:rFonts w:ascii="Calibri" w:eastAsia="Calibri" w:hAnsi="Calibri" w:cs="Calibri"/>
        </w:rPr>
        <w:t xml:space="preserve"> </w:t>
      </w:r>
      <w:r w:rsidRPr="00C10756">
        <w:rPr>
          <w:rFonts w:ascii="Calibri" w:eastAsia="Calibri" w:hAnsi="Calibri" w:cs="Calibri"/>
        </w:rPr>
        <w:t xml:space="preserve">find </w:t>
      </w:r>
      <w:r w:rsidRPr="00687DD4">
        <w:rPr>
          <w:rFonts w:ascii="Calibri" w:eastAsia="Calibri" w:hAnsi="Calibri" w:cs="Calibri"/>
        </w:rPr>
        <w:t xml:space="preserve">three functional forms </w:t>
      </w:r>
      <w:r w:rsidRPr="00C10756">
        <w:rPr>
          <w:rFonts w:ascii="Calibri" w:eastAsia="Calibri" w:hAnsi="Calibri" w:cs="Calibri"/>
        </w:rPr>
        <w:t xml:space="preserve">underlying most </w:t>
      </w:r>
      <w:r w:rsidRPr="00687DD4">
        <w:rPr>
          <w:rFonts w:ascii="Calibri" w:eastAsia="Calibri" w:hAnsi="Calibri" w:cs="Calibri"/>
        </w:rPr>
        <w:t>Engel curves for all types of consumed goods and services</w:t>
      </w:r>
      <w:r w:rsidR="007F25D3">
        <w:rPr>
          <w:rFonts w:ascii="Calibri" w:eastAsia="Calibri" w:hAnsi="Calibri" w:cs="Calibri"/>
        </w:rPr>
        <w:t xml:space="preserve"> in the UK</w:t>
      </w:r>
      <w:r w:rsidRPr="00C10756">
        <w:rPr>
          <w:rFonts w:ascii="Calibri" w:eastAsia="Calibri" w:hAnsi="Calibri" w:cs="Calibri"/>
        </w:rPr>
        <w:t>, with one of the three of a quadratic nature and another one of a logarithmic nature</w:t>
      </w:r>
      <w:r w:rsidRPr="00687DD4">
        <w:rPr>
          <w:rFonts w:ascii="Calibri" w:eastAsia="Calibri" w:hAnsi="Calibri" w:cs="Calibri"/>
        </w:rPr>
        <w:t xml:space="preserve">. </w:t>
      </w:r>
      <w:r w:rsidRPr="00C10756">
        <w:rPr>
          <w:rFonts w:ascii="Calibri" w:eastAsia="Calibri" w:hAnsi="Calibri" w:cs="Calibri"/>
        </w:rPr>
        <w:t>T</w:t>
      </w:r>
      <w:r w:rsidRPr="00687DD4">
        <w:rPr>
          <w:rFonts w:ascii="Calibri" w:eastAsia="Calibri" w:hAnsi="Calibri" w:cs="Calibri"/>
        </w:rPr>
        <w:t xml:space="preserve">hese (independent) functional forms reflect </w:t>
      </w:r>
      <w:r w:rsidRPr="00C10756">
        <w:rPr>
          <w:rFonts w:ascii="Calibri" w:eastAsia="Calibri" w:hAnsi="Calibri" w:cs="Calibri"/>
        </w:rPr>
        <w:t xml:space="preserve">different types of products: </w:t>
      </w:r>
      <w:r w:rsidRPr="00687DD4">
        <w:rPr>
          <w:rFonts w:ascii="Calibri" w:eastAsia="Calibri" w:hAnsi="Calibri" w:cs="Calibri"/>
        </w:rPr>
        <w:t xml:space="preserve">necessities, luxury goods or services, and unity (income) elasticity goods. </w:t>
      </w:r>
      <w:r w:rsidR="00426AAF">
        <w:rPr>
          <w:rFonts w:ascii="Calibri" w:eastAsia="Calibri" w:hAnsi="Calibri" w:cs="Calibri"/>
        </w:rPr>
        <w:t xml:space="preserve">Typically, the necessity component of a products characteristics shows saturation effects, something also identified in other literature </w:t>
      </w:r>
      <w:r w:rsidR="007F25D3">
        <w:rPr>
          <w:color w:val="000000"/>
        </w:rPr>
        <w:t>(</w:t>
      </w:r>
      <w:r w:rsidR="007F25D3" w:rsidRPr="00341C44">
        <w:rPr>
          <w:color w:val="000000"/>
        </w:rPr>
        <w:t>Chai, 2018</w:t>
      </w:r>
      <w:r w:rsidR="007F25D3">
        <w:rPr>
          <w:color w:val="000000"/>
        </w:rPr>
        <w:t>)</w:t>
      </w:r>
      <w:r w:rsidR="00426AAF">
        <w:rPr>
          <w:color w:val="000000"/>
        </w:rPr>
        <w:t xml:space="preserve">. For </w:t>
      </w:r>
      <w:r w:rsidR="00426AAF">
        <w:rPr>
          <w:color w:val="000000"/>
        </w:rPr>
        <w:lastRenderedPageBreak/>
        <w:t>example</w:t>
      </w:r>
      <w:r>
        <w:rPr>
          <w:color w:val="000000"/>
        </w:rPr>
        <w:t>, French households have been found to show expenditure for food decreasing with increasing income over time explained by decreasing prices (</w:t>
      </w:r>
      <w:proofErr w:type="spellStart"/>
      <w:r w:rsidR="003F73C5" w:rsidRPr="003F73C5">
        <w:rPr>
          <w:color w:val="000000"/>
        </w:rPr>
        <w:t>Barbier</w:t>
      </w:r>
      <w:proofErr w:type="spellEnd"/>
      <w:r w:rsidR="003F73C5" w:rsidRPr="003F73C5">
        <w:rPr>
          <w:color w:val="000000"/>
        </w:rPr>
        <w:t xml:space="preserve"> </w:t>
      </w:r>
      <w:r w:rsidR="00426AAF" w:rsidRPr="003F73C5">
        <w:rPr>
          <w:color w:val="000000"/>
        </w:rPr>
        <w:t>et al</w:t>
      </w:r>
      <w:r w:rsidR="003F73C5" w:rsidRPr="003F73C5">
        <w:rPr>
          <w:color w:val="000000"/>
        </w:rPr>
        <w:t>.</w:t>
      </w:r>
      <w:r w:rsidR="00426AAF" w:rsidRPr="003F73C5">
        <w:rPr>
          <w:color w:val="000000"/>
        </w:rPr>
        <w:t xml:space="preserve"> 201</w:t>
      </w:r>
      <w:r w:rsidR="003F73C5" w:rsidRPr="003F73C5">
        <w:rPr>
          <w:color w:val="000000"/>
        </w:rPr>
        <w:t>6</w:t>
      </w:r>
      <w:r>
        <w:rPr>
          <w:color w:val="000000"/>
        </w:rPr>
        <w:t>).</w:t>
      </w:r>
    </w:p>
    <w:p w14:paraId="7258F1D3" w14:textId="1099E5DD" w:rsidR="00796210" w:rsidRDefault="00BC32A0" w:rsidP="00BC32A0">
      <w:pPr>
        <w:rPr>
          <w:rFonts w:eastAsia="Times New Roman" w:cstheme="minorHAnsi"/>
          <w:lang w:eastAsia="en-ZA"/>
        </w:rPr>
      </w:pPr>
      <w:r w:rsidRPr="00796210">
        <w:t xml:space="preserve">Energy is typically considered as a basic need, though certain aspects of energy use – like in the case of flight travel should be considered a luxury product. </w:t>
      </w:r>
      <w:r w:rsidRPr="00796210">
        <w:rPr>
          <w:rFonts w:eastAsia="Times New Roman" w:cstheme="minorHAnsi"/>
          <w:lang w:eastAsia="en-ZA"/>
        </w:rPr>
        <w:t>Literature finds that also the share of energy spending of income is generally found to be lower for deciles with higher incomes. The latter is also found for electricity (</w:t>
      </w:r>
      <w:proofErr w:type="spellStart"/>
      <w:r w:rsidRPr="00796210">
        <w:rPr>
          <w:rFonts w:eastAsia="Times New Roman" w:cstheme="minorHAnsi"/>
          <w:lang w:eastAsia="en-ZA"/>
        </w:rPr>
        <w:t>Grottera</w:t>
      </w:r>
      <w:proofErr w:type="spellEnd"/>
      <w:r w:rsidRPr="00796210">
        <w:rPr>
          <w:rFonts w:eastAsia="Times New Roman" w:cstheme="minorHAnsi"/>
          <w:lang w:eastAsia="en-ZA"/>
        </w:rPr>
        <w:t xml:space="preserve"> et al., 2018), and for the UK according to Grubb (2018).</w:t>
      </w:r>
      <w:r w:rsidR="00796210">
        <w:rPr>
          <w:rFonts w:eastAsia="Times New Roman" w:cstheme="minorHAnsi"/>
          <w:lang w:eastAsia="en-ZA"/>
        </w:rPr>
        <w:t xml:space="preserve"> </w:t>
      </w:r>
      <w:r w:rsidR="00796210" w:rsidRPr="00796210">
        <w:rPr>
          <w:rFonts w:eastAsia="Times New Roman" w:cstheme="minorHAnsi"/>
          <w:lang w:eastAsia="en-ZA"/>
        </w:rPr>
        <w:t xml:space="preserve">Indeed, Grubb et al. (2018)’s analysis seems to show for the UK (see their Figure 14 on p.39) that in periods of high energy prices all deciles have energy expenditure shares seem to increase at a virtually similar rate. Fouquet (2014) shows that income elasticities for energy services of households in the UK have varied a lot over </w:t>
      </w:r>
      <w:proofErr w:type="gramStart"/>
      <w:r w:rsidR="00796210" w:rsidRPr="00796210">
        <w:rPr>
          <w:rFonts w:eastAsia="Times New Roman" w:cstheme="minorHAnsi"/>
          <w:lang w:eastAsia="en-ZA"/>
        </w:rPr>
        <w:t>time,  and</w:t>
      </w:r>
      <w:proofErr w:type="gramEnd"/>
      <w:r w:rsidR="00796210" w:rsidRPr="00796210">
        <w:rPr>
          <w:rFonts w:eastAsia="Times New Roman" w:cstheme="minorHAnsi"/>
          <w:lang w:eastAsia="en-ZA"/>
        </w:rPr>
        <w:t xml:space="preserve"> were rather below unity in post-WWII history. Consumption of energy furthermore also shows other non-linear behaviour: For example, price elasticities can only explain changes in energy intensity per person to a limited extent because energy efficiency gains turn out to be largely irreversible (Grubb et al, </w:t>
      </w:r>
      <w:proofErr w:type="spellStart"/>
      <w:r w:rsidR="00796210" w:rsidRPr="00796210">
        <w:rPr>
          <w:rFonts w:eastAsia="Times New Roman" w:cstheme="minorHAnsi"/>
          <w:lang w:eastAsia="en-ZA"/>
        </w:rPr>
        <w:t>xxxx</w:t>
      </w:r>
      <w:proofErr w:type="spellEnd"/>
      <w:r w:rsidR="00796210" w:rsidRPr="00796210">
        <w:rPr>
          <w:rFonts w:eastAsia="Times New Roman" w:cstheme="minorHAnsi"/>
          <w:lang w:eastAsia="en-ZA"/>
        </w:rPr>
        <w:t>).</w:t>
      </w:r>
    </w:p>
    <w:p w14:paraId="4B123106" w14:textId="1A88AD40" w:rsidR="00C76BC6" w:rsidRPr="006C2203" w:rsidRDefault="00C76BC6" w:rsidP="00C76BC6">
      <w:pPr>
        <w:rPr>
          <w:rFonts w:eastAsia="Times New Roman" w:cstheme="minorHAnsi"/>
          <w:color w:val="000000"/>
          <w:lang w:eastAsia="en-ZA"/>
        </w:rPr>
      </w:pPr>
      <w:r w:rsidRPr="00796210">
        <w:rPr>
          <w:color w:val="000000"/>
        </w:rPr>
        <w:t>With Engel budget share curves hardly being linear one needs to conclude that it is a mistake to assume income elasticities to be constant for long term economic projections. Indeed, both i</w:t>
      </w:r>
      <w:r w:rsidRPr="00796210">
        <w:rPr>
          <w:rFonts w:eastAsia="Times New Roman" w:cstheme="minorHAnsi"/>
          <w:color w:val="000000"/>
          <w:lang w:eastAsia="en-ZA"/>
        </w:rPr>
        <w:t xml:space="preserve">ncome elasticities and price elasticities have been demonstrated to vary by living standard category or by </w:t>
      </w:r>
      <w:r w:rsidRPr="00796210">
        <w:rPr>
          <w:rFonts w:eastAsia="Times New Roman" w:cstheme="minorHAnsi"/>
          <w:i/>
          <w:iCs/>
          <w:color w:val="000000"/>
          <w:lang w:eastAsia="en-ZA"/>
        </w:rPr>
        <w:t>per capita</w:t>
      </w:r>
      <w:r w:rsidRPr="00796210">
        <w:rPr>
          <w:rFonts w:eastAsia="Times New Roman" w:cstheme="minorHAnsi"/>
          <w:color w:val="000000"/>
          <w:lang w:eastAsia="en-ZA"/>
        </w:rPr>
        <w:t xml:space="preserve"> expenditure. This is illustrated by </w:t>
      </w:r>
      <w:proofErr w:type="spellStart"/>
      <w:r w:rsidRPr="00796210">
        <w:rPr>
          <w:rFonts w:eastAsia="Times New Roman" w:cstheme="minorHAnsi"/>
          <w:color w:val="000000"/>
          <w:lang w:eastAsia="en-ZA"/>
        </w:rPr>
        <w:t>Dervis</w:t>
      </w:r>
      <w:proofErr w:type="spellEnd"/>
      <w:r w:rsidRPr="00796210">
        <w:rPr>
          <w:rFonts w:eastAsia="Times New Roman" w:cstheme="minorHAnsi"/>
          <w:color w:val="000000"/>
          <w:lang w:eastAsia="en-ZA"/>
        </w:rPr>
        <w:t xml:space="preserve"> et al. (1982) who estimated differentiated income and price elasticities for different social groups with different </w:t>
      </w:r>
      <w:r w:rsidRPr="00796210">
        <w:rPr>
          <w:rFonts w:eastAsia="Times New Roman" w:cstheme="minorHAnsi"/>
          <w:i/>
          <w:iCs/>
          <w:color w:val="000000"/>
          <w:lang w:eastAsia="en-ZA"/>
        </w:rPr>
        <w:t>per capita</w:t>
      </w:r>
      <w:r w:rsidRPr="00796210">
        <w:rPr>
          <w:rFonts w:eastAsia="Times New Roman" w:cstheme="minorHAnsi"/>
          <w:color w:val="000000"/>
          <w:lang w:eastAsia="en-ZA"/>
        </w:rPr>
        <w:t xml:space="preserve"> expenditure groups in a developing country and </w:t>
      </w:r>
      <w:r w:rsidR="00796210">
        <w:rPr>
          <w:rFonts w:eastAsia="Times New Roman" w:cstheme="minorHAnsi"/>
          <w:color w:val="000000"/>
          <w:lang w:eastAsia="en-ZA"/>
        </w:rPr>
        <w:t xml:space="preserve">by </w:t>
      </w:r>
      <w:proofErr w:type="spellStart"/>
      <w:r w:rsidRPr="00796210">
        <w:rPr>
          <w:rFonts w:eastAsia="Times New Roman" w:cstheme="minorHAnsi"/>
          <w:color w:val="000000"/>
          <w:lang w:eastAsia="en-ZA"/>
        </w:rPr>
        <w:t>Bagilet</w:t>
      </w:r>
      <w:proofErr w:type="spellEnd"/>
      <w:r w:rsidRPr="00796210">
        <w:rPr>
          <w:rFonts w:eastAsia="Times New Roman" w:cstheme="minorHAnsi"/>
          <w:color w:val="000000"/>
          <w:lang w:eastAsia="en-ZA"/>
        </w:rPr>
        <w:t xml:space="preserve"> (2017) </w:t>
      </w:r>
      <w:r w:rsidR="00341C44" w:rsidRPr="00796210">
        <w:rPr>
          <w:rFonts w:eastAsia="Times New Roman" w:cstheme="minorHAnsi"/>
          <w:color w:val="000000"/>
          <w:lang w:eastAsia="en-ZA"/>
        </w:rPr>
        <w:t>and</w:t>
      </w:r>
      <w:r w:rsidR="00341C44" w:rsidRPr="00796210">
        <w:rPr>
          <w:rFonts w:eastAsia="Times New Roman" w:cstheme="minorHAnsi"/>
          <w:color w:val="000000"/>
          <w:lang w:eastAsia="en-ZA"/>
        </w:rPr>
        <w:t xml:space="preserve"> Burger et al</w:t>
      </w:r>
      <w:r w:rsidR="00796210" w:rsidRPr="00796210">
        <w:rPr>
          <w:rFonts w:eastAsia="Times New Roman" w:cstheme="minorHAnsi"/>
          <w:color w:val="000000"/>
          <w:lang w:eastAsia="en-ZA"/>
        </w:rPr>
        <w:t xml:space="preserve"> (</w:t>
      </w:r>
      <w:r w:rsidR="00341C44" w:rsidRPr="00796210">
        <w:rPr>
          <w:rFonts w:eastAsia="Times New Roman" w:cstheme="minorHAnsi"/>
          <w:color w:val="000000"/>
          <w:lang w:eastAsia="en-ZA"/>
        </w:rPr>
        <w:t>2015</w:t>
      </w:r>
      <w:r w:rsidR="00796210">
        <w:rPr>
          <w:rFonts w:eastAsia="Times New Roman" w:cstheme="minorHAnsi"/>
          <w:color w:val="000000"/>
          <w:lang w:eastAsia="en-ZA"/>
        </w:rPr>
        <w:t>)</w:t>
      </w:r>
      <w:r w:rsidR="00341C44">
        <w:rPr>
          <w:rFonts w:eastAsia="Times New Roman" w:cstheme="minorHAnsi"/>
          <w:color w:val="000000"/>
          <w:lang w:eastAsia="en-ZA"/>
        </w:rPr>
        <w:t xml:space="preserve"> </w:t>
      </w:r>
      <w:r w:rsidRPr="00C76BC6">
        <w:rPr>
          <w:rFonts w:eastAsia="Times New Roman" w:cstheme="minorHAnsi"/>
          <w:color w:val="000000"/>
          <w:lang w:eastAsia="en-ZA"/>
        </w:rPr>
        <w:t xml:space="preserve">who </w:t>
      </w:r>
      <w:r w:rsidR="00796210">
        <w:rPr>
          <w:rFonts w:eastAsia="Times New Roman" w:cstheme="minorHAnsi"/>
          <w:color w:val="000000"/>
          <w:lang w:eastAsia="en-ZA"/>
        </w:rPr>
        <w:t xml:space="preserve">found similar results </w:t>
      </w:r>
      <w:r w:rsidRPr="00C76BC6">
        <w:rPr>
          <w:rFonts w:eastAsia="Times New Roman" w:cstheme="minorHAnsi"/>
          <w:color w:val="000000"/>
          <w:lang w:eastAsia="en-ZA"/>
        </w:rPr>
        <w:t xml:space="preserve">for </w:t>
      </w:r>
      <w:r w:rsidR="00796210" w:rsidRPr="00796210">
        <w:rPr>
          <w:rFonts w:eastAsia="Times New Roman" w:cstheme="minorHAnsi"/>
          <w:color w:val="000000"/>
          <w:lang w:eastAsia="en-ZA"/>
        </w:rPr>
        <w:t>categor</w:t>
      </w:r>
      <w:r w:rsidR="00796210">
        <w:rPr>
          <w:rFonts w:eastAsia="Times New Roman" w:cstheme="minorHAnsi"/>
          <w:color w:val="000000"/>
          <w:lang w:eastAsia="en-ZA"/>
        </w:rPr>
        <w:t>ies of</w:t>
      </w:r>
      <w:r w:rsidR="00796210" w:rsidRPr="00796210">
        <w:rPr>
          <w:rFonts w:eastAsia="Times New Roman" w:cstheme="minorHAnsi"/>
          <w:color w:val="000000"/>
          <w:lang w:eastAsia="en-ZA"/>
        </w:rPr>
        <w:t xml:space="preserve"> </w:t>
      </w:r>
      <w:r w:rsidR="00796210" w:rsidRPr="00796210">
        <w:rPr>
          <w:rFonts w:eastAsia="Times New Roman" w:cstheme="minorHAnsi"/>
          <w:i/>
          <w:iCs/>
          <w:color w:val="000000"/>
          <w:lang w:eastAsia="en-ZA"/>
        </w:rPr>
        <w:t>per capita</w:t>
      </w:r>
      <w:r w:rsidR="00796210" w:rsidRPr="00796210">
        <w:rPr>
          <w:rFonts w:eastAsia="Times New Roman" w:cstheme="minorHAnsi"/>
          <w:color w:val="000000"/>
          <w:lang w:eastAsia="en-ZA"/>
        </w:rPr>
        <w:t xml:space="preserve"> expenditure</w:t>
      </w:r>
      <w:r w:rsidR="00796210" w:rsidRPr="00C76BC6">
        <w:rPr>
          <w:rFonts w:eastAsia="Times New Roman" w:cstheme="minorHAnsi"/>
          <w:color w:val="000000"/>
          <w:lang w:eastAsia="en-ZA"/>
        </w:rPr>
        <w:t xml:space="preserve"> </w:t>
      </w:r>
      <w:r w:rsidR="00796210">
        <w:rPr>
          <w:rFonts w:eastAsia="Times New Roman" w:cstheme="minorHAnsi"/>
          <w:color w:val="000000"/>
          <w:lang w:eastAsia="en-ZA"/>
        </w:rPr>
        <w:t xml:space="preserve">in </w:t>
      </w:r>
      <w:r w:rsidRPr="00C76BC6">
        <w:rPr>
          <w:rFonts w:eastAsia="Times New Roman" w:cstheme="minorHAnsi"/>
          <w:color w:val="000000"/>
          <w:lang w:eastAsia="en-ZA"/>
        </w:rPr>
        <w:t xml:space="preserve">South Africa (see </w:t>
      </w:r>
      <w:r w:rsidRPr="00C76BC6">
        <w:rPr>
          <w:rFonts w:eastAsia="Times New Roman" w:cstheme="minorHAnsi"/>
          <w:color w:val="000000"/>
          <w:lang w:eastAsia="en-ZA"/>
        </w:rPr>
        <w:fldChar w:fldCharType="begin"/>
      </w:r>
      <w:r w:rsidRPr="00C76BC6">
        <w:rPr>
          <w:rFonts w:eastAsia="Times New Roman" w:cstheme="minorHAnsi"/>
          <w:color w:val="000000"/>
          <w:lang w:eastAsia="en-ZA"/>
        </w:rPr>
        <w:instrText xml:space="preserve"> REF _Ref33755646 \h </w:instrText>
      </w:r>
      <w:r w:rsidRPr="00C76BC6">
        <w:rPr>
          <w:rFonts w:eastAsia="Times New Roman" w:cstheme="minorHAnsi"/>
          <w:color w:val="000000"/>
          <w:lang w:eastAsia="en-ZA"/>
        </w:rPr>
      </w:r>
      <w:r>
        <w:rPr>
          <w:rFonts w:eastAsia="Times New Roman" w:cstheme="minorHAnsi"/>
          <w:color w:val="000000"/>
          <w:lang w:eastAsia="en-ZA"/>
        </w:rPr>
        <w:instrText xml:space="preserve"> \* MERGEFORMAT </w:instrText>
      </w:r>
      <w:r w:rsidRPr="00C76BC6">
        <w:rPr>
          <w:rFonts w:eastAsia="Times New Roman" w:cstheme="minorHAnsi"/>
          <w:color w:val="000000"/>
          <w:lang w:eastAsia="en-ZA"/>
        </w:rPr>
        <w:fldChar w:fldCharType="separate"/>
      </w:r>
      <w:r w:rsidRPr="00C76BC6">
        <w:t xml:space="preserve">Figure </w:t>
      </w:r>
      <w:r w:rsidRPr="00C76BC6">
        <w:rPr>
          <w:noProof/>
        </w:rPr>
        <w:t>1</w:t>
      </w:r>
      <w:r w:rsidRPr="00C76BC6">
        <w:rPr>
          <w:rFonts w:eastAsia="Times New Roman" w:cstheme="minorHAnsi"/>
          <w:color w:val="000000"/>
          <w:lang w:eastAsia="en-ZA"/>
        </w:rPr>
        <w:fldChar w:fldCharType="end"/>
      </w:r>
      <w:r w:rsidRPr="00C76BC6">
        <w:rPr>
          <w:rFonts w:eastAsia="Times New Roman" w:cstheme="minorHAnsi"/>
          <w:color w:val="000000"/>
          <w:lang w:eastAsia="en-ZA"/>
        </w:rPr>
        <w:t>).</w:t>
      </w:r>
      <w:r w:rsidRPr="00C76BC6">
        <w:rPr>
          <w:rStyle w:val="FootnoteReference"/>
          <w:color w:val="000000"/>
        </w:rPr>
        <w:footnoteReference w:id="2"/>
      </w:r>
    </w:p>
    <w:p w14:paraId="400E707E" w14:textId="086B393C" w:rsidR="00BC32A0" w:rsidRPr="00C10756" w:rsidRDefault="00BC32A0" w:rsidP="00BC32A0">
      <w:pPr>
        <w:spacing w:after="0"/>
        <w:rPr>
          <w:rFonts w:eastAsia="Times New Roman" w:cstheme="minorHAnsi"/>
          <w:b/>
          <w:bCs/>
          <w:color w:val="000000"/>
          <w:lang w:eastAsia="en-ZA"/>
        </w:rPr>
      </w:pPr>
    </w:p>
    <w:p w14:paraId="04FE73B5" w14:textId="77777777" w:rsidR="00BC32A0" w:rsidRPr="00294A73" w:rsidRDefault="00BC32A0" w:rsidP="00BC32A0">
      <w:pPr>
        <w:spacing w:after="0"/>
        <w:rPr>
          <w:rFonts w:eastAsia="Times New Roman" w:cstheme="minorHAnsi"/>
          <w:color w:val="000000"/>
          <w:lang w:eastAsia="en-ZA"/>
        </w:rPr>
      </w:pPr>
      <w:r w:rsidRPr="00EC2DE3">
        <w:rPr>
          <w:rFonts w:eastAsia="Times New Roman" w:cstheme="minorHAnsi"/>
          <w:noProof/>
          <w:color w:val="000000"/>
          <w:lang w:eastAsia="en-ZA"/>
        </w:rPr>
        <w:drawing>
          <wp:inline distT="0" distB="0" distL="0" distR="0" wp14:anchorId="30A9A9BE" wp14:editId="1C6E8CBE">
            <wp:extent cx="5372100" cy="308302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297" cy="3088872"/>
                    </a:xfrm>
                    <a:prstGeom prst="rect">
                      <a:avLst/>
                    </a:prstGeom>
                    <a:noFill/>
                    <a:ln>
                      <a:noFill/>
                    </a:ln>
                  </pic:spPr>
                </pic:pic>
              </a:graphicData>
            </a:graphic>
          </wp:inline>
        </w:drawing>
      </w:r>
    </w:p>
    <w:p w14:paraId="64681C94" w14:textId="6D4B2B3E" w:rsidR="00D70DE4" w:rsidRDefault="00D70DE4" w:rsidP="00AA3AC4">
      <w:pPr>
        <w:pStyle w:val="Caption"/>
        <w:contextualSpacing/>
        <w:jc w:val="both"/>
      </w:pPr>
      <w:bookmarkStart w:id="3" w:name="_Ref33755646"/>
      <w:r>
        <w:t xml:space="preserve">Figure </w:t>
      </w:r>
      <w:r>
        <w:fldChar w:fldCharType="begin"/>
      </w:r>
      <w:r>
        <w:instrText xml:space="preserve"> SEQ Figure \* ARABIC </w:instrText>
      </w:r>
      <w:r>
        <w:fldChar w:fldCharType="separate"/>
      </w:r>
      <w:r w:rsidR="001D4331">
        <w:rPr>
          <w:noProof/>
        </w:rPr>
        <w:t>1</w:t>
      </w:r>
      <w:r>
        <w:fldChar w:fldCharType="end"/>
      </w:r>
      <w:bookmarkEnd w:id="3"/>
      <w:r>
        <w:t xml:space="preserve"> </w:t>
      </w:r>
      <w:r w:rsidRPr="00D70DE4">
        <w:t>Expenditure (left) and own price elasticities (right) for South Africa</w:t>
      </w:r>
      <w:r>
        <w:t xml:space="preserve"> by decile</w:t>
      </w:r>
    </w:p>
    <w:p w14:paraId="7C1ADDAC" w14:textId="2FBB77CF" w:rsidR="00D70DE4" w:rsidRDefault="00796210" w:rsidP="00AA3AC4">
      <w:pPr>
        <w:pStyle w:val="Caption"/>
        <w:contextualSpacing/>
        <w:jc w:val="both"/>
      </w:pPr>
      <w:r>
        <w:t>(</w:t>
      </w:r>
      <w:r w:rsidR="00D70DE4" w:rsidRPr="00D70DE4">
        <w:t xml:space="preserve">Source: </w:t>
      </w:r>
      <w:proofErr w:type="spellStart"/>
      <w:r w:rsidR="00D70DE4" w:rsidRPr="00D70DE4">
        <w:t>Bagilet</w:t>
      </w:r>
      <w:proofErr w:type="spellEnd"/>
      <w:r w:rsidR="00D70DE4" w:rsidRPr="00D70DE4">
        <w:t xml:space="preserve"> (2017)</w:t>
      </w:r>
      <w:r>
        <w:t>)</w:t>
      </w:r>
    </w:p>
    <w:p w14:paraId="784114BE" w14:textId="1D176F21" w:rsidR="00D163DA" w:rsidRPr="00D163DA" w:rsidRDefault="00D163DA" w:rsidP="00D163DA">
      <w:pPr>
        <w:rPr>
          <w:color w:val="000000"/>
        </w:rPr>
      </w:pPr>
      <w:r w:rsidRPr="00C10756">
        <w:rPr>
          <w:color w:val="000000"/>
        </w:rPr>
        <w:lastRenderedPageBreak/>
        <w:t>A first conclusion is therefore that using constant income elasticities proves not to be the right solution to portray household consumption patterns as it makes it too static/undynamic over longer time horizons.</w:t>
      </w:r>
      <w:r w:rsidRPr="00C10756">
        <w:rPr>
          <w:vertAlign w:val="superscript"/>
        </w:rPr>
        <w:footnoteReference w:id="3"/>
      </w:r>
      <w:r w:rsidRPr="00C10756">
        <w:rPr>
          <w:color w:val="000000"/>
        </w:rPr>
        <w:t xml:space="preserve"> </w:t>
      </w:r>
      <w:r w:rsidRPr="00687DD4">
        <w:rPr>
          <w:color w:val="000000"/>
        </w:rPr>
        <w:t xml:space="preserve"> Were household behaviour to be represented at a more detailed level than the aggregate household to account for inequality as well as differences in behaviour between e.g. poor, middle class and rich households this would make household descriptions more detailed, and the impact of changes in welfare and in consumption behaviour over time probably quite large.</w:t>
      </w:r>
      <w:r w:rsidRPr="00C10756">
        <w:rPr>
          <w:vertAlign w:val="superscript"/>
        </w:rPr>
        <w:footnoteReference w:id="4"/>
      </w:r>
      <w:r>
        <w:rPr>
          <w:color w:val="000000"/>
        </w:rPr>
        <w:t xml:space="preserve"> </w:t>
      </w:r>
    </w:p>
    <w:p w14:paraId="4B4136CD" w14:textId="603FB604" w:rsidR="006C2203" w:rsidRDefault="006C2203" w:rsidP="006C2203">
      <w:pPr>
        <w:pStyle w:val="Heading2"/>
        <w:numPr>
          <w:ilvl w:val="1"/>
          <w:numId w:val="2"/>
        </w:numPr>
        <w:spacing w:after="120"/>
      </w:pPr>
      <w:r w:rsidRPr="006C2203">
        <w:t xml:space="preserve">Improving the </w:t>
      </w:r>
      <w:proofErr w:type="gramStart"/>
      <w:r w:rsidR="0014243B">
        <w:t>long term</w:t>
      </w:r>
      <w:proofErr w:type="gramEnd"/>
      <w:r w:rsidR="0014243B">
        <w:t xml:space="preserve"> </w:t>
      </w:r>
      <w:r w:rsidRPr="006C2203">
        <w:t xml:space="preserve">description of household consumption </w:t>
      </w:r>
      <w:r w:rsidR="00DC0B01" w:rsidRPr="006C2203">
        <w:t>using</w:t>
      </w:r>
      <w:r w:rsidRPr="006C2203">
        <w:t xml:space="preserve"> “income bands”</w:t>
      </w:r>
    </w:p>
    <w:p w14:paraId="233F4B32" w14:textId="76F69572" w:rsidR="00C76BC6" w:rsidRDefault="00C76BC6" w:rsidP="00C76BC6">
      <w:pPr>
        <w:rPr>
          <w:rFonts w:eastAsia="Times New Roman" w:cstheme="minorHAnsi"/>
          <w:color w:val="000000"/>
          <w:lang w:eastAsia="en-ZA"/>
        </w:rPr>
      </w:pPr>
      <w:r>
        <w:rPr>
          <w:rFonts w:eastAsia="Times New Roman" w:cstheme="minorHAnsi"/>
          <w:color w:val="000000"/>
          <w:lang w:eastAsia="en-ZA"/>
        </w:rPr>
        <w:t xml:space="preserve">Obviously, there are other aspects, besides the standard of living, that shape long term evolution in consumption budgets, besides strong changes in relative prices. Firstly, there are fundamental differences in country expenditure and consumption </w:t>
      </w:r>
      <w:r w:rsidRPr="00C10756">
        <w:rPr>
          <w:rFonts w:eastAsia="Times New Roman" w:cstheme="minorHAnsi"/>
          <w:lang w:eastAsia="en-ZA"/>
        </w:rPr>
        <w:t>patterns that can be related to different geographies</w:t>
      </w:r>
      <w:r>
        <w:rPr>
          <w:rFonts w:eastAsia="Times New Roman" w:cstheme="minorHAnsi"/>
          <w:lang w:eastAsia="en-ZA"/>
        </w:rPr>
        <w:t xml:space="preserve"> </w:t>
      </w:r>
      <w:r w:rsidRPr="00436747">
        <w:rPr>
          <w:rFonts w:eastAsia="Times New Roman" w:cstheme="minorHAnsi"/>
          <w:lang w:eastAsia="en-ZA"/>
        </w:rPr>
        <w:t>(Dai et al, 2012),</w:t>
      </w:r>
      <w:r w:rsidRPr="00C10756">
        <w:rPr>
          <w:rFonts w:eastAsia="Times New Roman" w:cstheme="minorHAnsi"/>
          <w:lang w:eastAsia="en-ZA"/>
        </w:rPr>
        <w:t xml:space="preserve"> </w:t>
      </w:r>
      <w:r w:rsidR="00436747">
        <w:rPr>
          <w:rFonts w:eastAsia="Times New Roman" w:cstheme="minorHAnsi"/>
          <w:lang w:eastAsia="en-ZA"/>
        </w:rPr>
        <w:t xml:space="preserve">demographic aspects like family size and age and </w:t>
      </w:r>
      <w:r>
        <w:rPr>
          <w:rFonts w:eastAsia="Times New Roman" w:cstheme="minorHAnsi"/>
          <w:lang w:eastAsia="en-ZA"/>
        </w:rPr>
        <w:t xml:space="preserve">for </w:t>
      </w:r>
      <w:r w:rsidR="00436747">
        <w:rPr>
          <w:rFonts w:eastAsia="Times New Roman" w:cstheme="minorHAnsi"/>
          <w:lang w:eastAsia="en-ZA"/>
        </w:rPr>
        <w:t xml:space="preserve">social or cultural </w:t>
      </w:r>
      <w:r w:rsidRPr="00C10756">
        <w:rPr>
          <w:rFonts w:eastAsia="Times New Roman" w:cstheme="minorHAnsi"/>
          <w:lang w:eastAsia="en-ZA"/>
        </w:rPr>
        <w:t xml:space="preserve">differences </w:t>
      </w:r>
      <w:r w:rsidR="00436747" w:rsidRPr="004155C0">
        <w:rPr>
          <w:rFonts w:eastAsia="Times New Roman" w:cstheme="minorHAnsi"/>
          <w:color w:val="000000"/>
          <w:lang w:eastAsia="en-ZA"/>
        </w:rPr>
        <w:t>(Chai, 2018</w:t>
      </w:r>
      <w:r w:rsidR="00436747" w:rsidRPr="004155C0">
        <w:rPr>
          <w:rFonts w:eastAsia="Times New Roman" w:cstheme="minorHAnsi"/>
          <w:lang w:eastAsia="en-ZA"/>
        </w:rPr>
        <w:t>)</w:t>
      </w:r>
      <w:r w:rsidRPr="00C10756">
        <w:rPr>
          <w:rFonts w:eastAsia="Times New Roman" w:cstheme="minorHAnsi"/>
          <w:lang w:eastAsia="en-ZA"/>
        </w:rPr>
        <w:t xml:space="preserve">. </w:t>
      </w:r>
      <w:r w:rsidR="00436747">
        <w:rPr>
          <w:rFonts w:eastAsia="Times New Roman" w:cstheme="minorHAnsi"/>
          <w:lang w:eastAsia="en-ZA"/>
        </w:rPr>
        <w:t>D</w:t>
      </w:r>
      <w:r>
        <w:rPr>
          <w:rFonts w:eastAsia="Times New Roman" w:cstheme="minorHAnsi"/>
          <w:lang w:eastAsia="en-ZA"/>
        </w:rPr>
        <w:t xml:space="preserve">ifferences </w:t>
      </w:r>
      <w:r w:rsidR="00436747">
        <w:rPr>
          <w:rFonts w:eastAsia="Times New Roman" w:cstheme="minorHAnsi"/>
          <w:lang w:eastAsia="en-ZA"/>
        </w:rPr>
        <w:t>in c</w:t>
      </w:r>
      <w:r w:rsidR="00436747">
        <w:rPr>
          <w:rFonts w:eastAsia="Times New Roman" w:cstheme="minorHAnsi"/>
          <w:lang w:eastAsia="en-ZA"/>
        </w:rPr>
        <w:t xml:space="preserve">limate </w:t>
      </w:r>
      <w:r>
        <w:rPr>
          <w:rFonts w:eastAsia="Times New Roman" w:cstheme="minorHAnsi"/>
          <w:lang w:eastAsia="en-ZA"/>
        </w:rPr>
        <w:t>play a role for expenses on heating and cooling</w:t>
      </w:r>
      <w:r w:rsidR="00436747">
        <w:rPr>
          <w:rFonts w:eastAsia="Times New Roman" w:cstheme="minorHAnsi"/>
          <w:lang w:eastAsia="en-ZA"/>
        </w:rPr>
        <w:t>, and appliance ownership</w:t>
      </w:r>
      <w:r>
        <w:rPr>
          <w:rFonts w:eastAsia="Times New Roman" w:cstheme="minorHAnsi"/>
          <w:lang w:eastAsia="en-ZA"/>
        </w:rPr>
        <w:t xml:space="preserve"> </w:t>
      </w:r>
      <w:r w:rsidR="00436747">
        <w:rPr>
          <w:rFonts w:eastAsia="Times New Roman" w:cstheme="minorHAnsi"/>
          <w:lang w:eastAsia="en-ZA"/>
        </w:rPr>
        <w:t xml:space="preserve">has been found to influence energy use </w:t>
      </w:r>
      <w:r>
        <w:rPr>
          <w:rFonts w:eastAsia="Times New Roman" w:cstheme="minorHAnsi"/>
          <w:lang w:eastAsia="en-ZA"/>
        </w:rPr>
        <w:t>(</w:t>
      </w:r>
      <w:r w:rsidRPr="00436747">
        <w:rPr>
          <w:rFonts w:eastAsia="Times New Roman" w:cstheme="minorHAnsi"/>
          <w:lang w:eastAsia="en-ZA"/>
        </w:rPr>
        <w:t xml:space="preserve">see </w:t>
      </w:r>
      <w:r w:rsidR="00436747" w:rsidRPr="00436747">
        <w:rPr>
          <w:rFonts w:eastAsia="Times New Roman" w:cstheme="minorHAnsi"/>
          <w:lang w:eastAsia="en-ZA"/>
        </w:rPr>
        <w:t xml:space="preserve">for example </w:t>
      </w:r>
      <w:proofErr w:type="spellStart"/>
      <w:r w:rsidRPr="00436747">
        <w:rPr>
          <w:rFonts w:eastAsia="Times New Roman" w:cstheme="minorHAnsi"/>
          <w:lang w:eastAsia="en-ZA"/>
        </w:rPr>
        <w:t>Grottera</w:t>
      </w:r>
      <w:proofErr w:type="spellEnd"/>
      <w:r w:rsidRPr="00436747">
        <w:rPr>
          <w:rFonts w:eastAsia="Times New Roman" w:cstheme="minorHAnsi"/>
          <w:lang w:eastAsia="en-ZA"/>
        </w:rPr>
        <w:t xml:space="preserve"> et al, 2018</w:t>
      </w:r>
      <w:r>
        <w:rPr>
          <w:rFonts w:eastAsia="Times New Roman" w:cstheme="minorHAnsi"/>
          <w:lang w:eastAsia="en-ZA"/>
        </w:rPr>
        <w:t>). Technical</w:t>
      </w:r>
      <w:r w:rsidRPr="00C10756">
        <w:rPr>
          <w:rFonts w:eastAsia="Times New Roman" w:cstheme="minorHAnsi"/>
          <w:lang w:eastAsia="en-ZA"/>
        </w:rPr>
        <w:t xml:space="preserve"> </w:t>
      </w:r>
      <w:r w:rsidRPr="00C10756">
        <w:t xml:space="preserve">and cultural change </w:t>
      </w:r>
      <w:r>
        <w:rPr>
          <w:rFonts w:eastAsia="Times New Roman" w:cstheme="minorHAnsi"/>
          <w:color w:val="000000"/>
          <w:lang w:eastAsia="en-ZA"/>
        </w:rPr>
        <w:t xml:space="preserve">have </w:t>
      </w:r>
      <w:r w:rsidR="00436747">
        <w:rPr>
          <w:rFonts w:eastAsia="Times New Roman" w:cstheme="minorHAnsi"/>
          <w:color w:val="000000"/>
          <w:lang w:eastAsia="en-ZA"/>
        </w:rPr>
        <w:t xml:space="preserve">already been mentioned </w:t>
      </w:r>
      <w:r>
        <w:rPr>
          <w:rFonts w:eastAsia="Times New Roman" w:cstheme="minorHAnsi"/>
          <w:color w:val="000000"/>
          <w:lang w:eastAsia="en-ZA"/>
        </w:rPr>
        <w:t xml:space="preserve">to change consumption budgets </w:t>
      </w:r>
      <w:r w:rsidRPr="004155C0">
        <w:rPr>
          <w:rFonts w:eastAsia="Times New Roman" w:cstheme="minorHAnsi"/>
          <w:color w:val="000000"/>
          <w:lang w:eastAsia="en-ZA"/>
        </w:rPr>
        <w:t>(Chai, 2018</w:t>
      </w:r>
      <w:r w:rsidRPr="004155C0">
        <w:rPr>
          <w:rFonts w:eastAsia="Times New Roman" w:cstheme="minorHAnsi"/>
          <w:lang w:eastAsia="en-ZA"/>
        </w:rPr>
        <w:t>)</w:t>
      </w:r>
      <w:r w:rsidRPr="00C10756">
        <w:rPr>
          <w:rFonts w:eastAsia="Times New Roman" w:cstheme="minorHAnsi"/>
          <w:lang w:eastAsia="en-ZA"/>
        </w:rPr>
        <w:t xml:space="preserve">.  </w:t>
      </w:r>
    </w:p>
    <w:p w14:paraId="4E347C8E" w14:textId="3F0D0B71" w:rsidR="00C76BC6" w:rsidRPr="00C10756" w:rsidRDefault="00C76BC6" w:rsidP="00C76BC6">
      <w:r w:rsidRPr="00C10756">
        <w:rPr>
          <w:rFonts w:eastAsia="Times New Roman" w:cstheme="minorHAnsi"/>
          <w:lang w:eastAsia="en-ZA"/>
        </w:rPr>
        <w:t xml:space="preserve">However, the insight that these factors play a role has not led to a predictive or tangible aspect of change in expenditure or consumption under the influence of technical or cultural change. </w:t>
      </w:r>
      <w:r w:rsidRPr="00C10756">
        <w:t>More detailed analysis of how household demand can change over time, and e.g. how people prioritize the “services” obtained through consumption is therefore very welcome. Obviously, to evaluate potential uptake and consumption changes under the influence of technical change our CGE model can benefit from the possibility to link it to a Bottom-Up energy systems model. However, the Bottom-Up model would also need to be constrained by household consumption budgets</w:t>
      </w:r>
      <w:r>
        <w:t xml:space="preserve"> or priorities in other ways, which therefore need to be represented correctly for the time horizons of our modelling efforts</w:t>
      </w:r>
      <w:r w:rsidRPr="00C10756">
        <w:t>.</w:t>
      </w:r>
    </w:p>
    <w:p w14:paraId="4E9B37B1" w14:textId="736EEEA5" w:rsidR="00C76BC6" w:rsidRDefault="00C76BC6" w:rsidP="00C76BC6">
      <w:pPr>
        <w:spacing w:after="0"/>
        <w:rPr>
          <w:color w:val="000000"/>
        </w:rPr>
      </w:pPr>
      <w:r>
        <w:rPr>
          <w:rFonts w:eastAsia="Times New Roman" w:cstheme="minorHAnsi"/>
          <w:color w:val="000000"/>
          <w:lang w:eastAsia="en-ZA"/>
        </w:rPr>
        <w:t>This absence of the perfect multi-factorial model to predict change in household consumption does not diminish the need to improve the current representation of impacts of long-term changes in welfare on household consumption. F</w:t>
      </w:r>
      <w:r>
        <w:rPr>
          <w:color w:val="000000"/>
        </w:rPr>
        <w:t xml:space="preserve">rom the above we can conclude that there are certain patterns in the evolution of household spending that are common across countries, and some maybe even over time. Research found changes in living standards to be the principle cause of changes in expenditure and consumption. </w:t>
      </w:r>
      <w:r w:rsidRPr="004155C0">
        <w:rPr>
          <w:color w:val="000000"/>
        </w:rPr>
        <w:t>Chai (2018)</w:t>
      </w:r>
      <w:r>
        <w:rPr>
          <w:color w:val="000000"/>
        </w:rPr>
        <w:t xml:space="preserve"> summarizes:</w:t>
      </w:r>
    </w:p>
    <w:p w14:paraId="33B44E8E" w14:textId="3664DF03" w:rsidR="00C76BC6" w:rsidRPr="00C10756" w:rsidRDefault="00C76BC6" w:rsidP="00C76BC6">
      <w:pPr>
        <w:spacing w:before="120"/>
        <w:ind w:left="720" w:right="706"/>
        <w:rPr>
          <w:rFonts w:eastAsia="Times New Roman" w:cstheme="minorHAnsi"/>
          <w:i/>
          <w:iCs/>
          <w:sz w:val="24"/>
          <w:szCs w:val="24"/>
          <w:lang w:eastAsia="en-ZA"/>
        </w:rPr>
      </w:pPr>
      <w:r w:rsidRPr="00C10756">
        <w:rPr>
          <w:rFonts w:eastAsia="Times New Roman" w:cstheme="minorHAnsi"/>
          <w:i/>
          <w:iCs/>
          <w:lang w:eastAsia="en-ZA"/>
        </w:rPr>
        <w:t xml:space="preserve">“The </w:t>
      </w:r>
      <w:proofErr w:type="gramStart"/>
      <w:r w:rsidRPr="00C10756">
        <w:rPr>
          <w:rFonts w:eastAsia="Times New Roman" w:cstheme="minorHAnsi"/>
          <w:i/>
          <w:iCs/>
          <w:lang w:eastAsia="en-ZA"/>
        </w:rPr>
        <w:t>best known</w:t>
      </w:r>
      <w:proofErr w:type="gramEnd"/>
      <w:r w:rsidRPr="00C10756">
        <w:rPr>
          <w:rFonts w:eastAsia="Times New Roman" w:cstheme="minorHAnsi"/>
          <w:i/>
          <w:iCs/>
          <w:lang w:eastAsia="en-ZA"/>
        </w:rPr>
        <w:t xml:space="preserve"> example of this is Engel’s Law, which states that the share of household spending on food tends to decline as households grow richer. Beyond that, households consume a wider variety of goods (Jackson, 1986), more expensive types of goods and services (</w:t>
      </w:r>
      <w:proofErr w:type="spellStart"/>
      <w:r w:rsidRPr="00C10756">
        <w:rPr>
          <w:rFonts w:eastAsia="Times New Roman" w:cstheme="minorHAnsi"/>
          <w:i/>
          <w:iCs/>
          <w:lang w:eastAsia="en-ZA"/>
        </w:rPr>
        <w:t>Bils</w:t>
      </w:r>
      <w:proofErr w:type="spellEnd"/>
      <w:r w:rsidRPr="00C10756">
        <w:rPr>
          <w:rFonts w:eastAsia="Times New Roman" w:cstheme="minorHAnsi"/>
          <w:i/>
          <w:iCs/>
          <w:lang w:eastAsia="en-ZA"/>
        </w:rPr>
        <w:t xml:space="preserve"> and </w:t>
      </w:r>
      <w:proofErr w:type="spellStart"/>
      <w:r w:rsidRPr="00C10756">
        <w:rPr>
          <w:rFonts w:eastAsia="Times New Roman" w:cstheme="minorHAnsi"/>
          <w:i/>
          <w:iCs/>
          <w:lang w:eastAsia="en-ZA"/>
        </w:rPr>
        <w:t>Klenow</w:t>
      </w:r>
      <w:proofErr w:type="spellEnd"/>
      <w:r w:rsidRPr="00C10756">
        <w:rPr>
          <w:rFonts w:eastAsia="Times New Roman" w:cstheme="minorHAnsi"/>
          <w:i/>
          <w:iCs/>
          <w:lang w:eastAsia="en-ZA"/>
        </w:rPr>
        <w:t xml:space="preserve">, 2001A), and the overall dispersion of household spending across different consumption domains tends to grow (Clements and Gao, 2012). Moreover, differences in the spending patterns of affluent households rise (Chai et al., 2015). While low- and middle-class households tend to spend in a relatively similar manner, spending patterns among affluent households differ considerably, likely due to the greater discretionary power these households enjoy in terms of spending. All in all, income effects are typically found to have a much stronger impact </w:t>
      </w:r>
      <w:r w:rsidRPr="00C10756">
        <w:rPr>
          <w:rFonts w:eastAsia="Times New Roman" w:cstheme="minorHAnsi"/>
          <w:i/>
          <w:iCs/>
          <w:lang w:eastAsia="en-ZA"/>
        </w:rPr>
        <w:lastRenderedPageBreak/>
        <w:t xml:space="preserve">on consumption patterns than price effects (Brown and Deaton, 1972; Lavoie, 1994; Clements et al., 2006).” </w:t>
      </w:r>
      <w:r w:rsidR="004155C0" w:rsidRPr="004155C0">
        <w:rPr>
          <w:rFonts w:eastAsia="Times New Roman" w:cstheme="minorHAnsi"/>
          <w:lang w:eastAsia="en-ZA"/>
        </w:rPr>
        <w:t xml:space="preserve">(Source: </w:t>
      </w:r>
      <w:r w:rsidRPr="004155C0">
        <w:rPr>
          <w:rFonts w:eastAsia="Times New Roman" w:cstheme="minorHAnsi"/>
          <w:lang w:eastAsia="en-ZA"/>
        </w:rPr>
        <w:t>Chai, 2018</w:t>
      </w:r>
      <w:r w:rsidR="004155C0" w:rsidRPr="004155C0">
        <w:rPr>
          <w:rFonts w:eastAsia="Times New Roman" w:cstheme="minorHAnsi"/>
          <w:lang w:eastAsia="en-ZA"/>
        </w:rPr>
        <w:t>)</w:t>
      </w:r>
    </w:p>
    <w:p w14:paraId="27365B7B" w14:textId="43799D4E" w:rsidR="00C76BC6" w:rsidRPr="000D514A" w:rsidRDefault="00C76BC6" w:rsidP="000D514A">
      <w:proofErr w:type="spellStart"/>
      <w:r w:rsidRPr="0083499B">
        <w:rPr>
          <w:rFonts w:ascii="Calibri" w:eastAsia="Calibri" w:hAnsi="Calibri" w:cs="Calibri"/>
        </w:rPr>
        <w:t>Barigozzi</w:t>
      </w:r>
      <w:proofErr w:type="spellEnd"/>
      <w:r w:rsidRPr="0083499B">
        <w:rPr>
          <w:rFonts w:ascii="Calibri" w:eastAsia="Calibri" w:hAnsi="Calibri" w:cs="Calibri"/>
        </w:rPr>
        <w:t xml:space="preserve"> and Moneta (201</w:t>
      </w:r>
      <w:r w:rsidR="00637976" w:rsidRPr="0083499B">
        <w:rPr>
          <w:rFonts w:ascii="Calibri" w:eastAsia="Calibri" w:hAnsi="Calibri" w:cs="Calibri"/>
        </w:rPr>
        <w:t>6</w:t>
      </w:r>
      <w:r w:rsidRPr="0083499B">
        <w:rPr>
          <w:rFonts w:ascii="Calibri" w:eastAsia="Calibri" w:hAnsi="Calibri" w:cs="Calibri"/>
        </w:rPr>
        <w:t xml:space="preserve">)’s analysis of British household consumption from 1977 to 2006 supports the idea of making the priority different product categories receive in household consumption depend on a household’ living standard. They find that products represent different degrees of three fundamental product types: necessities, luxury goods or services, and products of unity (income) elasticity. </w:t>
      </w:r>
      <w:r w:rsidRPr="0083499B">
        <w:t>Inter-country comparisons for France and Brazil (</w:t>
      </w:r>
      <w:proofErr w:type="spellStart"/>
      <w:r w:rsidRPr="0083499B">
        <w:rPr>
          <w:rFonts w:eastAsia="Times New Roman" w:cstheme="minorHAnsi"/>
          <w:lang w:eastAsia="en-ZA"/>
        </w:rPr>
        <w:t>Grottera</w:t>
      </w:r>
      <w:proofErr w:type="spellEnd"/>
      <w:r w:rsidRPr="0083499B">
        <w:rPr>
          <w:rFonts w:eastAsia="Times New Roman" w:cstheme="minorHAnsi"/>
          <w:lang w:eastAsia="en-ZA"/>
        </w:rPr>
        <w:t xml:space="preserve"> et al, 2018; </w:t>
      </w:r>
      <w:proofErr w:type="spellStart"/>
      <w:r w:rsidR="0083499B" w:rsidRPr="0083499B">
        <w:rPr>
          <w:rFonts w:eastAsia="Times New Roman" w:cstheme="minorHAnsi"/>
          <w:lang w:eastAsia="en-ZA"/>
        </w:rPr>
        <w:t>Barbier</w:t>
      </w:r>
      <w:proofErr w:type="spellEnd"/>
      <w:r w:rsidR="0083499B" w:rsidRPr="0083499B">
        <w:rPr>
          <w:rFonts w:eastAsia="Times New Roman" w:cstheme="minorHAnsi"/>
          <w:lang w:eastAsia="en-ZA"/>
        </w:rPr>
        <w:t xml:space="preserve"> et al</w:t>
      </w:r>
      <w:r w:rsidRPr="0083499B">
        <w:rPr>
          <w:rFonts w:eastAsia="Times New Roman" w:cstheme="minorHAnsi"/>
          <w:lang w:eastAsia="en-ZA"/>
        </w:rPr>
        <w:t>, 2016</w:t>
      </w:r>
      <w:r w:rsidRPr="0083499B">
        <w:t>) and South African data (</w:t>
      </w:r>
      <w:proofErr w:type="spellStart"/>
      <w:r w:rsidRPr="0083499B">
        <w:t>Bagilet</w:t>
      </w:r>
      <w:proofErr w:type="spellEnd"/>
      <w:r w:rsidR="0083499B" w:rsidRPr="0083499B">
        <w:t xml:space="preserve">, </w:t>
      </w:r>
      <w:r w:rsidRPr="0083499B">
        <w:t>201</w:t>
      </w:r>
      <w:r w:rsidR="0083499B" w:rsidRPr="0083499B">
        <w:t>7;</w:t>
      </w:r>
      <w:r w:rsidRPr="0083499B">
        <w:t xml:space="preserve"> Burger et al</w:t>
      </w:r>
      <w:r w:rsidR="0083499B" w:rsidRPr="0083499B">
        <w:t xml:space="preserve">, </w:t>
      </w:r>
      <w:r w:rsidRPr="0083499B">
        <w:t xml:space="preserve">2015, </w:t>
      </w:r>
      <w:proofErr w:type="spellStart"/>
      <w:r w:rsidRPr="0083499B">
        <w:t>Mholongo</w:t>
      </w:r>
      <w:proofErr w:type="spellEnd"/>
      <w:r w:rsidRPr="0083499B">
        <w:t xml:space="preserve"> and Daniels (2013)) also show the mentioned evolution of consumption patterns with changes in living standard or in per capita income (see </w:t>
      </w:r>
      <w:r w:rsidRPr="0083499B">
        <w:rPr>
          <w:rFonts w:eastAsia="Times New Roman" w:cstheme="minorHAnsi"/>
          <w:lang w:eastAsia="en-ZA"/>
        </w:rPr>
        <w:t>Clements et al., 2006</w:t>
      </w:r>
      <w:r w:rsidRPr="000D514A">
        <w:t xml:space="preserve">).  </w:t>
      </w:r>
    </w:p>
    <w:p w14:paraId="6B603281" w14:textId="5FD8C741" w:rsidR="00C76BC6" w:rsidRPr="000D514A" w:rsidRDefault="00C76BC6" w:rsidP="000D514A">
      <w:pPr>
        <w:rPr>
          <w:rFonts w:ascii="Calibri" w:eastAsia="Calibri" w:hAnsi="Calibri" w:cs="Calibri"/>
        </w:rPr>
      </w:pPr>
      <w:r w:rsidRPr="000D514A">
        <w:rPr>
          <w:rFonts w:ascii="Calibri" w:eastAsia="Calibri" w:hAnsi="Calibri" w:cs="Calibri"/>
        </w:rPr>
        <w:t>In South Africa, despite poverty and inequality remaining high, household well-being has improved since 2008 as can be observed in both increased household consumption expenditure as well as improved asset ownership (</w:t>
      </w:r>
      <w:proofErr w:type="spellStart"/>
      <w:r w:rsidRPr="0083499B">
        <w:rPr>
          <w:rFonts w:ascii="Calibri" w:eastAsia="Calibri" w:hAnsi="Calibri" w:cs="Calibri"/>
        </w:rPr>
        <w:t>Nthatisi</w:t>
      </w:r>
      <w:proofErr w:type="spellEnd"/>
      <w:r w:rsidRPr="0083499B">
        <w:rPr>
          <w:rFonts w:ascii="Calibri" w:eastAsia="Calibri" w:hAnsi="Calibri" w:cs="Calibri"/>
        </w:rPr>
        <w:t xml:space="preserve"> and Wittenberg, 2019</w:t>
      </w:r>
      <w:r w:rsidRPr="000D514A">
        <w:rPr>
          <w:rFonts w:ascii="Calibri" w:eastAsia="Calibri" w:hAnsi="Calibri" w:cs="Calibri"/>
        </w:rPr>
        <w:t xml:space="preserve">). The pattern of household consumption shows a clear correlation to the level of income earned: Figure </w:t>
      </w:r>
      <w:r w:rsidR="00C04E0F">
        <w:rPr>
          <w:rFonts w:ascii="Calibri" w:eastAsia="Calibri" w:hAnsi="Calibri" w:cs="Calibri"/>
        </w:rPr>
        <w:t>2</w:t>
      </w:r>
      <w:r w:rsidRPr="000D514A">
        <w:rPr>
          <w:rFonts w:ascii="Calibri" w:eastAsia="Calibri" w:hAnsi="Calibri" w:cs="Calibri"/>
        </w:rPr>
        <w:t xml:space="preserve"> presents the share of per capita expenditure by commodity group and decile for the case of South Africa in 2008 and 2012 (see also Mhlongo and Daniels (2013)). Spending patterns of lower expenditure deciles in 2012 shifted to looking more like those of higher expenditure declines in 2008. For example, as reported by Mhlongo and Daniels (2013), households in South Africa were spending proportionally less on food in 2008 compared to 2012 even though food remained the most important expenditure item. In their comparison to 2010 data, they found that food shares were larger than in 2008 as income levels were lower highlighting the importance of income changes in consumption patterns.</w:t>
      </w:r>
    </w:p>
    <w:p w14:paraId="6430DD18" w14:textId="77777777" w:rsidR="00C76BC6" w:rsidRDefault="00C76BC6" w:rsidP="00C76BC6">
      <w:pPr>
        <w:spacing w:after="160"/>
        <w:rPr>
          <w:rFonts w:ascii="Calibri" w:eastAsia="Calibri" w:hAnsi="Calibri" w:cs="Calibri"/>
        </w:rPr>
      </w:pPr>
      <w:r>
        <w:rPr>
          <w:noProof/>
          <w:color w:val="000000"/>
          <w:bdr w:val="none" w:sz="0" w:space="0" w:color="auto" w:frame="1"/>
        </w:rPr>
        <w:drawing>
          <wp:inline distT="0" distB="0" distL="0" distR="0" wp14:anchorId="76B5A1C3" wp14:editId="310BA0FD">
            <wp:extent cx="5732145" cy="4162425"/>
            <wp:effectExtent l="0" t="0" r="190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162425"/>
                    </a:xfrm>
                    <a:prstGeom prst="rect">
                      <a:avLst/>
                    </a:prstGeom>
                    <a:noFill/>
                    <a:ln>
                      <a:noFill/>
                    </a:ln>
                  </pic:spPr>
                </pic:pic>
              </a:graphicData>
            </a:graphic>
          </wp:inline>
        </w:drawing>
      </w:r>
    </w:p>
    <w:p w14:paraId="1EE72B5F" w14:textId="77777777" w:rsidR="00C04E0F" w:rsidRDefault="00C04E0F" w:rsidP="00C04E0F">
      <w:pPr>
        <w:pStyle w:val="Caption"/>
        <w:contextualSpacing/>
        <w:jc w:val="both"/>
      </w:pPr>
      <w:bookmarkStart w:id="4" w:name="_Ref33752569"/>
      <w:r>
        <w:t xml:space="preserve">Figure </w:t>
      </w:r>
      <w:r>
        <w:fldChar w:fldCharType="begin"/>
      </w:r>
      <w:r>
        <w:instrText xml:space="preserve"> SEQ Figure \* ARABIC </w:instrText>
      </w:r>
      <w:r>
        <w:fldChar w:fldCharType="separate"/>
      </w:r>
      <w:r>
        <w:rPr>
          <w:noProof/>
        </w:rPr>
        <w:t>2</w:t>
      </w:r>
      <w:r>
        <w:fldChar w:fldCharType="end"/>
      </w:r>
      <w:bookmarkEnd w:id="4"/>
      <w:r>
        <w:t xml:space="preserve"> </w:t>
      </w:r>
      <w:r w:rsidRPr="004677A6">
        <w:t>Expenditure by commodity group in 2008 and 2012</w:t>
      </w:r>
    </w:p>
    <w:p w14:paraId="257798E1" w14:textId="77777777" w:rsidR="00C04E0F" w:rsidRPr="004677A6" w:rsidRDefault="00C04E0F" w:rsidP="00C04E0F">
      <w:pPr>
        <w:pStyle w:val="Caption"/>
        <w:contextualSpacing/>
        <w:jc w:val="both"/>
      </w:pPr>
      <w:r w:rsidRPr="004677A6">
        <w:lastRenderedPageBreak/>
        <w:t>Source: Own calculation using NIDS data as reported by Mhlongo and Daniels (2013)</w:t>
      </w:r>
    </w:p>
    <w:p w14:paraId="069314D1" w14:textId="5AE2E4E1" w:rsidR="00C76BC6" w:rsidRPr="0083499B" w:rsidRDefault="00C76BC6" w:rsidP="000D514A">
      <w:pPr>
        <w:ind w:left="-357"/>
        <w:rPr>
          <w:rFonts w:ascii="Calibri" w:eastAsia="Calibri" w:hAnsi="Calibri" w:cs="Calibri"/>
        </w:rPr>
      </w:pPr>
      <w:r w:rsidRPr="0083499B">
        <w:rPr>
          <w:rFonts w:ascii="Calibri" w:eastAsia="Calibri" w:hAnsi="Calibri" w:cs="Calibri"/>
        </w:rPr>
        <w:t xml:space="preserve">Also the share of energy expenditure in total South African household expenditure has changed over the past decade with more households having access to energy options such as electricity - the household electrification rate (access to electricity mains) in South Africa increased from 77% in 2002 to 85% in 2013. As the share of energy expenditure has changed over time, so too has the composition of fuels used. Figure </w:t>
      </w:r>
      <w:r w:rsidR="00C04E0F">
        <w:rPr>
          <w:rFonts w:ascii="Calibri" w:eastAsia="Calibri" w:hAnsi="Calibri" w:cs="Calibri"/>
        </w:rPr>
        <w:t>3</w:t>
      </w:r>
      <w:r w:rsidRPr="0083499B">
        <w:rPr>
          <w:rFonts w:ascii="Calibri" w:eastAsia="Calibri" w:hAnsi="Calibri" w:cs="Calibri"/>
        </w:rPr>
        <w:t xml:space="preserve"> graphically presents the share of households using different fuels to meet three key energy end uses (namely cooking, heating and lighting). As illustrated, between 2002 and 2012 there has been a decrease in the number of households using coal for cooking and heating purposes with the shares of electricity and gas increasing in its stead.</w:t>
      </w:r>
    </w:p>
    <w:p w14:paraId="2DEBA808" w14:textId="77777777" w:rsidR="00C76BC6" w:rsidRDefault="00C76BC6" w:rsidP="00C76BC6">
      <w:pPr>
        <w:spacing w:before="240" w:after="240"/>
        <w:rPr>
          <w:rFonts w:ascii="Times New Roman" w:eastAsia="Times New Roman" w:hAnsi="Times New Roman" w:cs="Times New Roman"/>
          <w:sz w:val="24"/>
          <w:szCs w:val="24"/>
          <w:lang w:eastAsia="en-ZA"/>
        </w:rPr>
      </w:pPr>
      <w:r>
        <w:rPr>
          <w:noProof/>
          <w:color w:val="000000"/>
          <w:bdr w:val="none" w:sz="0" w:space="0" w:color="auto" w:frame="1"/>
        </w:rPr>
        <w:drawing>
          <wp:inline distT="0" distB="0" distL="0" distR="0" wp14:anchorId="262BDA29" wp14:editId="7B5D1EF9">
            <wp:extent cx="5732145" cy="414909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149090"/>
                    </a:xfrm>
                    <a:prstGeom prst="rect">
                      <a:avLst/>
                    </a:prstGeom>
                    <a:noFill/>
                    <a:ln>
                      <a:noFill/>
                    </a:ln>
                  </pic:spPr>
                </pic:pic>
              </a:graphicData>
            </a:graphic>
          </wp:inline>
        </w:drawing>
      </w:r>
    </w:p>
    <w:p w14:paraId="1C8F44A7" w14:textId="77777777" w:rsidR="00C04E0F" w:rsidRDefault="00C04E0F" w:rsidP="00C04E0F">
      <w:pPr>
        <w:pStyle w:val="Caption"/>
        <w:contextualSpacing/>
        <w:jc w:val="both"/>
        <w:rPr>
          <w:rFonts w:ascii="Times New Roman" w:eastAsia="Times New Roman" w:hAnsi="Times New Roman" w:cs="Times New Roman"/>
          <w:sz w:val="24"/>
          <w:szCs w:val="24"/>
          <w:lang w:eastAsia="en-ZA"/>
        </w:rPr>
      </w:pPr>
      <w:bookmarkStart w:id="5" w:name="_Ref33752588"/>
      <w:r>
        <w:t xml:space="preserve">Figure </w:t>
      </w:r>
      <w:r>
        <w:fldChar w:fldCharType="begin"/>
      </w:r>
      <w:r>
        <w:instrText xml:space="preserve"> SEQ Figure \* ARABIC </w:instrText>
      </w:r>
      <w:r>
        <w:fldChar w:fldCharType="separate"/>
      </w:r>
      <w:r>
        <w:rPr>
          <w:noProof/>
        </w:rPr>
        <w:t>3</w:t>
      </w:r>
      <w:r>
        <w:fldChar w:fldCharType="end"/>
      </w:r>
      <w:bookmarkEnd w:id="5"/>
      <w:r>
        <w:t xml:space="preserve"> </w:t>
      </w:r>
      <w:r w:rsidRPr="004677A6">
        <w:t>Composition of fuel use to meet energy end use demands of cooking, heating and lighting</w:t>
      </w:r>
    </w:p>
    <w:p w14:paraId="3F4985E5" w14:textId="77777777" w:rsidR="00C04E0F" w:rsidRDefault="00C04E0F" w:rsidP="00C04E0F">
      <w:pPr>
        <w:pStyle w:val="Caption"/>
        <w:contextualSpacing/>
        <w:jc w:val="both"/>
      </w:pPr>
      <w:r w:rsidRPr="004677A6">
        <w:t xml:space="preserve">Source: Own calculation using General Household Survey data, </w:t>
      </w:r>
      <w:proofErr w:type="spellStart"/>
      <w:r w:rsidRPr="004677A6">
        <w:t>StatsSA</w:t>
      </w:r>
      <w:proofErr w:type="spellEnd"/>
    </w:p>
    <w:p w14:paraId="654C18D7" w14:textId="77777777" w:rsidR="001246E6" w:rsidRDefault="00C76BC6" w:rsidP="00C76BC6">
      <w:pPr>
        <w:rPr>
          <w:rFonts w:eastAsia="Calibri"/>
          <w:color w:val="000000"/>
        </w:rPr>
      </w:pPr>
      <w:r w:rsidRPr="0083499B">
        <w:t>The existence of such patterns makes it interesting to explore what we brand as “income bands” as an approach to describe household behaviour.</w:t>
      </w:r>
      <w:r w:rsidRPr="0083499B">
        <w:rPr>
          <w:rFonts w:eastAsia="Times New Roman" w:cstheme="minorHAnsi"/>
          <w:color w:val="0070C0"/>
          <w:lang w:eastAsia="en-ZA"/>
        </w:rPr>
        <w:t xml:space="preserve"> </w:t>
      </w:r>
      <w:r w:rsidRPr="0083499B">
        <w:rPr>
          <w:rFonts w:eastAsia="Calibri"/>
          <w:color w:val="000000"/>
        </w:rPr>
        <w:t xml:space="preserve">While it is not unusual to estimate Engel curves, only a </w:t>
      </w:r>
      <w:r w:rsidRPr="0083499B">
        <w:t>few examples are known to the authors of the use of Engel curves to model household consumption behaviour within CGE models, e.g. for Brazil (</w:t>
      </w:r>
      <w:proofErr w:type="spellStart"/>
      <w:r w:rsidRPr="0083499B">
        <w:t>Grottera</w:t>
      </w:r>
      <w:proofErr w:type="spellEnd"/>
      <w:r w:rsidRPr="0083499B">
        <w:t xml:space="preserve"> et al, 2020) and China (Dai et al, 2012)</w:t>
      </w:r>
      <w:r w:rsidRPr="0083499B">
        <w:rPr>
          <w:rFonts w:eastAsia="Calibri"/>
          <w:color w:val="000000"/>
        </w:rPr>
        <w:t>.</w:t>
      </w:r>
      <w:r w:rsidR="001246E6" w:rsidRPr="0083499B">
        <w:rPr>
          <w:rFonts w:eastAsia="Calibri"/>
          <w:color w:val="000000"/>
        </w:rPr>
        <w:t xml:space="preserve"> Their examples show that Engel curves can be very useful to represent lifestyle changes or geography-related lifestyles in a CGE model.</w:t>
      </w:r>
      <w:r>
        <w:rPr>
          <w:rFonts w:eastAsia="Calibri"/>
          <w:color w:val="000000"/>
        </w:rPr>
        <w:t xml:space="preserve"> </w:t>
      </w:r>
    </w:p>
    <w:p w14:paraId="63CD6F92" w14:textId="5F51EF09" w:rsidR="00C76BC6" w:rsidRDefault="001246E6" w:rsidP="001246E6">
      <w:r>
        <w:rPr>
          <w:rFonts w:eastAsia="Calibri"/>
          <w:color w:val="000000"/>
        </w:rPr>
        <w:t xml:space="preserve">Typically, </w:t>
      </w:r>
      <w:r w:rsidR="00C76BC6">
        <w:t>Engel budget share curves calculate a budget share</w:t>
      </w:r>
      <w:r>
        <w:t>,</w:t>
      </w:r>
      <w:r w:rsidR="00C76BC6">
        <w:t xml:space="preserve"> </w:t>
      </w:r>
      <w:r w:rsidRPr="001246E6">
        <w:rPr>
          <w:i/>
          <w:iCs/>
        </w:rPr>
        <w:t>w</w:t>
      </w:r>
      <w:r w:rsidRPr="001246E6">
        <w:t>,</w:t>
      </w:r>
      <w:r>
        <w:t xml:space="preserve"> </w:t>
      </w:r>
      <w:r w:rsidR="00C76BC6">
        <w:t xml:space="preserve">of household </w:t>
      </w:r>
      <w:proofErr w:type="spellStart"/>
      <w:r w:rsidR="00C76BC6" w:rsidRPr="001246E6">
        <w:rPr>
          <w:i/>
          <w:iCs/>
        </w:rPr>
        <w:t>i</w:t>
      </w:r>
      <w:proofErr w:type="spellEnd"/>
      <w:r w:rsidR="00C76BC6">
        <w:t xml:space="preserve"> for product </w:t>
      </w:r>
      <w:r w:rsidR="00C76BC6" w:rsidRPr="001246E6">
        <w:rPr>
          <w:i/>
          <w:iCs/>
        </w:rPr>
        <w:t>j</w:t>
      </w:r>
      <w:r w:rsidR="00C76BC6">
        <w:t xml:space="preserve"> as a function </w:t>
      </w:r>
      <w:r w:rsidR="00C76BC6" w:rsidRPr="001246E6">
        <w:rPr>
          <w:i/>
          <w:iCs/>
        </w:rPr>
        <w:t>F</w:t>
      </w:r>
      <w:r w:rsidR="00C76BC6" w:rsidRPr="001246E6">
        <w:rPr>
          <w:i/>
          <w:iCs/>
          <w:vertAlign w:val="subscript"/>
        </w:rPr>
        <w:t>j</w:t>
      </w:r>
      <w:r w:rsidR="00C76BC6" w:rsidRPr="001246E6">
        <w:rPr>
          <w:i/>
          <w:iCs/>
        </w:rPr>
        <w:t>(</w:t>
      </w:r>
      <w:r>
        <w:rPr>
          <w:i/>
          <w:iCs/>
        </w:rPr>
        <w:t>..</w:t>
      </w:r>
      <w:r w:rsidR="00C76BC6" w:rsidRPr="001246E6">
        <w:rPr>
          <w:i/>
          <w:iCs/>
        </w:rPr>
        <w:t>)</w:t>
      </w:r>
      <w:r w:rsidR="00C76BC6">
        <w:t xml:space="preserve"> of </w:t>
      </w:r>
      <w:r w:rsidR="00C76BC6" w:rsidRPr="00C10756">
        <w:rPr>
          <w:i/>
          <w:iCs/>
        </w:rPr>
        <w:t>per capita</w:t>
      </w:r>
      <w:r w:rsidR="00C76BC6">
        <w:t xml:space="preserve"> income/expenditure or household living standard </w:t>
      </w:r>
      <w:r w:rsidR="00C76BC6" w:rsidRPr="001246E6">
        <w:rPr>
          <w:i/>
          <w:iCs/>
        </w:rPr>
        <w:t>X</w:t>
      </w:r>
      <w:r w:rsidR="00C76BC6" w:rsidRPr="001246E6">
        <w:rPr>
          <w:i/>
          <w:iCs/>
          <w:vertAlign w:val="subscript"/>
        </w:rPr>
        <w:t>i</w:t>
      </w:r>
      <w:r>
        <w:t>, i.e.:</w:t>
      </w:r>
    </w:p>
    <w:p w14:paraId="226B8DBB" w14:textId="625A0CFA" w:rsidR="001246E6" w:rsidRPr="00536E39" w:rsidRDefault="001246E6" w:rsidP="001246E6">
      <w:pPr>
        <w:jc w:val="center"/>
      </w:pPr>
      <m:oMathPara>
        <m:oMath>
          <m:sSub>
            <m:sSubPr>
              <m:ctrlPr>
                <w:rPr>
                  <w:rFonts w:ascii="Cambria Math" w:hAnsi="Cambria Math"/>
                  <w:i/>
                  <w:iCs/>
                  <w:sz w:val="20"/>
                  <w:vertAlign w:val="subscript"/>
                </w:rPr>
              </m:ctrlPr>
            </m:sSubPr>
            <m:e>
              <m:r>
                <w:rPr>
                  <w:rFonts w:ascii="Cambria Math" w:hAnsi="Cambria Math"/>
                  <w:sz w:val="20"/>
                  <w:vertAlign w:val="subscript"/>
                </w:rPr>
                <m:t>w</m:t>
              </m:r>
            </m:e>
            <m:sub>
              <m:r>
                <w:rPr>
                  <w:rFonts w:ascii="Cambria Math" w:hAnsi="Cambria Math"/>
                  <w:sz w:val="20"/>
                  <w:vertAlign w:val="subscript"/>
                </w:rPr>
                <m:t>i,j</m:t>
              </m:r>
            </m:sub>
          </m:sSub>
          <m:r>
            <w:rPr>
              <w:rFonts w:ascii="Cambria Math" w:hAnsi="Cambria Math"/>
              <w:sz w:val="20"/>
              <w:vertAlign w:val="subscript"/>
            </w:rPr>
            <m:t>=</m:t>
          </m:r>
          <m:sSub>
            <m:sSubPr>
              <m:ctrlPr>
                <w:rPr>
                  <w:rFonts w:ascii="Cambria Math" w:hAnsi="Cambria Math"/>
                  <w:i/>
                  <w:iCs/>
                  <w:sz w:val="20"/>
                  <w:vertAlign w:val="subscript"/>
                </w:rPr>
              </m:ctrlPr>
            </m:sSubPr>
            <m:e>
              <m:r>
                <w:rPr>
                  <w:rFonts w:ascii="Cambria Math" w:hAnsi="Cambria Math"/>
                  <w:sz w:val="20"/>
                  <w:vertAlign w:val="subscript"/>
                </w:rPr>
                <m:t>F</m:t>
              </m:r>
            </m:e>
            <m:sub>
              <m:r>
                <w:rPr>
                  <w:rFonts w:ascii="Cambria Math" w:hAnsi="Cambria Math"/>
                  <w:sz w:val="20"/>
                  <w:vertAlign w:val="subscript"/>
                </w:rPr>
                <m:t>j</m:t>
              </m:r>
            </m:sub>
          </m:sSub>
          <m:d>
            <m:dPr>
              <m:ctrlPr>
                <w:rPr>
                  <w:rFonts w:ascii="Cambria Math" w:hAnsi="Cambria Math"/>
                  <w:i/>
                  <w:iCs/>
                  <w:sz w:val="20"/>
                  <w:vertAlign w:val="subscript"/>
                </w:rPr>
              </m:ctrlPr>
            </m:dPr>
            <m:e>
              <m:sSub>
                <m:sSubPr>
                  <m:ctrlPr>
                    <w:rPr>
                      <w:rFonts w:ascii="Cambria Math" w:hAnsi="Cambria Math"/>
                      <w:i/>
                      <w:sz w:val="20"/>
                      <w:vertAlign w:val="subscript"/>
                    </w:rPr>
                  </m:ctrlPr>
                </m:sSubPr>
                <m:e>
                  <m:r>
                    <w:rPr>
                      <w:rFonts w:ascii="Cambria Math" w:hAnsi="Cambria Math"/>
                      <w:sz w:val="20"/>
                      <w:vertAlign w:val="subscript"/>
                    </w:rPr>
                    <m:t>X</m:t>
                  </m:r>
                </m:e>
                <m:sub>
                  <m:argPr>
                    <m:argSz m:val="1"/>
                  </m:argPr>
                  <m:r>
                    <w:rPr>
                      <w:rFonts w:ascii="Cambria Math" w:hAnsi="Cambria Math"/>
                      <w:sz w:val="20"/>
                      <w:vertAlign w:val="subscript"/>
                    </w:rPr>
                    <m:t>i</m:t>
                  </m:r>
                </m:sub>
              </m:sSub>
            </m:e>
          </m:d>
        </m:oMath>
      </m:oMathPara>
    </w:p>
    <w:p w14:paraId="0659D09E" w14:textId="2A5EB69B" w:rsidR="00311E05" w:rsidRPr="001246E6" w:rsidRDefault="00C76BC6" w:rsidP="00311E05">
      <w:pPr>
        <w:spacing w:after="0"/>
        <w:rPr>
          <w:rFonts w:eastAsia="Times New Roman" w:cstheme="minorHAnsi"/>
          <w:color w:val="000000"/>
          <w:lang w:eastAsia="en-ZA"/>
        </w:rPr>
      </w:pPr>
      <w:r>
        <w:lastRenderedPageBreak/>
        <w:t>In</w:t>
      </w:r>
      <w:r w:rsidR="001246E6">
        <w:t>stead, in</w:t>
      </w:r>
      <w:r>
        <w:t xml:space="preserve"> our model we choose a more discrete approach to calculating new consumption profiles in which we calibrate a set of consumption profiles by level of </w:t>
      </w:r>
      <w:r w:rsidRPr="00C10756">
        <w:rPr>
          <w:i/>
          <w:iCs/>
        </w:rPr>
        <w:t>per capita</w:t>
      </w:r>
      <w:r>
        <w:t xml:space="preserve"> consumption – which we call “income bands” -  known through our hybrid SAM, and we obtain future consumption by making linear combinations of the income bands that are closest to a household category’s </w:t>
      </w:r>
      <w:r w:rsidRPr="00C10756">
        <w:rPr>
          <w:i/>
          <w:iCs/>
        </w:rPr>
        <w:t>per capita</w:t>
      </w:r>
      <w:r>
        <w:t xml:space="preserve"> consumption budget. This procedure is explained in detail in section 4.3 below.</w:t>
      </w:r>
      <w:r w:rsidR="00311E05">
        <w:rPr>
          <w:color w:val="000000"/>
        </w:rPr>
        <w:t xml:space="preserve"> </w:t>
      </w:r>
    </w:p>
    <w:p w14:paraId="089477BA" w14:textId="4009B809" w:rsidR="00DD0E80" w:rsidRDefault="00DD0E80" w:rsidP="000E01D8">
      <w:pPr>
        <w:pStyle w:val="Heading1"/>
        <w:numPr>
          <w:ilvl w:val="0"/>
          <w:numId w:val="2"/>
        </w:numPr>
        <w:spacing w:line="276" w:lineRule="auto"/>
      </w:pPr>
      <w:bookmarkStart w:id="6" w:name="_x7gbytw9oqsr1"/>
      <w:bookmarkEnd w:id="6"/>
      <w:r w:rsidRPr="00DD0E80">
        <w:t>Modelling and calibration of household income bands</w:t>
      </w:r>
      <w:r w:rsidR="00107E22">
        <w:t xml:space="preserve"> in </w:t>
      </w:r>
      <w:r w:rsidR="002A2ABA">
        <w:t xml:space="preserve">the </w:t>
      </w:r>
      <w:r w:rsidR="00107E22">
        <w:t>South African general equilibrium model</w:t>
      </w:r>
    </w:p>
    <w:p w14:paraId="4C3FD7D5" w14:textId="180A423F" w:rsidR="00D47E80" w:rsidRDefault="006130DB" w:rsidP="000E01D8">
      <w:pPr>
        <w:pStyle w:val="Heading2"/>
        <w:numPr>
          <w:ilvl w:val="1"/>
          <w:numId w:val="2"/>
        </w:numPr>
        <w:spacing w:after="120"/>
      </w:pPr>
      <w:r>
        <w:t xml:space="preserve">The </w:t>
      </w:r>
      <w:r w:rsidR="00D47E80">
        <w:t>South African CGE</w:t>
      </w:r>
      <w:r w:rsidR="00C022E2">
        <w:t xml:space="preserve"> </w:t>
      </w:r>
      <w:r w:rsidR="00D47E80">
        <w:t>model</w:t>
      </w:r>
      <w:r>
        <w:t xml:space="preserve"> - SAGE</w:t>
      </w:r>
    </w:p>
    <w:p w14:paraId="05D8D563" w14:textId="1EE9AE7B" w:rsidR="007018E8" w:rsidRDefault="00D47E80" w:rsidP="000D514A">
      <w:r>
        <w:t>The SAGE model</w:t>
      </w:r>
      <w:r w:rsidR="008F3A96">
        <w:t xml:space="preserve"> is</w:t>
      </w:r>
      <w:r>
        <w:t xml:space="preserve"> a dynamic recursive CGE</w:t>
      </w:r>
      <w:r w:rsidR="001C4416">
        <w:t xml:space="preserve"> model </w:t>
      </w:r>
      <w:r>
        <w:t xml:space="preserve">for South Africa. </w:t>
      </w:r>
      <w:r w:rsidR="002D59AB">
        <w:t>The model</w:t>
      </w:r>
      <w:r w:rsidR="007018E8">
        <w:t>,</w:t>
      </w:r>
      <w:r w:rsidR="002D59AB">
        <w:t xml:space="preserve"> developed by UNU-WIDER for use by the</w:t>
      </w:r>
      <w:r w:rsidR="007018E8">
        <w:t xml:space="preserve"> South African</w:t>
      </w:r>
      <w:r w:rsidR="002D59AB">
        <w:t xml:space="preserve"> National Treasury</w:t>
      </w:r>
      <w:r w:rsidR="002A2ABA">
        <w:t>,</w:t>
      </w:r>
      <w:r w:rsidR="002D59AB">
        <w:t xml:space="preserve"> is </w:t>
      </w:r>
      <w:r>
        <w:t>based on the generic static and dynamic</w:t>
      </w:r>
      <w:r w:rsidR="002D59AB">
        <w:t xml:space="preserve"> CGE</w:t>
      </w:r>
      <w:r>
        <w:t xml:space="preserve"> models described in Lofgren et al. (2002) and </w:t>
      </w:r>
      <w:proofErr w:type="spellStart"/>
      <w:r>
        <w:t>Diao</w:t>
      </w:r>
      <w:proofErr w:type="spellEnd"/>
      <w:r>
        <w:t xml:space="preserve"> and Thurlow (2012)</w:t>
      </w:r>
      <w:r w:rsidR="002D59AB">
        <w:t xml:space="preserve">. </w:t>
      </w:r>
      <w:r w:rsidR="007018E8">
        <w:t xml:space="preserve">While used independently for an array of policy analysis, </w:t>
      </w:r>
      <w:r w:rsidR="007234C9">
        <w:t xml:space="preserve">the </w:t>
      </w:r>
      <w:r w:rsidR="00851012">
        <w:t xml:space="preserve">energy </w:t>
      </w:r>
      <w:r w:rsidR="007234C9">
        <w:t>SAGE</w:t>
      </w:r>
      <w:r w:rsidR="00851012">
        <w:t xml:space="preserve"> (or </w:t>
      </w:r>
      <w:proofErr w:type="spellStart"/>
      <w:r w:rsidR="00851012">
        <w:t>eSAGE</w:t>
      </w:r>
      <w:proofErr w:type="spellEnd"/>
      <w:r w:rsidR="00851012">
        <w:t>)</w:t>
      </w:r>
      <w:r w:rsidR="007234C9">
        <w:t xml:space="preserve"> model</w:t>
      </w:r>
      <w:r w:rsidR="007018E8">
        <w:t xml:space="preserve"> </w:t>
      </w:r>
      <w:r w:rsidR="007234C9">
        <w:t xml:space="preserve">is </w:t>
      </w:r>
      <w:r w:rsidR="007018E8">
        <w:t xml:space="preserve">also used in the linked energy-economic model, SATIMGE, at the University of Cape Town to enable more robust energy policy analysis with macroeconomic impact assessments (see </w:t>
      </w:r>
      <w:r w:rsidR="007018E8">
        <w:rPr>
          <w:rFonts w:ascii="Calibri" w:eastAsia="Calibri" w:hAnsi="Calibri" w:cs="Calibri"/>
        </w:rPr>
        <w:t>Arndt et al. 2016, and Merven et al. 2017; 2018; 2019a; 2019b</w:t>
      </w:r>
      <w:r w:rsidR="007018E8">
        <w:t>).</w:t>
      </w:r>
    </w:p>
    <w:p w14:paraId="4BC0338F" w14:textId="213C9A0F" w:rsidR="00D47E80" w:rsidRDefault="007234C9" w:rsidP="00D47E80">
      <w:r>
        <w:t>SAGE</w:t>
      </w:r>
      <w:r w:rsidR="002D59AB">
        <w:t xml:space="preserve"> </w:t>
      </w:r>
      <w:r w:rsidR="00D47E80">
        <w:t xml:space="preserve">is calibrated to the 2012 social accounting matrix (SAM) for </w:t>
      </w:r>
      <w:r>
        <w:t>South Africa</w:t>
      </w:r>
      <w:r w:rsidR="00D47E80">
        <w:t xml:space="preserve"> (see van </w:t>
      </w:r>
      <w:proofErr w:type="spellStart"/>
      <w:r w:rsidR="00D47E80">
        <w:t>Seventer</w:t>
      </w:r>
      <w:proofErr w:type="spellEnd"/>
      <w:r w:rsidR="00D47E80">
        <w:t xml:space="preserve"> et al., 2016)</w:t>
      </w:r>
      <w:r>
        <w:t xml:space="preserve">. For alignment with the energy model in SATIMGE, the 2012 SAM is hybridised with energy data for the country such that the physical volumes of energy consumption are included in the model. </w:t>
      </w:r>
      <w:r w:rsidR="00D47E80">
        <w:t xml:space="preserve">The 2012 SAM consists of 51 activities and 54 commodities. It includes 4 categories of labour which distinguishes between skill level (determined by education). To further highlight the differences between the energy and non-energy sectors capital is disaggregated between energy and non-energy capital. Households are divided into deciles with the top decile split into 5 groups to capture the large differences in income. </w:t>
      </w:r>
      <w:r w:rsidR="00107E22">
        <w:t xml:space="preserve">However, for this exercise, only the household decile groups will be used. </w:t>
      </w:r>
      <w:r w:rsidR="00D47E80">
        <w:t xml:space="preserve">Household income and consumption patterns in the base year are determined by national household survey data, specifically the 2008/9 Living Conditions Survey. </w:t>
      </w:r>
    </w:p>
    <w:p w14:paraId="67FA3DBC" w14:textId="4532830B" w:rsidR="00C30713" w:rsidRPr="00C30713" w:rsidRDefault="00D47E80" w:rsidP="00C30713">
      <w:r>
        <w:t>Household consumption covers marketed commodities, purchased at market prices that include commodity taxes and transaction costs. Household consumption</w:t>
      </w:r>
      <w:r w:rsidR="003635D8">
        <w:t xml:space="preserve"> evolved </w:t>
      </w:r>
      <w:r>
        <w:t xml:space="preserve">according to LES demand functions, derived from </w:t>
      </w:r>
      <w:r w:rsidR="00107E22">
        <w:t xml:space="preserve">the </w:t>
      </w:r>
      <w:r>
        <w:t xml:space="preserve">maximization of a Stone-Geary utility function subject to a household budget constraint and allows for the identification of supernumerary household income that ensures a minimum level of consumption. Given prices and incomes, these demand functions define households’ real consumption of each commodity in the ‘within period’ of the CGE model solve (Lofgren et al., 2002; Thurlow, 2004). </w:t>
      </w:r>
      <w:r w:rsidR="00107E22">
        <w:t xml:space="preserve">In the case of South Africa, </w:t>
      </w:r>
      <w:r w:rsidR="00C30713">
        <w:rPr>
          <w:color w:val="000000"/>
        </w:rPr>
        <w:t xml:space="preserve">the Frisch elasticity is set to -1 due to a lack of information. As a result, final household demand for each commodity is assumed to be a fixed share of aggregate institutional spending. Therefore, expenditure shares for each commodity are fixed and do not adjust in response to changes in relative prices. This specification also does not allow household consumption patterns to adjust </w:t>
      </w:r>
      <w:r w:rsidR="004E4230">
        <w:rPr>
          <w:color w:val="000000"/>
        </w:rPr>
        <w:t>to</w:t>
      </w:r>
      <w:r w:rsidR="00C30713">
        <w:rPr>
          <w:color w:val="000000"/>
        </w:rPr>
        <w:t xml:space="preserve"> changes in household incomes. While suited to short- and medium-term analysis, as substitution possibilities are likely to be limited, such an approach is not suitable for longer term analysis</w:t>
      </w:r>
      <w:r w:rsidR="004E4230">
        <w:rPr>
          <w:color w:val="000000"/>
        </w:rPr>
        <w:t xml:space="preserve"> as discussed in Section </w:t>
      </w:r>
      <w:r w:rsidR="004E4230">
        <w:rPr>
          <w:color w:val="000000"/>
        </w:rPr>
        <w:fldChar w:fldCharType="begin"/>
      </w:r>
      <w:r w:rsidR="004E4230">
        <w:rPr>
          <w:color w:val="000000"/>
        </w:rPr>
        <w:instrText xml:space="preserve"> REF _Ref33756777 \r \h </w:instrText>
      </w:r>
      <w:r w:rsidR="004E4230">
        <w:rPr>
          <w:color w:val="000000"/>
        </w:rPr>
      </w:r>
      <w:r w:rsidR="004E4230">
        <w:rPr>
          <w:color w:val="000000"/>
        </w:rPr>
        <w:fldChar w:fldCharType="separate"/>
      </w:r>
      <w:r w:rsidR="001D4331">
        <w:rPr>
          <w:color w:val="000000"/>
        </w:rPr>
        <w:t>2.2</w:t>
      </w:r>
      <w:r w:rsidR="004E4230">
        <w:rPr>
          <w:color w:val="000000"/>
        </w:rPr>
        <w:fldChar w:fldCharType="end"/>
      </w:r>
      <w:r w:rsidR="00C30713">
        <w:rPr>
          <w:color w:val="000000"/>
        </w:rPr>
        <w:t>.</w:t>
      </w:r>
    </w:p>
    <w:p w14:paraId="7A7CBF17" w14:textId="7B7E9931" w:rsidR="005920EE" w:rsidRDefault="005920EE" w:rsidP="000E01D8">
      <w:pPr>
        <w:pStyle w:val="Heading2"/>
        <w:numPr>
          <w:ilvl w:val="1"/>
          <w:numId w:val="2"/>
        </w:numPr>
        <w:spacing w:after="120"/>
      </w:pPr>
      <w:r>
        <w:t>Household consumption expenditure in the base year</w:t>
      </w:r>
    </w:p>
    <w:p w14:paraId="140A817B" w14:textId="57B338D7" w:rsidR="00722643" w:rsidRDefault="002C7B94" w:rsidP="00722643">
      <w:r>
        <w:fldChar w:fldCharType="begin"/>
      </w:r>
      <w:r>
        <w:instrText xml:space="preserve"> REF _Ref33752743 \h </w:instrText>
      </w:r>
      <w:r>
        <w:fldChar w:fldCharType="separate"/>
      </w:r>
      <w:r w:rsidR="001D4331">
        <w:t xml:space="preserve">Figure </w:t>
      </w:r>
      <w:r w:rsidR="001D4331">
        <w:rPr>
          <w:noProof/>
        </w:rPr>
        <w:t>4</w:t>
      </w:r>
      <w:r>
        <w:fldChar w:fldCharType="end"/>
      </w:r>
      <w:r w:rsidR="0001748C">
        <w:t xml:space="preserve"> presents household consumption spending in the base year by decile and household group. </w:t>
      </w:r>
      <w:r w:rsidR="003916C6">
        <w:t xml:space="preserve">As expected, basic goods and services comprise a large share of </w:t>
      </w:r>
      <w:r w:rsidR="00872396">
        <w:t>low-income</w:t>
      </w:r>
      <w:r w:rsidR="003916C6">
        <w:t xml:space="preserve"> household consumption with the share decreasing as household’s income rise. </w:t>
      </w:r>
      <w:r w:rsidR="00BC24BF">
        <w:t xml:space="preserve">Food is the largest expenditure item of </w:t>
      </w:r>
      <w:r w:rsidR="00BC24BF">
        <w:lastRenderedPageBreak/>
        <w:t xml:space="preserve">households in the Low group, which comprise expenditure deciles 1 to </w:t>
      </w:r>
      <w:r w:rsidR="008A3BBC">
        <w:t>5</w:t>
      </w:r>
      <w:r w:rsidR="00BC24BF">
        <w:t>. The share of food decreases as household income increases with the High group</w:t>
      </w:r>
      <w:r w:rsidR="003320CC">
        <w:t xml:space="preserve"> (deciles 9 and 10)</w:t>
      </w:r>
      <w:r w:rsidR="00BC24BF">
        <w:t xml:space="preserve"> spending</w:t>
      </w:r>
      <w:r w:rsidR="00063C9A">
        <w:t xml:space="preserve"> only</w:t>
      </w:r>
      <w:r w:rsidR="00BC24BF">
        <w:t xml:space="preserve"> 15% of its </w:t>
      </w:r>
      <w:r w:rsidR="00063C9A">
        <w:t xml:space="preserve">total </w:t>
      </w:r>
      <w:r w:rsidR="00BC24BF">
        <w:t>consumption expenditure on food.</w:t>
      </w:r>
      <w:r w:rsidR="00A96166">
        <w:t xml:space="preserve"> The Low household group also consumes more transport services (primarily public transport) than the High household group which uses private transport</w:t>
      </w:r>
      <w:r w:rsidR="00063C9A">
        <w:t xml:space="preserve"> as illustrated by the larger share of expenditure </w:t>
      </w:r>
      <w:r w:rsidR="005440CF">
        <w:t>on</w:t>
      </w:r>
      <w:r w:rsidR="00063C9A">
        <w:t xml:space="preserve"> vehicles and parts</w:t>
      </w:r>
      <w:r w:rsidR="00A96166">
        <w:t>. Households in the High group spend most of their consumption expenditure on services, which account for more than half of consumption expenditure.</w:t>
      </w:r>
    </w:p>
    <w:p w14:paraId="6F155A3F" w14:textId="12F19AE7" w:rsidR="001C548B" w:rsidRDefault="001C548B" w:rsidP="00DB5E3A">
      <w:pPr>
        <w:keepNext/>
      </w:pPr>
      <w:r>
        <w:rPr>
          <w:noProof/>
        </w:rPr>
        <w:drawing>
          <wp:inline distT="0" distB="0" distL="0" distR="0" wp14:anchorId="59D04F02" wp14:editId="09616EA8">
            <wp:extent cx="5759450" cy="4179570"/>
            <wp:effectExtent l="0" t="0" r="12700" b="11430"/>
            <wp:docPr id="23" name="Chart 23">
              <a:extLst xmlns:a="http://schemas.openxmlformats.org/drawingml/2006/main">
                <a:ext uri="{FF2B5EF4-FFF2-40B4-BE49-F238E27FC236}">
                  <a16:creationId xmlns:a16="http://schemas.microsoft.com/office/drawing/2014/main" id="{1334E68E-60F6-494B-892B-C5B15277C3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0F88C5" w14:textId="1AE8237F" w:rsidR="00F236D9" w:rsidRDefault="00DB5E3A" w:rsidP="0069329E">
      <w:pPr>
        <w:pStyle w:val="Caption"/>
        <w:contextualSpacing/>
        <w:jc w:val="both"/>
      </w:pPr>
      <w:bookmarkStart w:id="7" w:name="_Ref33752743"/>
      <w:r>
        <w:t xml:space="preserve">Figure </w:t>
      </w:r>
      <w:r>
        <w:fldChar w:fldCharType="begin"/>
      </w:r>
      <w:r>
        <w:instrText xml:space="preserve"> SEQ Figure \* ARABIC </w:instrText>
      </w:r>
      <w:r>
        <w:fldChar w:fldCharType="separate"/>
      </w:r>
      <w:r w:rsidR="001D4331">
        <w:rPr>
          <w:noProof/>
        </w:rPr>
        <w:t>4</w:t>
      </w:r>
      <w:r>
        <w:fldChar w:fldCharType="end"/>
      </w:r>
      <w:bookmarkEnd w:id="7"/>
      <w:r>
        <w:t xml:space="preserve"> Base year h</w:t>
      </w:r>
      <w:r w:rsidRPr="00DB5E3A">
        <w:t>ousehold consumption shares</w:t>
      </w:r>
    </w:p>
    <w:p w14:paraId="6CA92A6D" w14:textId="42B84F68" w:rsidR="00722643" w:rsidRDefault="00722643" w:rsidP="0069329E">
      <w:pPr>
        <w:pStyle w:val="Caption"/>
        <w:contextualSpacing/>
        <w:jc w:val="both"/>
      </w:pPr>
      <w:r>
        <w:t>Source: 2012 SAM</w:t>
      </w:r>
    </w:p>
    <w:p w14:paraId="33CB2505" w14:textId="1CEA1DD2" w:rsidR="0069329E" w:rsidRPr="00486C5D" w:rsidRDefault="0069329E" w:rsidP="0069329E">
      <w:pPr>
        <w:pStyle w:val="Caption"/>
        <w:contextualSpacing/>
        <w:jc w:val="both"/>
        <w:rPr>
          <w:b w:val="0"/>
          <w:bCs/>
        </w:rPr>
      </w:pPr>
      <w:r w:rsidRPr="00486C5D">
        <w:rPr>
          <w:b w:val="0"/>
          <w:bCs/>
        </w:rPr>
        <w:t xml:space="preserve">Note: Other services include </w:t>
      </w:r>
      <w:r w:rsidR="00486C5D" w:rsidRPr="00486C5D">
        <w:rPr>
          <w:b w:val="0"/>
          <w:bCs/>
        </w:rPr>
        <w:t>trade, hotel and accommodation, communication, financial and business, government and other personal and community services including health care and education</w:t>
      </w:r>
    </w:p>
    <w:p w14:paraId="793409F3" w14:textId="77777777" w:rsidR="00CC2B44" w:rsidRDefault="00CC2B44">
      <w:pPr>
        <w:spacing w:after="0"/>
        <w:jc w:val="left"/>
      </w:pPr>
      <w:r>
        <w:br w:type="page"/>
      </w:r>
    </w:p>
    <w:p w14:paraId="700D275D" w14:textId="52F76D97" w:rsidR="00764D61" w:rsidRDefault="00764D61" w:rsidP="00BC24BF">
      <w:r>
        <w:lastRenderedPageBreak/>
        <w:t xml:space="preserve">High household energy consumption goods, as reflected in Figure 3, seem smaller than that of Middle and Low </w:t>
      </w:r>
      <w:r w:rsidR="005440CF">
        <w:t xml:space="preserve">household </w:t>
      </w:r>
      <w:r>
        <w:t xml:space="preserve">groups. This is, however, due to the larger levels of income earned </w:t>
      </w:r>
      <w:r w:rsidR="005440CF">
        <w:t>by the High</w:t>
      </w:r>
      <w:r>
        <w:t xml:space="preserve"> household group. When looking at household energy consumption volumes</w:t>
      </w:r>
      <w:r w:rsidR="002E6CF6">
        <w:t xml:space="preserve"> (see</w:t>
      </w:r>
      <w:r w:rsidR="002C7B94">
        <w:t xml:space="preserve"> </w:t>
      </w:r>
      <w:r w:rsidR="002C7B94">
        <w:fldChar w:fldCharType="begin"/>
      </w:r>
      <w:r w:rsidR="002C7B94">
        <w:instrText xml:space="preserve"> REF _Ref33752765 \h </w:instrText>
      </w:r>
      <w:r w:rsidR="002C7B94">
        <w:fldChar w:fldCharType="separate"/>
      </w:r>
      <w:r w:rsidR="001D4331">
        <w:t xml:space="preserve">Figure </w:t>
      </w:r>
      <w:r w:rsidR="001D4331">
        <w:rPr>
          <w:noProof/>
        </w:rPr>
        <w:t>5</w:t>
      </w:r>
      <w:r w:rsidR="002C7B94">
        <w:fldChar w:fldCharType="end"/>
      </w:r>
      <w:r w:rsidR="002E6CF6">
        <w:t>)</w:t>
      </w:r>
      <w:r>
        <w:t xml:space="preserve">, the High household group consumes </w:t>
      </w:r>
      <w:r w:rsidR="003B5114">
        <w:t>1.4</w:t>
      </w:r>
      <w:r>
        <w:t xml:space="preserve"> and </w:t>
      </w:r>
      <w:r w:rsidR="003B5114">
        <w:t>2</w:t>
      </w:r>
      <w:r>
        <w:t xml:space="preserve"> times more </w:t>
      </w:r>
      <w:r w:rsidR="003B5114">
        <w:t xml:space="preserve">petajoules (PJ) </w:t>
      </w:r>
      <w:r>
        <w:t>than the Middle and Low household groups</w:t>
      </w:r>
      <w:r w:rsidR="00EC25A7">
        <w:t xml:space="preserve"> respectively</w:t>
      </w:r>
      <w:r>
        <w:t>.</w:t>
      </w:r>
      <w:r w:rsidR="003B5114">
        <w:t xml:space="preserve"> High household energy consumption is comprised primarily of petrol and electricity</w:t>
      </w:r>
      <w:r w:rsidR="00EC25A7">
        <w:t xml:space="preserve"> which make up more than </w:t>
      </w:r>
      <w:r w:rsidR="00B150B9">
        <w:t>90</w:t>
      </w:r>
      <w:r w:rsidR="00EC25A7">
        <w:t>% of their total energy consumption</w:t>
      </w:r>
      <w:r w:rsidR="003B5114">
        <w:t>. This is different from the Low household group, which also experiences large shares of other liquid fuel consumption</w:t>
      </w:r>
      <w:r w:rsidR="00EC25A7">
        <w:t xml:space="preserve"> (primarily </w:t>
      </w:r>
      <w:r w:rsidR="003157FE">
        <w:t>paraffin</w:t>
      </w:r>
      <w:r w:rsidR="00EC25A7">
        <w:t>)</w:t>
      </w:r>
      <w:r w:rsidR="003B5114">
        <w:t xml:space="preserve"> </w:t>
      </w:r>
      <w:r w:rsidR="00267198">
        <w:t>and</w:t>
      </w:r>
      <w:r w:rsidR="003B5114">
        <w:t xml:space="preserve"> </w:t>
      </w:r>
      <w:r w:rsidR="00EC25A7">
        <w:t xml:space="preserve">who </w:t>
      </w:r>
      <w:r w:rsidR="00267198">
        <w:t xml:space="preserve">also </w:t>
      </w:r>
      <w:r w:rsidR="003B5114">
        <w:t>consume</w:t>
      </w:r>
      <w:r w:rsidR="00267198">
        <w:t>s</w:t>
      </w:r>
      <w:r w:rsidR="003B5114">
        <w:t xml:space="preserve"> coal. </w:t>
      </w:r>
      <w:r w:rsidR="002E6CF6">
        <w:t>These trends suggest that accounting for behavioural changes linked to increasing income levels, would alter the composition of energy demand in South Africa and hence the supply responses.</w:t>
      </w:r>
    </w:p>
    <w:p w14:paraId="428515F8" w14:textId="0D32D6F9" w:rsidR="005440CF" w:rsidRDefault="005440CF" w:rsidP="00BC24BF">
      <w:r>
        <w:rPr>
          <w:noProof/>
        </w:rPr>
        <w:drawing>
          <wp:inline distT="0" distB="0" distL="0" distR="0" wp14:anchorId="726DC022" wp14:editId="7630FB60">
            <wp:extent cx="5759450" cy="4179570"/>
            <wp:effectExtent l="0" t="0" r="12700" b="11430"/>
            <wp:docPr id="12" name="Chart 12">
              <a:extLst xmlns:a="http://schemas.openxmlformats.org/drawingml/2006/main">
                <a:ext uri="{FF2B5EF4-FFF2-40B4-BE49-F238E27FC236}">
                  <a16:creationId xmlns:a16="http://schemas.microsoft.com/office/drawing/2014/main" id="{DDC299C8-72CF-4249-83EE-3D93DAEFD1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C6A9E0" w14:textId="4B70FA95" w:rsidR="002E1999" w:rsidRDefault="002E1999" w:rsidP="002E1999">
      <w:pPr>
        <w:pStyle w:val="Caption"/>
        <w:contextualSpacing/>
        <w:jc w:val="both"/>
      </w:pPr>
      <w:bookmarkStart w:id="8" w:name="_Ref33752765"/>
      <w:r>
        <w:t xml:space="preserve">Figure </w:t>
      </w:r>
      <w:r>
        <w:fldChar w:fldCharType="begin"/>
      </w:r>
      <w:r>
        <w:instrText xml:space="preserve"> SEQ Figure \* ARABIC </w:instrText>
      </w:r>
      <w:r>
        <w:fldChar w:fldCharType="separate"/>
      </w:r>
      <w:r w:rsidR="001D4331">
        <w:rPr>
          <w:noProof/>
        </w:rPr>
        <w:t>5</w:t>
      </w:r>
      <w:r>
        <w:fldChar w:fldCharType="end"/>
      </w:r>
      <w:bookmarkEnd w:id="8"/>
      <w:r>
        <w:t xml:space="preserve"> Base year h</w:t>
      </w:r>
      <w:r w:rsidRPr="00DB5E3A">
        <w:t>ousehold</w:t>
      </w:r>
      <w:r>
        <w:t xml:space="preserve"> energy</w:t>
      </w:r>
      <w:r w:rsidRPr="00DB5E3A">
        <w:t xml:space="preserve"> consumption</w:t>
      </w:r>
    </w:p>
    <w:p w14:paraId="2CAD804E" w14:textId="4BA6BB2C" w:rsidR="007D043C" w:rsidRPr="00BC24BF" w:rsidRDefault="002E1999" w:rsidP="0069329E">
      <w:pPr>
        <w:pStyle w:val="Caption"/>
        <w:contextualSpacing/>
        <w:jc w:val="both"/>
      </w:pPr>
      <w:r>
        <w:t xml:space="preserve">Source: </w:t>
      </w:r>
      <w:proofErr w:type="spellStart"/>
      <w:r>
        <w:t>eSAGE</w:t>
      </w:r>
      <w:proofErr w:type="spellEnd"/>
    </w:p>
    <w:p w14:paraId="1E4EA7D9" w14:textId="77777777" w:rsidR="00CC2B44" w:rsidRDefault="00CC2B44">
      <w:pPr>
        <w:spacing w:after="0"/>
        <w:jc w:val="left"/>
        <w:rPr>
          <w:rFonts w:eastAsia="Times New Roman" w:cs="Times New Roman"/>
          <w:b/>
          <w:bCs/>
          <w:iCs/>
          <w:color w:val="538135" w:themeColor="accent6" w:themeShade="BF"/>
          <w:sz w:val="24"/>
          <w:szCs w:val="24"/>
        </w:rPr>
      </w:pPr>
      <w:r>
        <w:br w:type="page"/>
      </w:r>
    </w:p>
    <w:p w14:paraId="31899AC8" w14:textId="5C6EB626" w:rsidR="00C022E2" w:rsidRDefault="00C022E2" w:rsidP="000E01D8">
      <w:pPr>
        <w:pStyle w:val="Heading2"/>
        <w:numPr>
          <w:ilvl w:val="1"/>
          <w:numId w:val="2"/>
        </w:numPr>
        <w:spacing w:after="120"/>
      </w:pPr>
      <w:r>
        <w:lastRenderedPageBreak/>
        <w:t xml:space="preserve">Methodological changes to </w:t>
      </w:r>
      <w:proofErr w:type="spellStart"/>
      <w:r>
        <w:t>eSAGE</w:t>
      </w:r>
      <w:proofErr w:type="spellEnd"/>
    </w:p>
    <w:p w14:paraId="081D7E5C" w14:textId="1F410A5C" w:rsidR="00A21E95" w:rsidRDefault="00A21E95" w:rsidP="00A21E95">
      <w:r>
        <w:t xml:space="preserve">In the </w:t>
      </w:r>
      <w:proofErr w:type="spellStart"/>
      <w:r>
        <w:t>BudSharAdj</w:t>
      </w:r>
      <w:proofErr w:type="spellEnd"/>
      <w:r>
        <w:t xml:space="preserve">, scenarios, the budget shares </w:t>
      </w:r>
      <w:proofErr w:type="spellStart"/>
      <w:r w:rsidRPr="00B26E01">
        <w:rPr>
          <w:i/>
          <w:iCs/>
        </w:rPr>
        <w:t>s</w:t>
      </w:r>
      <w:r w:rsidRPr="00B26E01">
        <w:rPr>
          <w:i/>
          <w:iCs/>
          <w:vertAlign w:val="subscript"/>
        </w:rPr>
        <w:t>h,c</w:t>
      </w:r>
      <w:proofErr w:type="spellEnd"/>
      <w:r w:rsidRPr="00B26E01">
        <w:rPr>
          <w:i/>
          <w:iCs/>
        </w:rPr>
        <w:t>(t</w:t>
      </w:r>
      <w:r>
        <w:t xml:space="preserve">) for each household decile group </w:t>
      </w:r>
      <w:r>
        <w:rPr>
          <w:i/>
          <w:iCs/>
        </w:rPr>
        <w:t xml:space="preserve">h </w:t>
      </w:r>
      <w:r>
        <w:t xml:space="preserve">for each commodity </w:t>
      </w:r>
      <w:r w:rsidRPr="00B26E01">
        <w:rPr>
          <w:i/>
          <w:iCs/>
        </w:rPr>
        <w:t>c</w:t>
      </w:r>
      <w:r>
        <w:t xml:space="preserve">, </w:t>
      </w:r>
      <w:r w:rsidRPr="00B26E01">
        <w:t>are</w:t>
      </w:r>
      <w:r>
        <w:t xml:space="preserve"> modified over time </w:t>
      </w:r>
      <w:r w:rsidRPr="00B26E01">
        <w:rPr>
          <w:i/>
          <w:iCs/>
        </w:rPr>
        <w:t>t</w:t>
      </w:r>
      <w:r>
        <w:t xml:space="preserve">, given projected real income </w:t>
      </w:r>
      <w:proofErr w:type="spellStart"/>
      <w:r>
        <w:rPr>
          <w:i/>
          <w:iCs/>
        </w:rPr>
        <w:t>y</w:t>
      </w:r>
      <w:r>
        <w:rPr>
          <w:i/>
          <w:iCs/>
          <w:vertAlign w:val="subscript"/>
        </w:rPr>
        <w:t>h</w:t>
      </w:r>
      <w:proofErr w:type="spellEnd"/>
      <w:r w:rsidRPr="00FB5C5B">
        <w:rPr>
          <w:i/>
          <w:iCs/>
        </w:rPr>
        <w:t>(t)</w:t>
      </w:r>
      <w:r>
        <w:t xml:space="preserve"> and the base year budget shares </w:t>
      </w:r>
      <w:proofErr w:type="spellStart"/>
      <w:r w:rsidRPr="00B26E01">
        <w:rPr>
          <w:i/>
          <w:iCs/>
        </w:rPr>
        <w:t>s</w:t>
      </w:r>
      <w:r w:rsidRPr="00B26E01">
        <w:rPr>
          <w:i/>
          <w:iCs/>
          <w:vertAlign w:val="subscript"/>
        </w:rPr>
        <w:t>h,c</w:t>
      </w:r>
      <w:proofErr w:type="spellEnd"/>
      <w:r w:rsidRPr="00B26E01">
        <w:rPr>
          <w:i/>
          <w:iCs/>
        </w:rPr>
        <w:t>(</w:t>
      </w:r>
      <w:r>
        <w:rPr>
          <w:i/>
          <w:iCs/>
        </w:rPr>
        <w:t>t</w:t>
      </w:r>
      <w:r>
        <w:rPr>
          <w:i/>
          <w:iCs/>
          <w:vertAlign w:val="subscript"/>
        </w:rPr>
        <w:t>0</w:t>
      </w:r>
      <w:r>
        <w:t>), which is used as a template for budget shares, by simple linear interpolation. This is done in four steps</w:t>
      </w:r>
      <w:r w:rsidR="00BB2B62">
        <w:t xml:space="preserve"> as presented below. Prior to these changes the </w:t>
      </w:r>
      <w:proofErr w:type="spellStart"/>
      <w:r w:rsidR="00BB2B62">
        <w:t>eSAGE</w:t>
      </w:r>
      <w:proofErr w:type="spellEnd"/>
      <w:r w:rsidR="00BB2B62">
        <w:t xml:space="preserve"> household consumption function is transformed from an LES to Cobb Douglas. As a result household consumption shares are fixed.</w:t>
      </w:r>
    </w:p>
    <w:p w14:paraId="6E853E06" w14:textId="77777777" w:rsidR="00A21E95" w:rsidRDefault="00A21E95" w:rsidP="00A21E95">
      <w:pPr>
        <w:pStyle w:val="ListParagraph"/>
        <w:numPr>
          <w:ilvl w:val="0"/>
          <w:numId w:val="14"/>
        </w:numPr>
      </w:pPr>
      <w:r>
        <w:t xml:space="preserve">Calculate “income distances” </w:t>
      </w:r>
    </w:p>
    <w:p w14:paraId="08A96BA3" w14:textId="77777777" w:rsidR="00A21E95" w:rsidRDefault="00A21E95" w:rsidP="00A21E95">
      <w:pPr>
        <w:pStyle w:val="ListParagraph"/>
        <w:numPr>
          <w:ilvl w:val="0"/>
          <w:numId w:val="14"/>
        </w:numPr>
      </w:pPr>
      <w:bookmarkStart w:id="9" w:name="_Hlk33539050"/>
      <w:r>
        <w:t>Identify “closest neighbours</w:t>
      </w:r>
      <w:bookmarkEnd w:id="9"/>
      <w:r>
        <w:t>” (lower and upper)</w:t>
      </w:r>
    </w:p>
    <w:p w14:paraId="6692FEA4" w14:textId="77777777" w:rsidR="00A21E95" w:rsidRDefault="00A21E95" w:rsidP="00A21E95">
      <w:pPr>
        <w:pStyle w:val="ListParagraph"/>
        <w:numPr>
          <w:ilvl w:val="0"/>
          <w:numId w:val="14"/>
        </w:numPr>
      </w:pPr>
      <w:r>
        <w:t>Calculate “weightings” based on distance to “closest neighbours”</w:t>
      </w:r>
    </w:p>
    <w:p w14:paraId="303FBCC9" w14:textId="77777777" w:rsidR="00A21E95" w:rsidRDefault="00A21E95" w:rsidP="00A21E95">
      <w:pPr>
        <w:pStyle w:val="ListParagraph"/>
        <w:numPr>
          <w:ilvl w:val="0"/>
          <w:numId w:val="14"/>
        </w:numPr>
      </w:pPr>
      <w:r>
        <w:t>Calculate new shares based on calculated “weightings”</w:t>
      </w:r>
    </w:p>
    <w:p w14:paraId="183A3161" w14:textId="77777777" w:rsidR="00A21E95" w:rsidRDefault="00A21E95" w:rsidP="00A21E95">
      <w:pPr>
        <w:pStyle w:val="Heading3"/>
      </w:pPr>
      <w:r>
        <w:t>Step 1: Calculate “income distances”</w:t>
      </w:r>
    </w:p>
    <w:p w14:paraId="0B851F39" w14:textId="77777777" w:rsidR="00A21E95" w:rsidRDefault="00A21E95" w:rsidP="00A21E95">
      <w:pPr>
        <w:rPr>
          <w:i/>
          <w:iCs/>
        </w:rPr>
      </w:pPr>
      <w:r>
        <w:t xml:space="preserve">“Income distance”, </w:t>
      </w:r>
      <w:proofErr w:type="spellStart"/>
      <w:proofErr w:type="gramStart"/>
      <w:r w:rsidRPr="008E32B5">
        <w:rPr>
          <w:i/>
          <w:iCs/>
        </w:rPr>
        <w:t>d</w:t>
      </w:r>
      <w:r w:rsidRPr="008E32B5">
        <w:rPr>
          <w:i/>
          <w:iCs/>
          <w:vertAlign w:val="subscript"/>
        </w:rPr>
        <w:t>h,h</w:t>
      </w:r>
      <w:proofErr w:type="spellEnd"/>
      <w:proofErr w:type="gramEnd"/>
      <w:r w:rsidRPr="008E32B5">
        <w:rPr>
          <w:i/>
          <w:iCs/>
          <w:vertAlign w:val="subscript"/>
        </w:rPr>
        <w:t>’</w:t>
      </w:r>
      <w:r w:rsidRPr="008E32B5">
        <w:rPr>
          <w:i/>
          <w:iCs/>
        </w:rPr>
        <w:t>(t)</w:t>
      </w:r>
      <w:r>
        <w:t xml:space="preserve"> is calculated for each income group </w:t>
      </w:r>
      <w:r w:rsidRPr="008E32B5">
        <w:rPr>
          <w:i/>
          <w:iCs/>
        </w:rPr>
        <w:t>h</w:t>
      </w:r>
      <w:r>
        <w:t xml:space="preserve"> as the difference between the group’s real income level </w:t>
      </w:r>
      <w:proofErr w:type="spellStart"/>
      <w:r>
        <w:rPr>
          <w:i/>
          <w:iCs/>
        </w:rPr>
        <w:t>y</w:t>
      </w:r>
      <w:r>
        <w:rPr>
          <w:i/>
          <w:iCs/>
          <w:vertAlign w:val="subscript"/>
        </w:rPr>
        <w:t>h</w:t>
      </w:r>
      <w:proofErr w:type="spellEnd"/>
      <w:r w:rsidRPr="00FB5C5B">
        <w:rPr>
          <w:i/>
          <w:iCs/>
        </w:rPr>
        <w:t>(t)</w:t>
      </w:r>
      <w:r>
        <w:rPr>
          <w:i/>
          <w:iCs/>
        </w:rPr>
        <w:t xml:space="preserve"> </w:t>
      </w:r>
      <w:r>
        <w:t xml:space="preserve">at time </w:t>
      </w:r>
      <w:r w:rsidRPr="008E32B5">
        <w:rPr>
          <w:i/>
          <w:iCs/>
        </w:rPr>
        <w:t>t</w:t>
      </w:r>
      <w:r>
        <w:t xml:space="preserve"> and the income levels of all the 10 decile groups in the base year </w:t>
      </w:r>
      <w:r w:rsidRPr="008E32B5">
        <w:rPr>
          <w:i/>
          <w:iCs/>
        </w:rPr>
        <w:t>t</w:t>
      </w:r>
      <w:r w:rsidRPr="008E32B5">
        <w:rPr>
          <w:i/>
          <w:iCs/>
          <w:vertAlign w:val="subscript"/>
        </w:rPr>
        <w:t>0</w:t>
      </w:r>
      <w:r>
        <w:rPr>
          <w:i/>
          <w:iCs/>
        </w:rPr>
        <w:t>.</w:t>
      </w:r>
    </w:p>
    <w:bookmarkStart w:id="10" w:name="_GoBack"/>
    <w:bookmarkEnd w:id="10"/>
    <w:p w14:paraId="0D0B7E0A" w14:textId="77777777" w:rsidR="00A21E95" w:rsidRDefault="00C0576D" w:rsidP="00A21E95">
      <w:pPr>
        <w:jc w:val="center"/>
      </w:pPr>
      <m:oMathPara>
        <m:oMath>
          <m:sSub>
            <m:sSubPr>
              <m:ctrlPr>
                <w:rPr>
                  <w:rFonts w:ascii="Cambria Math" w:hAnsi="Cambria Math"/>
                  <w:i/>
                  <w:iCs/>
                  <w:vertAlign w:val="subscript"/>
                </w:rPr>
              </m:ctrlPr>
            </m:sSubPr>
            <m:e>
              <m:r>
                <w:rPr>
                  <w:rFonts w:ascii="Cambria Math" w:hAnsi="Cambria Math"/>
                  <w:vertAlign w:val="subscript"/>
                </w:rPr>
                <m:t>d</m:t>
              </m:r>
            </m:e>
            <m:sub>
              <m:r>
                <w:rPr>
                  <w:rFonts w:ascii="Cambria Math" w:hAnsi="Cambria Math"/>
                  <w:vertAlign w:val="subscript"/>
                </w:rPr>
                <m:t>h,</m:t>
              </m:r>
              <m:sSup>
                <m:sSupPr>
                  <m:ctrlPr>
                    <w:rPr>
                      <w:rFonts w:ascii="Cambria Math" w:hAnsi="Cambria Math"/>
                      <w:i/>
                      <w:iCs/>
                      <w:vertAlign w:val="subscript"/>
                    </w:rPr>
                  </m:ctrlPr>
                </m:sSupPr>
                <m:e>
                  <m:r>
                    <w:rPr>
                      <w:rFonts w:ascii="Cambria Math" w:hAnsi="Cambria Math"/>
                      <w:vertAlign w:val="subscript"/>
                    </w:rPr>
                    <m:t>h</m:t>
                  </m:r>
                </m:e>
                <m:sup>
                  <m:r>
                    <w:rPr>
                      <w:rFonts w:ascii="Cambria Math" w:hAnsi="Cambria Math"/>
                      <w:vertAlign w:val="subscript"/>
                    </w:rPr>
                    <m:t>'</m:t>
                  </m:r>
                </m:sup>
              </m:sSup>
            </m:sub>
          </m:sSub>
          <m:d>
            <m:dPr>
              <m:ctrlPr>
                <w:rPr>
                  <w:rFonts w:ascii="Cambria Math" w:hAnsi="Cambria Math"/>
                  <w:i/>
                  <w:iCs/>
                </w:rPr>
              </m:ctrlPr>
            </m:dPr>
            <m:e>
              <m:r>
                <w:rPr>
                  <w:rFonts w:ascii="Cambria Math" w:hAnsi="Cambria Math"/>
                </w:rPr>
                <m:t>t</m:t>
              </m:r>
            </m:e>
          </m:d>
          <m:r>
            <m:rPr>
              <m:sty m:val="p"/>
            </m:rPr>
            <w:rPr>
              <w:rFonts w:ascii="Cambria Math" w:hAnsi="Cambria Math"/>
            </w:rPr>
            <m:t xml:space="preserve">= </m:t>
          </m:r>
          <m:sSub>
            <m:sSubPr>
              <m:ctrlPr>
                <w:rPr>
                  <w:rFonts w:ascii="Cambria Math" w:hAnsi="Cambria Math"/>
                  <w:i/>
                  <w:iCs/>
                  <w:vertAlign w:val="subscript"/>
                </w:rPr>
              </m:ctrlPr>
            </m:sSubPr>
            <m:e>
              <m:r>
                <w:rPr>
                  <w:rFonts w:ascii="Cambria Math" w:hAnsi="Cambria Math"/>
                  <w:vertAlign w:val="subscript"/>
                </w:rPr>
                <m:t>y</m:t>
              </m:r>
            </m:e>
            <m:sub>
              <m:r>
                <w:rPr>
                  <w:rFonts w:ascii="Cambria Math" w:hAnsi="Cambria Math"/>
                  <w:vertAlign w:val="subscript"/>
                </w:rPr>
                <m:t>h</m:t>
              </m:r>
            </m:sub>
          </m:sSub>
          <m:d>
            <m:dPr>
              <m:ctrlPr>
                <w:rPr>
                  <w:rFonts w:ascii="Cambria Math" w:hAnsi="Cambria Math"/>
                  <w:i/>
                  <w:iCs/>
                </w:rPr>
              </m:ctrlPr>
            </m:dPr>
            <m:e>
              <m:r>
                <w:rPr>
                  <w:rFonts w:ascii="Cambria Math" w:hAnsi="Cambria Math"/>
                </w:rPr>
                <m:t>t</m:t>
              </m:r>
            </m:e>
          </m:d>
          <m:r>
            <w:rPr>
              <w:rFonts w:ascii="Cambria Math" w:hAnsi="Cambria Math"/>
            </w:rPr>
            <m:t xml:space="preserve">- </m:t>
          </m:r>
          <m:sSub>
            <m:sSubPr>
              <m:ctrlPr>
                <w:rPr>
                  <w:rFonts w:ascii="Cambria Math" w:hAnsi="Cambria Math"/>
                  <w:i/>
                  <w:iCs/>
                  <w:vertAlign w:val="subscript"/>
                </w:rPr>
              </m:ctrlPr>
            </m:sSubPr>
            <m:e>
              <m:r>
                <w:rPr>
                  <w:rFonts w:ascii="Cambria Math" w:hAnsi="Cambria Math"/>
                  <w:vertAlign w:val="subscript"/>
                </w:rPr>
                <m:t>y</m:t>
              </m:r>
            </m:e>
            <m:sub>
              <m:sSup>
                <m:sSupPr>
                  <m:ctrlPr>
                    <w:rPr>
                      <w:rFonts w:ascii="Cambria Math" w:hAnsi="Cambria Math"/>
                      <w:i/>
                      <w:iCs/>
                      <w:vertAlign w:val="subscript"/>
                    </w:rPr>
                  </m:ctrlPr>
                </m:sSupPr>
                <m:e>
                  <m:r>
                    <w:rPr>
                      <w:rFonts w:ascii="Cambria Math" w:hAnsi="Cambria Math"/>
                      <w:vertAlign w:val="subscript"/>
                    </w:rPr>
                    <m:t>h</m:t>
                  </m:r>
                </m:e>
                <m:sup>
                  <m:r>
                    <w:rPr>
                      <w:rFonts w:ascii="Cambria Math" w:hAnsi="Cambria Math"/>
                      <w:vertAlign w:val="subscript"/>
                    </w:rPr>
                    <m:t>'</m:t>
                  </m:r>
                </m:sup>
              </m:sSup>
            </m:sub>
          </m:sSub>
          <m:d>
            <m:dPr>
              <m:ctrlPr>
                <w:rPr>
                  <w:rFonts w:ascii="Cambria Math" w:hAnsi="Cambria Math"/>
                  <w:i/>
                  <w:iCs/>
                </w:rPr>
              </m:ctrlPr>
            </m:dPr>
            <m:e>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0</m:t>
                  </m:r>
                </m:sub>
              </m:sSub>
            </m:e>
          </m:d>
          <m:r>
            <w:rPr>
              <w:rFonts w:ascii="Cambria Math" w:hAnsi="Cambria Math"/>
            </w:rPr>
            <m:t>.</m:t>
          </m:r>
        </m:oMath>
      </m:oMathPara>
    </w:p>
    <w:p w14:paraId="0CEEFF2E" w14:textId="77777777" w:rsidR="00A21E95" w:rsidRDefault="00A21E95" w:rsidP="00A21E95">
      <w:pPr>
        <w:pStyle w:val="Heading3"/>
      </w:pPr>
    </w:p>
    <w:p w14:paraId="47C04E5E" w14:textId="77777777" w:rsidR="00A21E95" w:rsidRDefault="00A21E95" w:rsidP="00A21E95">
      <w:pPr>
        <w:pStyle w:val="Heading3"/>
      </w:pPr>
      <w:r>
        <w:t xml:space="preserve">Step 2: </w:t>
      </w:r>
      <w:r w:rsidRPr="008E32B5">
        <w:t>Identify closest neighbours</w:t>
      </w:r>
    </w:p>
    <w:p w14:paraId="378B5101" w14:textId="77777777" w:rsidR="00A21E95" w:rsidRDefault="00A21E95" w:rsidP="00A21E95">
      <w:r>
        <w:t xml:space="preserve">The closest </w:t>
      </w:r>
      <w:r w:rsidRPr="001E6A5B">
        <w:rPr>
          <w:i/>
          <w:iCs/>
        </w:rPr>
        <w:t>lower</w:t>
      </w:r>
      <w:r>
        <w:t xml:space="preserve"> neighbour </w:t>
      </w:r>
      <w:r w:rsidRPr="001E6A5B">
        <w:rPr>
          <w:i/>
          <w:iCs/>
        </w:rPr>
        <w:t>hl</w:t>
      </w:r>
      <w:r>
        <w:t xml:space="preserve"> and its distance from </w:t>
      </w:r>
      <w:proofErr w:type="spellStart"/>
      <w:r>
        <w:rPr>
          <w:i/>
          <w:iCs/>
        </w:rPr>
        <w:t>y</w:t>
      </w:r>
      <w:r>
        <w:rPr>
          <w:i/>
          <w:iCs/>
          <w:vertAlign w:val="subscript"/>
        </w:rPr>
        <w:t>h</w:t>
      </w:r>
      <w:proofErr w:type="spellEnd"/>
      <w:r w:rsidRPr="00FB5C5B">
        <w:rPr>
          <w:i/>
          <w:iCs/>
        </w:rPr>
        <w:t>(t)</w:t>
      </w:r>
      <w:r>
        <w:rPr>
          <w:i/>
          <w:iCs/>
        </w:rPr>
        <w:t xml:space="preserve"> </w:t>
      </w:r>
      <w:r>
        <w:t>is calculated as</w:t>
      </w:r>
    </w:p>
    <w:p w14:paraId="76AF5991" w14:textId="77777777" w:rsidR="00A21E95" w:rsidRPr="008E32B5" w:rsidRDefault="00C0576D" w:rsidP="00A21E95">
      <w:pPr>
        <w:jc w:val="center"/>
      </w:pPr>
      <m:oMath>
        <m:sSub>
          <m:sSubPr>
            <m:ctrlPr>
              <w:rPr>
                <w:rFonts w:ascii="Cambria Math" w:hAnsi="Cambria Math"/>
                <w:i/>
                <w:iCs/>
                <w:vertAlign w:val="subscript"/>
              </w:rPr>
            </m:ctrlPr>
          </m:sSubPr>
          <m:e>
            <m:r>
              <w:rPr>
                <w:rFonts w:ascii="Cambria Math" w:hAnsi="Cambria Math"/>
                <w:vertAlign w:val="subscript"/>
              </w:rPr>
              <m:t>d</m:t>
            </m:r>
          </m:e>
          <m:sub>
            <m:r>
              <w:rPr>
                <w:rFonts w:ascii="Cambria Math" w:hAnsi="Cambria Math"/>
                <w:vertAlign w:val="subscript"/>
              </w:rPr>
              <m:t>h,hl</m:t>
            </m:r>
          </m:sub>
        </m:sSub>
        <m:r>
          <w:rPr>
            <w:rFonts w:ascii="Cambria Math" w:hAnsi="Cambria Math"/>
            <w:vertAlign w:val="subscript"/>
          </w:rPr>
          <m:t>(t)=</m:t>
        </m:r>
        <m:r>
          <m:rPr>
            <m:sty m:val="p"/>
          </m:rPr>
          <w:rPr>
            <w:rFonts w:ascii="Cambria Math" w:hAnsi="Cambria Math"/>
            <w:vertAlign w:val="subscript"/>
          </w:rPr>
          <m:t>min⁡</m:t>
        </m:r>
        <m:d>
          <m:dPr>
            <m:begChr m:val="{"/>
            <m:endChr m:val="}"/>
            <m:ctrlPr>
              <w:rPr>
                <w:rFonts w:ascii="Cambria Math" w:hAnsi="Cambria Math"/>
                <w:iCs/>
                <w:vertAlign w:val="subscript"/>
              </w:rPr>
            </m:ctrlPr>
          </m:dPr>
          <m:e>
            <m:sSub>
              <m:sSubPr>
                <m:ctrlPr>
                  <w:rPr>
                    <w:rFonts w:ascii="Cambria Math" w:hAnsi="Cambria Math"/>
                    <w:i/>
                    <w:iCs/>
                    <w:vertAlign w:val="subscript"/>
                  </w:rPr>
                </m:ctrlPr>
              </m:sSubPr>
              <m:e>
                <m:r>
                  <w:rPr>
                    <w:rFonts w:ascii="Cambria Math" w:hAnsi="Cambria Math"/>
                    <w:vertAlign w:val="subscript"/>
                  </w:rPr>
                  <m:t>d</m:t>
                </m:r>
              </m:e>
              <m:sub>
                <m:r>
                  <w:rPr>
                    <w:rFonts w:ascii="Cambria Math" w:hAnsi="Cambria Math"/>
                    <w:vertAlign w:val="subscript"/>
                  </w:rPr>
                  <m:t>h,</m:t>
                </m:r>
                <m:sSup>
                  <m:sSupPr>
                    <m:ctrlPr>
                      <w:rPr>
                        <w:rFonts w:ascii="Cambria Math" w:hAnsi="Cambria Math"/>
                        <w:i/>
                        <w:iCs/>
                        <w:vertAlign w:val="subscript"/>
                      </w:rPr>
                    </m:ctrlPr>
                  </m:sSupPr>
                  <m:e>
                    <m:r>
                      <w:rPr>
                        <w:rFonts w:ascii="Cambria Math" w:hAnsi="Cambria Math"/>
                        <w:vertAlign w:val="subscript"/>
                      </w:rPr>
                      <m:t>h</m:t>
                    </m:r>
                  </m:e>
                  <m:sup>
                    <m:r>
                      <w:rPr>
                        <w:rFonts w:ascii="Cambria Math" w:hAnsi="Cambria Math"/>
                        <w:vertAlign w:val="subscript"/>
                      </w:rPr>
                      <m:t>'</m:t>
                    </m:r>
                  </m:sup>
                </m:sSup>
              </m:sub>
            </m:sSub>
            <m:d>
              <m:dPr>
                <m:ctrlPr>
                  <w:rPr>
                    <w:rFonts w:ascii="Cambria Math" w:hAnsi="Cambria Math"/>
                    <w:i/>
                    <w:iCs/>
                  </w:rPr>
                </m:ctrlPr>
              </m:dPr>
              <m:e>
                <m:r>
                  <w:rPr>
                    <w:rFonts w:ascii="Cambria Math" w:hAnsi="Cambria Math"/>
                  </w:rPr>
                  <m:t>t</m:t>
                </m:r>
              </m:e>
            </m:d>
            <m:r>
              <w:rPr>
                <w:rFonts w:ascii="Cambria Math" w:hAnsi="Cambria Math"/>
              </w:rPr>
              <m:t xml:space="preserve">,  ∀ </m:t>
            </m:r>
            <m:sSub>
              <m:sSubPr>
                <m:ctrlPr>
                  <w:rPr>
                    <w:rFonts w:ascii="Cambria Math" w:hAnsi="Cambria Math"/>
                    <w:i/>
                    <w:iCs/>
                    <w:vertAlign w:val="subscript"/>
                  </w:rPr>
                </m:ctrlPr>
              </m:sSubPr>
              <m:e>
                <m:r>
                  <w:rPr>
                    <w:rFonts w:ascii="Cambria Math" w:hAnsi="Cambria Math"/>
                    <w:vertAlign w:val="subscript"/>
                  </w:rPr>
                  <m:t>d</m:t>
                </m:r>
              </m:e>
              <m:sub>
                <m:r>
                  <w:rPr>
                    <w:rFonts w:ascii="Cambria Math" w:hAnsi="Cambria Math"/>
                    <w:vertAlign w:val="subscript"/>
                  </w:rPr>
                  <m:t>h,</m:t>
                </m:r>
                <m:sSup>
                  <m:sSupPr>
                    <m:ctrlPr>
                      <w:rPr>
                        <w:rFonts w:ascii="Cambria Math" w:hAnsi="Cambria Math"/>
                        <w:i/>
                        <w:iCs/>
                        <w:vertAlign w:val="subscript"/>
                      </w:rPr>
                    </m:ctrlPr>
                  </m:sSupPr>
                  <m:e>
                    <m:r>
                      <w:rPr>
                        <w:rFonts w:ascii="Cambria Math" w:hAnsi="Cambria Math"/>
                        <w:vertAlign w:val="subscript"/>
                      </w:rPr>
                      <m:t>h</m:t>
                    </m:r>
                  </m:e>
                  <m:sup>
                    <m:r>
                      <w:rPr>
                        <w:rFonts w:ascii="Cambria Math" w:hAnsi="Cambria Math"/>
                        <w:vertAlign w:val="subscript"/>
                      </w:rPr>
                      <m:t>'</m:t>
                    </m:r>
                  </m:sup>
                </m:sSup>
              </m:sub>
            </m:sSub>
            <m:d>
              <m:dPr>
                <m:ctrlPr>
                  <w:rPr>
                    <w:rFonts w:ascii="Cambria Math" w:hAnsi="Cambria Math"/>
                    <w:i/>
                    <w:iCs/>
                  </w:rPr>
                </m:ctrlPr>
              </m:dPr>
              <m:e>
                <m:r>
                  <w:rPr>
                    <w:rFonts w:ascii="Cambria Math" w:hAnsi="Cambria Math"/>
                  </w:rPr>
                  <m:t>t</m:t>
                </m:r>
              </m:e>
            </m:d>
            <m:r>
              <m:rPr>
                <m:sty m:val="p"/>
              </m:rPr>
              <w:rPr>
                <w:rFonts w:ascii="Cambria Math" w:eastAsiaTheme="minorEastAsia" w:hAnsi="Cambria Math"/>
              </w:rPr>
              <m:t>≥0</m:t>
            </m:r>
          </m:e>
        </m:d>
      </m:oMath>
      <w:r w:rsidR="00A21E95">
        <w:rPr>
          <w:rFonts w:eastAsiaTheme="minorEastAsia"/>
          <w:iCs/>
        </w:rPr>
        <w:t>,</w:t>
      </w:r>
    </w:p>
    <w:p w14:paraId="400C1772" w14:textId="77777777" w:rsidR="00A21E95" w:rsidRDefault="00A21E95" w:rsidP="00A21E95">
      <w:r>
        <w:t xml:space="preserve">The closest </w:t>
      </w:r>
      <w:r w:rsidRPr="001E6A5B">
        <w:rPr>
          <w:i/>
          <w:iCs/>
        </w:rPr>
        <w:t>upper</w:t>
      </w:r>
      <w:r>
        <w:t xml:space="preserve"> neighbour </w:t>
      </w:r>
      <w:r w:rsidRPr="001E6A5B">
        <w:rPr>
          <w:i/>
          <w:iCs/>
        </w:rPr>
        <w:t>h</w:t>
      </w:r>
      <w:r>
        <w:rPr>
          <w:i/>
          <w:iCs/>
        </w:rPr>
        <w:t>u</w:t>
      </w:r>
      <w:r>
        <w:t xml:space="preserve"> and its distance from </w:t>
      </w:r>
      <w:proofErr w:type="spellStart"/>
      <w:r>
        <w:rPr>
          <w:i/>
          <w:iCs/>
        </w:rPr>
        <w:t>y</w:t>
      </w:r>
      <w:r>
        <w:rPr>
          <w:i/>
          <w:iCs/>
          <w:vertAlign w:val="subscript"/>
        </w:rPr>
        <w:t>h</w:t>
      </w:r>
      <w:proofErr w:type="spellEnd"/>
      <w:r w:rsidRPr="00FB5C5B">
        <w:rPr>
          <w:i/>
          <w:iCs/>
        </w:rPr>
        <w:t>(t)</w:t>
      </w:r>
      <w:r>
        <w:rPr>
          <w:i/>
          <w:iCs/>
        </w:rPr>
        <w:t xml:space="preserve"> </w:t>
      </w:r>
      <w:r>
        <w:t>is calculated as</w:t>
      </w:r>
    </w:p>
    <w:p w14:paraId="2AEC4F5A" w14:textId="77777777" w:rsidR="00A21E95" w:rsidRDefault="00C0576D" w:rsidP="00A21E95">
      <w:pPr>
        <w:jc w:val="center"/>
        <w:rPr>
          <w:rFonts w:eastAsiaTheme="minorEastAsia"/>
          <w:iCs/>
        </w:rPr>
      </w:pPr>
      <m:oMath>
        <m:sSub>
          <m:sSubPr>
            <m:ctrlPr>
              <w:rPr>
                <w:rFonts w:ascii="Cambria Math" w:hAnsi="Cambria Math"/>
                <w:i/>
                <w:iCs/>
                <w:vertAlign w:val="subscript"/>
              </w:rPr>
            </m:ctrlPr>
          </m:sSubPr>
          <m:e>
            <m:r>
              <w:rPr>
                <w:rFonts w:ascii="Cambria Math" w:hAnsi="Cambria Math"/>
                <w:vertAlign w:val="subscript"/>
              </w:rPr>
              <m:t>d</m:t>
            </m:r>
          </m:e>
          <m:sub>
            <m:r>
              <w:rPr>
                <w:rFonts w:ascii="Cambria Math" w:hAnsi="Cambria Math"/>
                <w:vertAlign w:val="subscript"/>
              </w:rPr>
              <m:t>h,hu</m:t>
            </m:r>
          </m:sub>
        </m:sSub>
        <m:d>
          <m:dPr>
            <m:ctrlPr>
              <w:rPr>
                <w:rFonts w:ascii="Cambria Math" w:hAnsi="Cambria Math"/>
                <w:i/>
                <w:iCs/>
                <w:vertAlign w:val="subscript"/>
              </w:rPr>
            </m:ctrlPr>
          </m:dPr>
          <m:e>
            <m:r>
              <w:rPr>
                <w:rFonts w:ascii="Cambria Math" w:hAnsi="Cambria Math"/>
                <w:vertAlign w:val="subscript"/>
              </w:rPr>
              <m:t>t</m:t>
            </m:r>
          </m:e>
        </m:d>
        <m:r>
          <w:rPr>
            <w:rFonts w:ascii="Cambria Math" w:hAnsi="Cambria Math"/>
            <w:vertAlign w:val="subscript"/>
          </w:rPr>
          <m:t>=-1 ×</m:t>
        </m:r>
        <m:r>
          <m:rPr>
            <m:sty m:val="p"/>
          </m:rPr>
          <w:rPr>
            <w:rFonts w:ascii="Cambria Math" w:hAnsi="Cambria Math"/>
            <w:vertAlign w:val="subscript"/>
          </w:rPr>
          <m:t>min⁡</m:t>
        </m:r>
        <m:d>
          <m:dPr>
            <m:begChr m:val="{"/>
            <m:endChr m:val="}"/>
            <m:ctrlPr>
              <w:rPr>
                <w:rFonts w:ascii="Cambria Math" w:hAnsi="Cambria Math"/>
                <w:iCs/>
                <w:vertAlign w:val="subscript"/>
              </w:rPr>
            </m:ctrlPr>
          </m:dPr>
          <m:e>
            <m:sSub>
              <m:sSubPr>
                <m:ctrlPr>
                  <w:rPr>
                    <w:rFonts w:ascii="Cambria Math" w:hAnsi="Cambria Math"/>
                    <w:i/>
                    <w:iCs/>
                    <w:vertAlign w:val="subscript"/>
                  </w:rPr>
                </m:ctrlPr>
              </m:sSubPr>
              <m:e>
                <m:r>
                  <w:rPr>
                    <w:rFonts w:ascii="Cambria Math" w:hAnsi="Cambria Math"/>
                    <w:vertAlign w:val="subscript"/>
                  </w:rPr>
                  <m:t>d</m:t>
                </m:r>
              </m:e>
              <m:sub>
                <m:r>
                  <w:rPr>
                    <w:rFonts w:ascii="Cambria Math" w:hAnsi="Cambria Math"/>
                    <w:vertAlign w:val="subscript"/>
                  </w:rPr>
                  <m:t>h,</m:t>
                </m:r>
                <m:sSup>
                  <m:sSupPr>
                    <m:ctrlPr>
                      <w:rPr>
                        <w:rFonts w:ascii="Cambria Math" w:hAnsi="Cambria Math"/>
                        <w:i/>
                        <w:iCs/>
                        <w:vertAlign w:val="subscript"/>
                      </w:rPr>
                    </m:ctrlPr>
                  </m:sSupPr>
                  <m:e>
                    <m:r>
                      <w:rPr>
                        <w:rFonts w:ascii="Cambria Math" w:hAnsi="Cambria Math"/>
                        <w:vertAlign w:val="subscript"/>
                      </w:rPr>
                      <m:t>h</m:t>
                    </m:r>
                  </m:e>
                  <m:sup>
                    <m:r>
                      <w:rPr>
                        <w:rFonts w:ascii="Cambria Math" w:hAnsi="Cambria Math"/>
                        <w:vertAlign w:val="subscript"/>
                      </w:rPr>
                      <m:t>'</m:t>
                    </m:r>
                  </m:sup>
                </m:sSup>
              </m:sub>
            </m:sSub>
            <m:d>
              <m:dPr>
                <m:ctrlPr>
                  <w:rPr>
                    <w:rFonts w:ascii="Cambria Math" w:hAnsi="Cambria Math"/>
                    <w:i/>
                    <w:iCs/>
                  </w:rPr>
                </m:ctrlPr>
              </m:dPr>
              <m:e>
                <m:r>
                  <w:rPr>
                    <w:rFonts w:ascii="Cambria Math" w:hAnsi="Cambria Math"/>
                  </w:rPr>
                  <m:t>t</m:t>
                </m:r>
              </m:e>
            </m:d>
            <m:r>
              <w:rPr>
                <w:rFonts w:ascii="Cambria Math" w:hAnsi="Cambria Math"/>
              </w:rPr>
              <m:t xml:space="preserve">,  ∀ </m:t>
            </m:r>
            <m:sSub>
              <m:sSubPr>
                <m:ctrlPr>
                  <w:rPr>
                    <w:rFonts w:ascii="Cambria Math" w:hAnsi="Cambria Math"/>
                    <w:i/>
                    <w:iCs/>
                    <w:vertAlign w:val="subscript"/>
                  </w:rPr>
                </m:ctrlPr>
              </m:sSubPr>
              <m:e>
                <m:r>
                  <w:rPr>
                    <w:rFonts w:ascii="Cambria Math" w:hAnsi="Cambria Math"/>
                    <w:vertAlign w:val="subscript"/>
                  </w:rPr>
                  <m:t>d</m:t>
                </m:r>
              </m:e>
              <m:sub>
                <m:r>
                  <w:rPr>
                    <w:rFonts w:ascii="Cambria Math" w:hAnsi="Cambria Math"/>
                    <w:vertAlign w:val="subscript"/>
                  </w:rPr>
                  <m:t>h,</m:t>
                </m:r>
                <m:sSup>
                  <m:sSupPr>
                    <m:ctrlPr>
                      <w:rPr>
                        <w:rFonts w:ascii="Cambria Math" w:hAnsi="Cambria Math"/>
                        <w:i/>
                        <w:iCs/>
                        <w:vertAlign w:val="subscript"/>
                      </w:rPr>
                    </m:ctrlPr>
                  </m:sSupPr>
                  <m:e>
                    <m:r>
                      <w:rPr>
                        <w:rFonts w:ascii="Cambria Math" w:hAnsi="Cambria Math"/>
                        <w:vertAlign w:val="subscript"/>
                      </w:rPr>
                      <m:t>h</m:t>
                    </m:r>
                  </m:e>
                  <m:sup>
                    <m:r>
                      <w:rPr>
                        <w:rFonts w:ascii="Cambria Math" w:hAnsi="Cambria Math"/>
                        <w:vertAlign w:val="subscript"/>
                      </w:rPr>
                      <m:t>'</m:t>
                    </m:r>
                  </m:sup>
                </m:sSup>
              </m:sub>
            </m:sSub>
            <m:d>
              <m:dPr>
                <m:ctrlPr>
                  <w:rPr>
                    <w:rFonts w:ascii="Cambria Math" w:hAnsi="Cambria Math"/>
                    <w:i/>
                    <w:iCs/>
                  </w:rPr>
                </m:ctrlPr>
              </m:dPr>
              <m:e>
                <m:r>
                  <w:rPr>
                    <w:rFonts w:ascii="Cambria Math" w:hAnsi="Cambria Math"/>
                  </w:rPr>
                  <m:t>t</m:t>
                </m:r>
              </m:e>
            </m:d>
            <m:r>
              <m:rPr>
                <m:sty m:val="p"/>
              </m:rPr>
              <w:rPr>
                <w:rFonts w:ascii="Cambria Math" w:eastAsiaTheme="minorEastAsia" w:hAnsi="Cambria Math"/>
              </w:rPr>
              <m:t>&lt;0</m:t>
            </m:r>
          </m:e>
        </m:d>
      </m:oMath>
      <w:r w:rsidR="00A21E95">
        <w:rPr>
          <w:rFonts w:eastAsiaTheme="minorEastAsia"/>
          <w:iCs/>
        </w:rPr>
        <w:t>.</w:t>
      </w:r>
    </w:p>
    <w:p w14:paraId="46ACE87E" w14:textId="77777777" w:rsidR="00A21E95" w:rsidRDefault="00A21E95" w:rsidP="00A21E95"/>
    <w:p w14:paraId="725FF779" w14:textId="77777777" w:rsidR="00A21E95" w:rsidRDefault="00A21E95" w:rsidP="00A21E95">
      <w:pPr>
        <w:pStyle w:val="Heading3"/>
      </w:pPr>
      <w:r>
        <w:t xml:space="preserve">Step 3: </w:t>
      </w:r>
      <w:r w:rsidRPr="00536E39">
        <w:t>Calculate “weighting</w:t>
      </w:r>
      <w:r>
        <w:t>s</w:t>
      </w:r>
      <w:r w:rsidRPr="00536E39">
        <w:t>” based on distance to “closest neighbours”</w:t>
      </w:r>
    </w:p>
    <w:p w14:paraId="66A5C4A8" w14:textId="77777777" w:rsidR="00A21E95" w:rsidRDefault="00A21E95" w:rsidP="00A21E95">
      <w:r>
        <w:t xml:space="preserve">The budget shares weighting </w:t>
      </w:r>
      <w:proofErr w:type="spellStart"/>
      <w:proofErr w:type="gramStart"/>
      <w:r w:rsidRPr="00536E39">
        <w:rPr>
          <w:i/>
          <w:iCs/>
        </w:rPr>
        <w:t>w</w:t>
      </w:r>
      <w:r w:rsidRPr="00536E39">
        <w:rPr>
          <w:i/>
          <w:iCs/>
          <w:vertAlign w:val="subscript"/>
        </w:rPr>
        <w:t>h,hl</w:t>
      </w:r>
      <w:proofErr w:type="spellEnd"/>
      <w:proofErr w:type="gramEnd"/>
      <w:r w:rsidRPr="00536E39">
        <w:rPr>
          <w:i/>
          <w:iCs/>
        </w:rPr>
        <w:t>(t)</w:t>
      </w:r>
      <w:r>
        <w:t xml:space="preserve"> could be calculated in different ways as a function of the distance. In this paper we adopt a simple linear approach, where:</w:t>
      </w:r>
    </w:p>
    <w:p w14:paraId="007649DC" w14:textId="77777777" w:rsidR="00A21E95" w:rsidRPr="00536E39" w:rsidRDefault="00C0576D" w:rsidP="00A21E95">
      <m:oMathPara>
        <m:oMath>
          <m:sSub>
            <m:sSubPr>
              <m:ctrlPr>
                <w:rPr>
                  <w:rFonts w:ascii="Cambria Math" w:hAnsi="Cambria Math"/>
                  <w:i/>
                  <w:iCs/>
                  <w:vertAlign w:val="subscript"/>
                </w:rPr>
              </m:ctrlPr>
            </m:sSubPr>
            <m:e>
              <m:r>
                <w:rPr>
                  <w:rFonts w:ascii="Cambria Math" w:hAnsi="Cambria Math"/>
                  <w:vertAlign w:val="subscript"/>
                </w:rPr>
                <m:t>w</m:t>
              </m:r>
            </m:e>
            <m:sub>
              <m:r>
                <w:rPr>
                  <w:rFonts w:ascii="Cambria Math" w:hAnsi="Cambria Math"/>
                  <w:vertAlign w:val="subscript"/>
                </w:rPr>
                <m:t>h,hl</m:t>
              </m:r>
            </m:sub>
          </m:sSub>
          <m:d>
            <m:dPr>
              <m:ctrlPr>
                <w:rPr>
                  <w:rFonts w:ascii="Cambria Math" w:hAnsi="Cambria Math"/>
                  <w:i/>
                  <w:iCs/>
                  <w:vertAlign w:val="subscript"/>
                </w:rPr>
              </m:ctrlPr>
            </m:dPr>
            <m:e>
              <m:r>
                <w:rPr>
                  <w:rFonts w:ascii="Cambria Math" w:hAnsi="Cambria Math"/>
                  <w:vertAlign w:val="subscript"/>
                </w:rPr>
                <m:t>t</m:t>
              </m:r>
            </m:e>
          </m:d>
          <m:r>
            <w:rPr>
              <w:rFonts w:ascii="Cambria Math" w:hAnsi="Cambria Math"/>
              <w:vertAlign w:val="subscript"/>
            </w:rPr>
            <m:t>=</m:t>
          </m:r>
          <m:f>
            <m:fPr>
              <m:ctrlPr>
                <w:rPr>
                  <w:rFonts w:ascii="Cambria Math" w:hAnsi="Cambria Math"/>
                  <w:i/>
                  <w:iCs/>
                  <w:vertAlign w:val="subscript"/>
                </w:rPr>
              </m:ctrlPr>
            </m:fPr>
            <m:num>
              <m:sSub>
                <m:sSubPr>
                  <m:ctrlPr>
                    <w:rPr>
                      <w:rFonts w:ascii="Cambria Math" w:hAnsi="Cambria Math"/>
                      <w:i/>
                      <w:iCs/>
                      <w:vertAlign w:val="subscript"/>
                    </w:rPr>
                  </m:ctrlPr>
                </m:sSubPr>
                <m:e>
                  <m:r>
                    <w:rPr>
                      <w:rFonts w:ascii="Cambria Math" w:hAnsi="Cambria Math"/>
                      <w:vertAlign w:val="subscript"/>
                    </w:rPr>
                    <m:t>d</m:t>
                  </m:r>
                </m:e>
                <m:sub>
                  <m:r>
                    <w:rPr>
                      <w:rFonts w:ascii="Cambria Math" w:hAnsi="Cambria Math"/>
                      <w:vertAlign w:val="subscript"/>
                    </w:rPr>
                    <m:t>h,hu</m:t>
                  </m:r>
                </m:sub>
              </m:sSub>
              <m:d>
                <m:dPr>
                  <m:ctrlPr>
                    <w:rPr>
                      <w:rFonts w:ascii="Cambria Math" w:hAnsi="Cambria Math"/>
                      <w:i/>
                      <w:iCs/>
                    </w:rPr>
                  </m:ctrlPr>
                </m:dPr>
                <m:e>
                  <m:r>
                    <w:rPr>
                      <w:rFonts w:ascii="Cambria Math" w:hAnsi="Cambria Math"/>
                    </w:rPr>
                    <m:t>t</m:t>
                  </m:r>
                </m:e>
              </m:d>
            </m:num>
            <m:den>
              <m:sSub>
                <m:sSubPr>
                  <m:ctrlPr>
                    <w:rPr>
                      <w:rFonts w:ascii="Cambria Math" w:hAnsi="Cambria Math"/>
                      <w:i/>
                      <w:iCs/>
                      <w:vertAlign w:val="subscript"/>
                    </w:rPr>
                  </m:ctrlPr>
                </m:sSubPr>
                <m:e>
                  <m:r>
                    <w:rPr>
                      <w:rFonts w:ascii="Cambria Math" w:hAnsi="Cambria Math"/>
                      <w:vertAlign w:val="subscript"/>
                    </w:rPr>
                    <m:t>d</m:t>
                  </m:r>
                </m:e>
                <m:sub>
                  <m:r>
                    <w:rPr>
                      <w:rFonts w:ascii="Cambria Math" w:hAnsi="Cambria Math"/>
                      <w:vertAlign w:val="subscript"/>
                    </w:rPr>
                    <m:t>h,hl</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vertAlign w:val="subscript"/>
                    </w:rPr>
                  </m:ctrlPr>
                </m:sSubPr>
                <m:e>
                  <m:r>
                    <w:rPr>
                      <w:rFonts w:ascii="Cambria Math" w:hAnsi="Cambria Math"/>
                      <w:vertAlign w:val="subscript"/>
                    </w:rPr>
                    <m:t>d</m:t>
                  </m:r>
                </m:e>
                <m:sub>
                  <m:r>
                    <w:rPr>
                      <w:rFonts w:ascii="Cambria Math" w:hAnsi="Cambria Math"/>
                      <w:vertAlign w:val="subscript"/>
                    </w:rPr>
                    <m:t>h,hu</m:t>
                  </m:r>
                </m:sub>
              </m:sSub>
              <m:d>
                <m:dPr>
                  <m:ctrlPr>
                    <w:rPr>
                      <w:rFonts w:ascii="Cambria Math" w:hAnsi="Cambria Math"/>
                      <w:i/>
                      <w:iCs/>
                    </w:rPr>
                  </m:ctrlPr>
                </m:dPr>
                <m:e>
                  <m:r>
                    <w:rPr>
                      <w:rFonts w:ascii="Cambria Math" w:hAnsi="Cambria Math"/>
                    </w:rPr>
                    <m:t>t</m:t>
                  </m:r>
                </m:e>
              </m:d>
            </m:den>
          </m:f>
          <m:r>
            <w:rPr>
              <w:rFonts w:ascii="Cambria Math" w:hAnsi="Cambria Math"/>
              <w:vertAlign w:val="subscript"/>
            </w:rPr>
            <m:t>,</m:t>
          </m:r>
        </m:oMath>
      </m:oMathPara>
    </w:p>
    <w:p w14:paraId="54FC34D1" w14:textId="77777777" w:rsidR="00A21E95" w:rsidRDefault="00A21E95" w:rsidP="00A21E95">
      <w:r>
        <w:t xml:space="preserve">and </w:t>
      </w:r>
    </w:p>
    <w:p w14:paraId="6A832318" w14:textId="77777777" w:rsidR="00A21E95" w:rsidRPr="00536E39" w:rsidRDefault="00C0576D" w:rsidP="00A21E95">
      <w:pPr>
        <w:jc w:val="center"/>
      </w:pPr>
      <m:oMath>
        <m:sSub>
          <m:sSubPr>
            <m:ctrlPr>
              <w:rPr>
                <w:rFonts w:ascii="Cambria Math" w:hAnsi="Cambria Math"/>
                <w:i/>
                <w:iCs/>
                <w:vertAlign w:val="subscript"/>
              </w:rPr>
            </m:ctrlPr>
          </m:sSubPr>
          <m:e>
            <m:r>
              <w:rPr>
                <w:rFonts w:ascii="Cambria Math" w:hAnsi="Cambria Math"/>
                <w:vertAlign w:val="subscript"/>
              </w:rPr>
              <m:t>w</m:t>
            </m:r>
          </m:e>
          <m:sub>
            <m:r>
              <w:rPr>
                <w:rFonts w:ascii="Cambria Math" w:hAnsi="Cambria Math"/>
                <w:vertAlign w:val="subscript"/>
              </w:rPr>
              <m:t>h,hu</m:t>
            </m:r>
          </m:sub>
        </m:sSub>
        <m:d>
          <m:dPr>
            <m:ctrlPr>
              <w:rPr>
                <w:rFonts w:ascii="Cambria Math" w:hAnsi="Cambria Math"/>
                <w:i/>
                <w:iCs/>
                <w:vertAlign w:val="subscript"/>
              </w:rPr>
            </m:ctrlPr>
          </m:dPr>
          <m:e>
            <m:r>
              <w:rPr>
                <w:rFonts w:ascii="Cambria Math" w:hAnsi="Cambria Math"/>
                <w:vertAlign w:val="subscript"/>
              </w:rPr>
              <m:t>t</m:t>
            </m:r>
          </m:e>
        </m:d>
        <m:r>
          <w:rPr>
            <w:rFonts w:ascii="Cambria Math" w:hAnsi="Cambria Math"/>
            <w:vertAlign w:val="subscript"/>
          </w:rPr>
          <m:t>=1-</m:t>
        </m:r>
        <m:sSub>
          <m:sSubPr>
            <m:ctrlPr>
              <w:rPr>
                <w:rFonts w:ascii="Cambria Math" w:hAnsi="Cambria Math"/>
                <w:i/>
                <w:iCs/>
                <w:vertAlign w:val="subscript"/>
              </w:rPr>
            </m:ctrlPr>
          </m:sSubPr>
          <m:e>
            <m:r>
              <w:rPr>
                <w:rFonts w:ascii="Cambria Math" w:hAnsi="Cambria Math"/>
                <w:vertAlign w:val="subscript"/>
              </w:rPr>
              <m:t>w</m:t>
            </m:r>
          </m:e>
          <m:sub>
            <m:r>
              <w:rPr>
                <w:rFonts w:ascii="Cambria Math" w:hAnsi="Cambria Math"/>
                <w:vertAlign w:val="subscript"/>
              </w:rPr>
              <m:t>h,hl</m:t>
            </m:r>
          </m:sub>
        </m:sSub>
        <m:d>
          <m:dPr>
            <m:ctrlPr>
              <w:rPr>
                <w:rFonts w:ascii="Cambria Math" w:hAnsi="Cambria Math"/>
                <w:i/>
                <w:iCs/>
                <w:vertAlign w:val="subscript"/>
              </w:rPr>
            </m:ctrlPr>
          </m:dPr>
          <m:e>
            <m:r>
              <w:rPr>
                <w:rFonts w:ascii="Cambria Math" w:hAnsi="Cambria Math"/>
                <w:vertAlign w:val="subscript"/>
              </w:rPr>
              <m:t>t</m:t>
            </m:r>
          </m:e>
        </m:d>
      </m:oMath>
      <w:r w:rsidR="00A21E95">
        <w:rPr>
          <w:rFonts w:eastAsiaTheme="minorEastAsia"/>
          <w:iCs/>
          <w:vertAlign w:val="subscript"/>
        </w:rPr>
        <w:t>.</w:t>
      </w:r>
    </w:p>
    <w:p w14:paraId="43E64DF9" w14:textId="77777777" w:rsidR="00A21E95" w:rsidRDefault="00A21E95" w:rsidP="00A21E95">
      <w:pPr>
        <w:pStyle w:val="Heading3"/>
      </w:pPr>
      <w:r>
        <w:t xml:space="preserve">Step 4: </w:t>
      </w:r>
      <w:r w:rsidRPr="001565AB">
        <w:t>Calculate new shares based on calculated “weightings”</w:t>
      </w:r>
    </w:p>
    <w:p w14:paraId="754A25C4" w14:textId="77777777" w:rsidR="00A21E95" w:rsidRDefault="00A21E95" w:rsidP="00A21E95">
      <w:r>
        <w:t xml:space="preserve">The new budget shares </w:t>
      </w:r>
      <w:proofErr w:type="spellStart"/>
      <w:proofErr w:type="gramStart"/>
      <w:r w:rsidRPr="00B26E01">
        <w:rPr>
          <w:i/>
          <w:iCs/>
        </w:rPr>
        <w:t>s</w:t>
      </w:r>
      <w:r w:rsidRPr="00B26E01">
        <w:rPr>
          <w:i/>
          <w:iCs/>
          <w:vertAlign w:val="subscript"/>
        </w:rPr>
        <w:t>h,c</w:t>
      </w:r>
      <w:proofErr w:type="spellEnd"/>
      <w:proofErr w:type="gramEnd"/>
      <w:r w:rsidRPr="00B26E01">
        <w:rPr>
          <w:i/>
          <w:iCs/>
        </w:rPr>
        <w:t>(t</w:t>
      </w:r>
      <w:r>
        <w:t xml:space="preserve">) for each household decile group </w:t>
      </w:r>
      <w:r>
        <w:rPr>
          <w:i/>
          <w:iCs/>
        </w:rPr>
        <w:t xml:space="preserve">h </w:t>
      </w:r>
      <w:r>
        <w:t xml:space="preserve">for each commodity </w:t>
      </w:r>
      <w:r w:rsidRPr="00B26E01">
        <w:rPr>
          <w:i/>
          <w:iCs/>
        </w:rPr>
        <w:t>c</w:t>
      </w:r>
      <w:r>
        <w:t xml:space="preserve"> is then simply calculated as follows:</w:t>
      </w:r>
    </w:p>
    <w:p w14:paraId="3897C804" w14:textId="77777777" w:rsidR="00A21E95" w:rsidRDefault="00C0576D" w:rsidP="00A21E95">
      <m:oMathPara>
        <m:oMath>
          <m:sSub>
            <m:sSubPr>
              <m:ctrlPr>
                <w:rPr>
                  <w:rFonts w:ascii="Cambria Math" w:hAnsi="Cambria Math"/>
                  <w:i/>
                  <w:iCs/>
                  <w:vertAlign w:val="subscript"/>
                </w:rPr>
              </m:ctrlPr>
            </m:sSubPr>
            <m:e>
              <m:r>
                <w:rPr>
                  <w:rFonts w:ascii="Cambria Math" w:hAnsi="Cambria Math"/>
                  <w:vertAlign w:val="subscript"/>
                </w:rPr>
                <m:t>s</m:t>
              </m:r>
            </m:e>
            <m:sub>
              <m:r>
                <w:rPr>
                  <w:rFonts w:ascii="Cambria Math" w:hAnsi="Cambria Math"/>
                  <w:vertAlign w:val="subscript"/>
                </w:rPr>
                <m:t>h,c</m:t>
              </m:r>
            </m:sub>
          </m:sSub>
          <m:d>
            <m:dPr>
              <m:ctrlPr>
                <w:rPr>
                  <w:rFonts w:ascii="Cambria Math" w:hAnsi="Cambria Math"/>
                  <w:i/>
                  <w:iCs/>
                  <w:vertAlign w:val="subscript"/>
                </w:rPr>
              </m:ctrlPr>
            </m:dPr>
            <m:e>
              <m:r>
                <w:rPr>
                  <w:rFonts w:ascii="Cambria Math" w:hAnsi="Cambria Math"/>
                  <w:vertAlign w:val="subscript"/>
                </w:rPr>
                <m:t>t</m:t>
              </m:r>
            </m:e>
          </m:d>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w</m:t>
              </m:r>
            </m:e>
            <m:sub>
              <m:r>
                <w:rPr>
                  <w:rFonts w:ascii="Cambria Math" w:hAnsi="Cambria Math"/>
                  <w:vertAlign w:val="subscript"/>
                </w:rPr>
                <m:t>h,hl</m:t>
              </m:r>
            </m:sub>
          </m:sSub>
          <m:d>
            <m:dPr>
              <m:ctrlPr>
                <w:rPr>
                  <w:rFonts w:ascii="Cambria Math" w:hAnsi="Cambria Math"/>
                  <w:i/>
                  <w:iCs/>
                  <w:vertAlign w:val="subscript"/>
                </w:rPr>
              </m:ctrlPr>
            </m:dPr>
            <m:e>
              <m:r>
                <w:rPr>
                  <w:rFonts w:ascii="Cambria Math" w:hAnsi="Cambria Math"/>
                  <w:vertAlign w:val="subscript"/>
                </w:rPr>
                <m:t>t</m:t>
              </m:r>
            </m:e>
          </m:d>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s</m:t>
              </m:r>
            </m:e>
            <m:sub>
              <m:r>
                <w:rPr>
                  <w:rFonts w:ascii="Cambria Math" w:hAnsi="Cambria Math"/>
                  <w:vertAlign w:val="subscript"/>
                </w:rPr>
                <m:t>hl,c</m:t>
              </m:r>
            </m:sub>
          </m:sSub>
          <m:d>
            <m:dPr>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0</m:t>
                  </m:r>
                </m:sub>
              </m:sSub>
            </m:e>
          </m:d>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w</m:t>
              </m:r>
            </m:e>
            <m:sub>
              <m:r>
                <w:rPr>
                  <w:rFonts w:ascii="Cambria Math" w:hAnsi="Cambria Math"/>
                  <w:vertAlign w:val="subscript"/>
                </w:rPr>
                <m:t>h,hu</m:t>
              </m:r>
            </m:sub>
          </m:sSub>
          <m:d>
            <m:dPr>
              <m:ctrlPr>
                <w:rPr>
                  <w:rFonts w:ascii="Cambria Math" w:hAnsi="Cambria Math"/>
                  <w:i/>
                  <w:iCs/>
                  <w:vertAlign w:val="subscript"/>
                </w:rPr>
              </m:ctrlPr>
            </m:dPr>
            <m:e>
              <m:r>
                <w:rPr>
                  <w:rFonts w:ascii="Cambria Math" w:hAnsi="Cambria Math"/>
                  <w:vertAlign w:val="subscript"/>
                </w:rPr>
                <m:t>t</m:t>
              </m:r>
            </m:e>
          </m:d>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s</m:t>
              </m:r>
            </m:e>
            <m:sub>
              <m:r>
                <w:rPr>
                  <w:rFonts w:ascii="Cambria Math" w:hAnsi="Cambria Math"/>
                  <w:vertAlign w:val="subscript"/>
                </w:rPr>
                <m:t>hu,c</m:t>
              </m:r>
            </m:sub>
          </m:sSub>
          <m:d>
            <m:dPr>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0</m:t>
                  </m:r>
                </m:sub>
              </m:sSub>
            </m:e>
          </m:d>
          <m:r>
            <w:rPr>
              <w:rFonts w:ascii="Cambria Math" w:hAnsi="Cambria Math"/>
              <w:vertAlign w:val="subscript"/>
            </w:rPr>
            <m:t>,</m:t>
          </m:r>
          <m:r>
            <w:rPr>
              <w:rFonts w:ascii="Cambria Math" w:hAnsi="Cambria Math"/>
            </w:rPr>
            <m:t>∀</m:t>
          </m:r>
          <m:r>
            <w:rPr>
              <w:rFonts w:ascii="Cambria Math" w:hAnsi="Cambria Math"/>
              <w:vertAlign w:val="subscript"/>
            </w:rPr>
            <m:t xml:space="preserve"> </m:t>
          </m:r>
          <m:sSub>
            <m:sSubPr>
              <m:ctrlPr>
                <w:rPr>
                  <w:rFonts w:ascii="Cambria Math" w:hAnsi="Cambria Math"/>
                  <w:i/>
                  <w:iCs/>
                </w:rPr>
              </m:ctrlPr>
            </m:sSubPr>
            <m:e>
              <m:r>
                <w:rPr>
                  <w:rFonts w:ascii="Cambria Math" w:hAnsi="Cambria Math"/>
                </w:rPr>
                <m:t>y</m:t>
              </m:r>
            </m:e>
            <m:sub>
              <m:r>
                <w:rPr>
                  <w:rFonts w:ascii="Cambria Math" w:hAnsi="Cambria Math"/>
                </w:rPr>
                <m:t>h</m:t>
              </m:r>
            </m:sub>
          </m:sSub>
          <m:d>
            <m:dPr>
              <m:ctrlPr>
                <w:rPr>
                  <w:rFonts w:ascii="Cambria Math" w:hAnsi="Cambria Math"/>
                  <w:i/>
                  <w:iCs/>
                </w:rPr>
              </m:ctrlPr>
            </m:dPr>
            <m:e>
              <m:r>
                <w:rPr>
                  <w:rFonts w:ascii="Cambria Math" w:hAnsi="Cambria Math"/>
                </w:rPr>
                <m:t>t</m:t>
              </m:r>
            </m:e>
          </m:d>
          <m:r>
            <w:rPr>
              <w:rFonts w:ascii="Cambria Math" w:hAnsi="Cambria Math"/>
            </w:rPr>
            <m:t xml:space="preserve">&lt; </m:t>
          </m:r>
          <m:sSub>
            <m:sSubPr>
              <m:ctrlPr>
                <w:rPr>
                  <w:rFonts w:ascii="Cambria Math" w:hAnsi="Cambria Math"/>
                  <w:i/>
                  <w:iCs/>
                </w:rPr>
              </m:ctrlPr>
            </m:sSubPr>
            <m:e>
              <m:r>
                <w:rPr>
                  <w:rFonts w:ascii="Cambria Math" w:hAnsi="Cambria Math"/>
                </w:rPr>
                <m:t>y</m:t>
              </m:r>
            </m:e>
            <m:sub>
              <m:r>
                <w:rPr>
                  <w:rFonts w:ascii="Cambria Math" w:hAnsi="Cambria Math"/>
                </w:rPr>
                <m:t>10</m:t>
              </m:r>
            </m:sub>
          </m:sSub>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0</m:t>
                  </m:r>
                </m:sub>
              </m:sSub>
            </m:e>
          </m:d>
          <m:r>
            <w:rPr>
              <w:rFonts w:ascii="Cambria Math" w:hAnsi="Cambria Math"/>
              <w:vertAlign w:val="subscript"/>
            </w:rPr>
            <m:t xml:space="preserve">. </m:t>
          </m:r>
        </m:oMath>
      </m:oMathPara>
    </w:p>
    <w:p w14:paraId="31E10604" w14:textId="77777777" w:rsidR="00A21E95" w:rsidRDefault="00A21E95" w:rsidP="00A21E95">
      <w:r>
        <w:t xml:space="preserve">If the income for group </w:t>
      </w:r>
      <w:r w:rsidRPr="00536E39">
        <w:rPr>
          <w:i/>
          <w:iCs/>
        </w:rPr>
        <w:t>h</w:t>
      </w:r>
      <w:r>
        <w:t xml:space="preserve"> is greater or equal to the highest income decile income level, which here is the 10</w:t>
      </w:r>
      <w:r w:rsidRPr="00470E1C">
        <w:rPr>
          <w:vertAlign w:val="superscript"/>
        </w:rPr>
        <w:t>th</w:t>
      </w:r>
      <w:r>
        <w:t xml:space="preserve"> income decile, then this group will only have a closest </w:t>
      </w:r>
      <w:r>
        <w:rPr>
          <w:i/>
          <w:iCs/>
        </w:rPr>
        <w:t xml:space="preserve">lower </w:t>
      </w:r>
      <w:r>
        <w:t xml:space="preserve">neighbour, and no </w:t>
      </w:r>
      <w:r>
        <w:rPr>
          <w:i/>
          <w:iCs/>
        </w:rPr>
        <w:t>upper</w:t>
      </w:r>
      <w:r>
        <w:t xml:space="preserve"> neighbour, and will take on the budget shares of the highest income decile group,</w:t>
      </w:r>
    </w:p>
    <w:p w14:paraId="20B082A6" w14:textId="77777777" w:rsidR="00A21E95" w:rsidRPr="00536E39" w:rsidRDefault="00C0576D" w:rsidP="00A21E95">
      <m:oMathPara>
        <m:oMath>
          <m:sSub>
            <m:sSubPr>
              <m:ctrlPr>
                <w:rPr>
                  <w:rFonts w:ascii="Cambria Math" w:hAnsi="Cambria Math"/>
                  <w:i/>
                  <w:iCs/>
                  <w:vertAlign w:val="subscript"/>
                </w:rPr>
              </m:ctrlPr>
            </m:sSubPr>
            <m:e>
              <m:r>
                <w:rPr>
                  <w:rFonts w:ascii="Cambria Math" w:hAnsi="Cambria Math"/>
                  <w:vertAlign w:val="subscript"/>
                </w:rPr>
                <m:t>s</m:t>
              </m:r>
            </m:e>
            <m:sub>
              <m:r>
                <w:rPr>
                  <w:rFonts w:ascii="Cambria Math" w:hAnsi="Cambria Math"/>
                  <w:vertAlign w:val="subscript"/>
                </w:rPr>
                <m:t>h,c</m:t>
              </m:r>
            </m:sub>
          </m:sSub>
          <m:d>
            <m:dPr>
              <m:ctrlPr>
                <w:rPr>
                  <w:rFonts w:ascii="Cambria Math" w:hAnsi="Cambria Math"/>
                  <w:i/>
                  <w:iCs/>
                  <w:vertAlign w:val="subscript"/>
                </w:rPr>
              </m:ctrlPr>
            </m:dPr>
            <m:e>
              <m:r>
                <w:rPr>
                  <w:rFonts w:ascii="Cambria Math" w:hAnsi="Cambria Math"/>
                  <w:vertAlign w:val="subscript"/>
                </w:rPr>
                <m:t>t</m:t>
              </m:r>
            </m:e>
          </m:d>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s</m:t>
              </m:r>
            </m:e>
            <m:sub>
              <m:r>
                <w:rPr>
                  <w:rFonts w:ascii="Cambria Math" w:hAnsi="Cambria Math"/>
                  <w:vertAlign w:val="subscript"/>
                </w:rPr>
                <m:t>10,c</m:t>
              </m:r>
            </m:sub>
          </m:sSub>
          <m:d>
            <m:dPr>
              <m:ctrlPr>
                <w:rPr>
                  <w:rFonts w:ascii="Cambria Math" w:hAnsi="Cambria Math"/>
                  <w:i/>
                  <w:iCs/>
                  <w:vertAlign w:val="subscript"/>
                </w:rPr>
              </m:ctrlPr>
            </m:dPr>
            <m:e>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0</m:t>
                  </m:r>
                </m:sub>
              </m:sSub>
            </m:e>
          </m:d>
          <m:r>
            <w:rPr>
              <w:rFonts w:ascii="Cambria Math" w:hAnsi="Cambria Math"/>
              <w:vertAlign w:val="subscript"/>
            </w:rPr>
            <m:t>,</m:t>
          </m:r>
          <m:r>
            <w:rPr>
              <w:rFonts w:ascii="Cambria Math" w:hAnsi="Cambria Math"/>
            </w:rPr>
            <m:t>∀</m:t>
          </m:r>
          <m:r>
            <w:rPr>
              <w:rFonts w:ascii="Cambria Math" w:hAnsi="Cambria Math"/>
              <w:vertAlign w:val="subscript"/>
            </w:rPr>
            <m:t xml:space="preserve"> </m:t>
          </m:r>
          <m:sSub>
            <m:sSubPr>
              <m:ctrlPr>
                <w:rPr>
                  <w:rFonts w:ascii="Cambria Math" w:hAnsi="Cambria Math"/>
                  <w:i/>
                  <w:iCs/>
                </w:rPr>
              </m:ctrlPr>
            </m:sSubPr>
            <m:e>
              <m:r>
                <w:rPr>
                  <w:rFonts w:ascii="Cambria Math" w:hAnsi="Cambria Math"/>
                </w:rPr>
                <m:t>y</m:t>
              </m:r>
            </m:e>
            <m:sub>
              <m:r>
                <w:rPr>
                  <w:rFonts w:ascii="Cambria Math" w:hAnsi="Cambria Math"/>
                </w:rPr>
                <m:t>h</m:t>
              </m:r>
            </m:sub>
          </m:sSub>
          <m:d>
            <m:dPr>
              <m:ctrlPr>
                <w:rPr>
                  <w:rFonts w:ascii="Cambria Math" w:hAnsi="Cambria Math"/>
                  <w:i/>
                  <w:iCs/>
                </w:rPr>
              </m:ctrlPr>
            </m:dPr>
            <m:e>
              <m:r>
                <w:rPr>
                  <w:rFonts w:ascii="Cambria Math" w:hAnsi="Cambria Math"/>
                </w:rPr>
                <m:t>t</m:t>
              </m:r>
            </m:e>
          </m:d>
          <m:r>
            <m:rPr>
              <m:sty m:val="p"/>
            </m:rPr>
            <w:rPr>
              <w:rFonts w:ascii="Cambria Math" w:eastAsiaTheme="minorEastAsia" w:hAnsi="Cambria Math"/>
            </w:rPr>
            <m:t>≥</m:t>
          </m:r>
          <m:r>
            <w:rPr>
              <w:rFonts w:ascii="Cambria Math" w:hAnsi="Cambria Math"/>
            </w:rPr>
            <m:t xml:space="preserve"> </m:t>
          </m:r>
          <m:sSub>
            <m:sSubPr>
              <m:ctrlPr>
                <w:rPr>
                  <w:rFonts w:ascii="Cambria Math" w:hAnsi="Cambria Math"/>
                  <w:i/>
                  <w:iCs/>
                </w:rPr>
              </m:ctrlPr>
            </m:sSubPr>
            <m:e>
              <m:r>
                <w:rPr>
                  <w:rFonts w:ascii="Cambria Math" w:hAnsi="Cambria Math"/>
                </w:rPr>
                <m:t>y</m:t>
              </m:r>
            </m:e>
            <m:sub>
              <m:r>
                <w:rPr>
                  <w:rFonts w:ascii="Cambria Math" w:hAnsi="Cambria Math"/>
                </w:rPr>
                <m:t>10</m:t>
              </m:r>
            </m:sub>
          </m:sSub>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0</m:t>
                  </m:r>
                </m:sub>
              </m:sSub>
            </m:e>
          </m:d>
          <m:r>
            <w:rPr>
              <w:rFonts w:ascii="Cambria Math" w:hAnsi="Cambria Math"/>
              <w:vertAlign w:val="subscript"/>
            </w:rPr>
            <m:t>.</m:t>
          </m:r>
        </m:oMath>
      </m:oMathPara>
    </w:p>
    <w:p w14:paraId="2E90E0D0" w14:textId="77777777" w:rsidR="00A21E95" w:rsidRDefault="00A21E95" w:rsidP="00A21E95">
      <w:r>
        <w:t>However, one could potentially improve things by including the budget shares of higher income groups as “templates” for the “distance” and “weighting” calculations. This is left for future work.</w:t>
      </w:r>
    </w:p>
    <w:p w14:paraId="2EB64B7E" w14:textId="5BF93F8A" w:rsidR="00D71A32" w:rsidRDefault="00605DF0" w:rsidP="000E01D8">
      <w:pPr>
        <w:pStyle w:val="Heading1"/>
        <w:numPr>
          <w:ilvl w:val="0"/>
          <w:numId w:val="2"/>
        </w:numPr>
        <w:spacing w:line="276" w:lineRule="auto"/>
      </w:pPr>
      <w:r>
        <w:lastRenderedPageBreak/>
        <w:t>Impact of new approach</w:t>
      </w:r>
    </w:p>
    <w:p w14:paraId="540F681C" w14:textId="6021C1E6" w:rsidR="00605DF0" w:rsidRDefault="00605DF0" w:rsidP="00605DF0">
      <w:r>
        <w:t xml:space="preserve">This section assesses the impact of the new approach to modelling household consumption in the CGE model. We compare two scenarios to quantify the impact of altering household consumption patterns over time. The scenarios are one in which the budget shares remain fixed over time (i.e. Reference) and the second in which they are adjusted </w:t>
      </w:r>
      <w:r w:rsidR="008F3A96">
        <w:t>to account for changes in real income</w:t>
      </w:r>
      <w:r w:rsidR="00066AA5">
        <w:t xml:space="preserve"> (</w:t>
      </w:r>
      <w:r>
        <w:t>i.e</w:t>
      </w:r>
      <w:r w:rsidR="00676952">
        <w:t>.</w:t>
      </w:r>
      <w:r>
        <w:t xml:space="preserve"> </w:t>
      </w:r>
      <w:proofErr w:type="spellStart"/>
      <w:r w:rsidR="00676952">
        <w:t>BudShrAdj</w:t>
      </w:r>
      <w:proofErr w:type="spellEnd"/>
      <w:r>
        <w:t xml:space="preserve">). </w:t>
      </w:r>
    </w:p>
    <w:p w14:paraId="6E68F9F6" w14:textId="5F3516FA" w:rsidR="00605DF0" w:rsidRDefault="00605DF0" w:rsidP="00605DF0">
      <w:r>
        <w:t>The model is run from 2012 to 2050 and scenario ‘Reference’ is treated as the reference case</w:t>
      </w:r>
      <w:r w:rsidR="00A26BCF">
        <w:t xml:space="preserve"> to which results from the </w:t>
      </w:r>
      <w:proofErr w:type="spellStart"/>
      <w:r w:rsidR="00A26BCF">
        <w:t>BudShrAdj</w:t>
      </w:r>
      <w:proofErr w:type="spellEnd"/>
      <w:r w:rsidR="00A26BCF">
        <w:t xml:space="preserve"> scenario is compared</w:t>
      </w:r>
      <w:r>
        <w:t xml:space="preserve">. The growth rate in the </w:t>
      </w:r>
      <w:r w:rsidR="00446453">
        <w:t>R</w:t>
      </w:r>
      <w:r>
        <w:t xml:space="preserve">eference </w:t>
      </w:r>
      <w:r w:rsidR="00446453">
        <w:t>scenario</w:t>
      </w:r>
      <w:r>
        <w:t xml:space="preserve"> is targeted to meet actual growth between 2012 and 2017, whilst growth between 2018 and 2050 are based on a combination of projections from the 2018 Medium-Term Policy Statement (National Treasury, 2018), October 2018 World Economic Outlook (IMF, 2018) and the Department of Energy’s planning </w:t>
      </w:r>
      <w:r w:rsidR="00446453">
        <w:t xml:space="preserve">average annual </w:t>
      </w:r>
      <w:r>
        <w:t xml:space="preserve">growth rate of ~3.0% to 2050. </w:t>
      </w:r>
    </w:p>
    <w:p w14:paraId="3D6D0DA9" w14:textId="43D87544" w:rsidR="00676952" w:rsidRDefault="00676952" w:rsidP="00605DF0">
      <w:r>
        <w:t xml:space="preserve">Exogenous assumptions are the same in </w:t>
      </w:r>
      <w:r w:rsidR="00A91EB5">
        <w:t>the Reference</w:t>
      </w:r>
      <w:r>
        <w:t xml:space="preserve"> </w:t>
      </w:r>
      <w:r w:rsidR="00A91EB5">
        <w:t xml:space="preserve">and </w:t>
      </w:r>
      <w:proofErr w:type="spellStart"/>
      <w:r w:rsidR="00A91EB5">
        <w:t>BudShrAdj</w:t>
      </w:r>
      <w:proofErr w:type="spellEnd"/>
      <w:r w:rsidR="00A91EB5">
        <w:t xml:space="preserve"> </w:t>
      </w:r>
      <w:r>
        <w:t xml:space="preserve">scenarios. </w:t>
      </w:r>
      <w:r w:rsidR="00605DF0">
        <w:t>The supply of labour is assumed to increase in line with population growth (~0.</w:t>
      </w:r>
      <w:r w:rsidR="007159AB">
        <w:t>89</w:t>
      </w:r>
      <w:r w:rsidR="00605DF0">
        <w:t>%, UNEP 2016), although upward sloping labour supply curves are assumed for all skill categories, given the long-term nature of the analysis</w:t>
      </w:r>
      <w:r w:rsidR="0015657F">
        <w:t>, which means that increases in wages resulting from higher labour demand increases the labour force participation rate</w:t>
      </w:r>
      <w:r w:rsidR="00605DF0">
        <w:t xml:space="preserve">. Government spending and foreign savings increase by 3% per annum, although the increase in foreign savings decreases over time as debt is repaid. Total factor productivity is adjusted in the </w:t>
      </w:r>
      <w:r>
        <w:t>R</w:t>
      </w:r>
      <w:r w:rsidR="00605DF0">
        <w:t xml:space="preserve">eference </w:t>
      </w:r>
      <w:r>
        <w:t>scenario</w:t>
      </w:r>
      <w:r w:rsidR="00605DF0">
        <w:t xml:space="preserve"> to reach the real GDP growth forecast</w:t>
      </w:r>
      <w:r w:rsidR="00DB0A1F">
        <w:t>s</w:t>
      </w:r>
      <w:r w:rsidR="00605DF0">
        <w:t xml:space="preserve"> discussed above. </w:t>
      </w:r>
    </w:p>
    <w:p w14:paraId="3C32C4D8" w14:textId="792DC64F" w:rsidR="00605DF0" w:rsidRDefault="00605DF0" w:rsidP="00605DF0">
      <w:r>
        <w:t>The macroeconomic closures included are aligned to the stylized facts for South Africa</w:t>
      </w:r>
      <w:r w:rsidR="00EC6072">
        <w:t>:</w:t>
      </w:r>
      <w:r>
        <w:t xml:space="preserve"> investment is driven by the total level of savings in the economy</w:t>
      </w:r>
      <w:r w:rsidR="00676952">
        <w:t xml:space="preserve"> although</w:t>
      </w:r>
      <w:r>
        <w:t xml:space="preserve"> investment and government expenditure </w:t>
      </w:r>
      <w:r w:rsidR="00676952">
        <w:t>as shares in total absorption are</w:t>
      </w:r>
      <w:r>
        <w:t xml:space="preserve"> </w:t>
      </w:r>
      <w:r w:rsidR="003E59CE">
        <w:t>fixed</w:t>
      </w:r>
      <w:r>
        <w:t xml:space="preserve"> </w:t>
      </w:r>
      <w:r w:rsidR="00676952">
        <w:t>(</w:t>
      </w:r>
      <w:r>
        <w:t>balanced savings-investment closure</w:t>
      </w:r>
      <w:r w:rsidR="00676952">
        <w:t>)</w:t>
      </w:r>
      <w:r>
        <w:t>; government savings are flexible</w:t>
      </w:r>
      <w:r w:rsidR="003E59CE">
        <w:t xml:space="preserve"> </w:t>
      </w:r>
      <w:r>
        <w:t>and no fiscal rule is imposed; the exchange rate is flexible</w:t>
      </w:r>
      <w:r w:rsidR="003E59CE">
        <w:t xml:space="preserve"> with the level of foreign savings (in foreign currency) rising by an exogenous growth rate which decreases over time as South Africa repays its foreign debt</w:t>
      </w:r>
      <w:r>
        <w:t xml:space="preserve">. Existing capital is assumed to be fully employed and activity specific. A least cost optimal energy pathway </w:t>
      </w:r>
      <w:r w:rsidR="00EC6072">
        <w:t xml:space="preserve">from the South African Times model </w:t>
      </w:r>
      <w:r>
        <w:t>is included.</w:t>
      </w:r>
      <w:r w:rsidR="00CA7296">
        <w:t xml:space="preserve"> The latter provides information on energy production and investment; and electricity prices.</w:t>
      </w:r>
    </w:p>
    <w:p w14:paraId="00B423EE" w14:textId="778F6A66" w:rsidR="003E59CE" w:rsidRDefault="003E59CE" w:rsidP="000E01D8">
      <w:pPr>
        <w:pStyle w:val="Heading2"/>
        <w:numPr>
          <w:ilvl w:val="1"/>
          <w:numId w:val="2"/>
        </w:numPr>
        <w:spacing w:after="120"/>
      </w:pPr>
      <w:r>
        <w:t xml:space="preserve">Changes in household </w:t>
      </w:r>
      <w:r w:rsidR="00F93C4A">
        <w:t xml:space="preserve">consumption </w:t>
      </w:r>
      <w:r>
        <w:t>expenditure</w:t>
      </w:r>
      <w:r w:rsidR="00855560">
        <w:t xml:space="preserve"> shares</w:t>
      </w:r>
    </w:p>
    <w:p w14:paraId="45B73ABF" w14:textId="64F3D4EF" w:rsidR="008F3F2F" w:rsidRDefault="00FE5600" w:rsidP="00F607FE">
      <w:r>
        <w:fldChar w:fldCharType="begin"/>
      </w:r>
      <w:r>
        <w:instrText xml:space="preserve"> REF _Ref33752778 \h </w:instrText>
      </w:r>
      <w:r>
        <w:fldChar w:fldCharType="separate"/>
      </w:r>
      <w:r w:rsidR="001D4331">
        <w:t xml:space="preserve">Figure </w:t>
      </w:r>
      <w:r w:rsidR="001D4331">
        <w:rPr>
          <w:noProof/>
        </w:rPr>
        <w:t>6</w:t>
      </w:r>
      <w:r>
        <w:fldChar w:fldCharType="end"/>
      </w:r>
      <w:r w:rsidR="00CD701D">
        <w:t xml:space="preserve"> presents </w:t>
      </w:r>
      <w:r w:rsidR="00A12F4D">
        <w:t xml:space="preserve">the consumption expenditure shares for all households in 2050 for the </w:t>
      </w:r>
      <w:proofErr w:type="spellStart"/>
      <w:r w:rsidR="00A12F4D">
        <w:t>BudAdjShr</w:t>
      </w:r>
      <w:proofErr w:type="spellEnd"/>
      <w:r w:rsidR="00A12F4D">
        <w:t xml:space="preserve"> scenario. Under the Reference scenario, household consumption shares remain fixed to the 2012 values. </w:t>
      </w:r>
      <w:r w:rsidR="00562BC6">
        <w:t xml:space="preserve">Real average annual household income increases by 2.8% in both the Reference and </w:t>
      </w:r>
      <w:proofErr w:type="spellStart"/>
      <w:r w:rsidR="00562BC6">
        <w:t>BudAdjShr</w:t>
      </w:r>
      <w:proofErr w:type="spellEnd"/>
      <w:r w:rsidR="00562BC6">
        <w:t xml:space="preserve"> scenarios between 2012 and 2050. </w:t>
      </w:r>
      <w:r w:rsidR="00F93C4A">
        <w:t xml:space="preserve">The pattern of total household consumption expenditure shifts over time with households spending smaller shares of their budgets on basic goods such as food, clothing and </w:t>
      </w:r>
      <w:r w:rsidR="007A0279">
        <w:t>transport services</w:t>
      </w:r>
      <w:r w:rsidR="00F81D40">
        <w:t xml:space="preserve">, </w:t>
      </w:r>
      <w:r w:rsidR="007A0279">
        <w:t>primarily public transport</w:t>
      </w:r>
      <w:r w:rsidR="00F93C4A">
        <w:t>.</w:t>
      </w:r>
      <w:r w:rsidR="00F607FE">
        <w:t xml:space="preserve"> </w:t>
      </w:r>
      <w:r w:rsidR="00F93C4A">
        <w:t>The largest decline in consumption share is for food</w:t>
      </w:r>
      <w:r w:rsidR="007A0279">
        <w:t>,</w:t>
      </w:r>
      <w:r w:rsidR="00F93C4A">
        <w:t xml:space="preserve"> which includes both agriculture and processed foods.</w:t>
      </w:r>
    </w:p>
    <w:p w14:paraId="018CD780" w14:textId="7A31FBE5" w:rsidR="004B7D47" w:rsidRDefault="00F93C4A" w:rsidP="001350ED">
      <w:r>
        <w:t xml:space="preserve">Consumption shares of manufactured items </w:t>
      </w:r>
      <w:r w:rsidR="00042239">
        <w:t>and other services increases over time.</w:t>
      </w:r>
      <w:r w:rsidR="00476528">
        <w:t xml:space="preserve"> In the case of manufactured items, the increase is driven by large ticket items such as increased vehicle purchases. </w:t>
      </w:r>
      <w:r w:rsidR="008F3F2F">
        <w:t xml:space="preserve">The consumption </w:t>
      </w:r>
      <w:r w:rsidR="00562BC6">
        <w:t>shares</w:t>
      </w:r>
      <w:r w:rsidR="00A66052">
        <w:t xml:space="preserve"> </w:t>
      </w:r>
      <w:r w:rsidR="008F3F2F">
        <w:t>of select manufactured goods</w:t>
      </w:r>
      <w:r w:rsidR="00A66052">
        <w:t xml:space="preserve"> such as </w:t>
      </w:r>
      <w:r w:rsidR="006C6212">
        <w:t xml:space="preserve">chemicals, paper, </w:t>
      </w:r>
      <w:r w:rsidR="004B7D47">
        <w:t xml:space="preserve">and </w:t>
      </w:r>
      <w:r w:rsidR="006C6212">
        <w:t>electrical machinery</w:t>
      </w:r>
      <w:r w:rsidR="00A66052">
        <w:t xml:space="preserve"> declines. All service sub-categories experience an increase in share of consumption</w:t>
      </w:r>
      <w:r w:rsidR="004B0FC5">
        <w:t xml:space="preserve"> with business, financial and other services </w:t>
      </w:r>
      <w:r w:rsidR="00C45636">
        <w:t>(</w:t>
      </w:r>
      <w:r w:rsidR="004B0FC5">
        <w:t>which include education and healthcare</w:t>
      </w:r>
      <w:r w:rsidR="00C45636">
        <w:t>)</w:t>
      </w:r>
      <w:r w:rsidR="004B0FC5">
        <w:t xml:space="preserve"> experiencing the largest share increases.</w:t>
      </w:r>
      <w:r w:rsidR="00CC77C7">
        <w:t xml:space="preserve"> </w:t>
      </w:r>
      <w:r w:rsidR="004B7D47">
        <w:t xml:space="preserve">For certain goods and services, a humped shape pattern is observed in the change in commodity consumption share. A clear example of this is energy, where the share of expenditure increases </w:t>
      </w:r>
      <w:r w:rsidR="00D84885">
        <w:t>to 2025</w:t>
      </w:r>
      <w:r w:rsidR="004B7D47">
        <w:t xml:space="preserve"> but </w:t>
      </w:r>
      <w:r w:rsidR="00D84885">
        <w:t xml:space="preserve">thereafter </w:t>
      </w:r>
      <w:r w:rsidR="004B7D47">
        <w:t>declines. A similar pattern is also experienced in manufactured sub-categories such as furniture.</w:t>
      </w:r>
    </w:p>
    <w:p w14:paraId="3526F802" w14:textId="5B161B77" w:rsidR="001C548B" w:rsidRDefault="001C548B" w:rsidP="00222400">
      <w:pPr>
        <w:keepNext/>
      </w:pPr>
      <w:r>
        <w:rPr>
          <w:noProof/>
        </w:rPr>
        <w:lastRenderedPageBreak/>
        <w:drawing>
          <wp:inline distT="0" distB="0" distL="0" distR="0" wp14:anchorId="7A2898AA" wp14:editId="00C464C4">
            <wp:extent cx="5759450" cy="4178935"/>
            <wp:effectExtent l="0" t="0" r="12700" b="12065"/>
            <wp:docPr id="22" name="Chart 22">
              <a:extLst xmlns:a="http://schemas.openxmlformats.org/drawingml/2006/main">
                <a:ext uri="{FF2B5EF4-FFF2-40B4-BE49-F238E27FC236}">
                  <a16:creationId xmlns:a16="http://schemas.microsoft.com/office/drawing/2014/main" id="{7C485C1E-5A06-454D-A814-0F68D12A43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021B55" w14:textId="1AC2D54C" w:rsidR="00E862D8" w:rsidRDefault="00222400" w:rsidP="00222400">
      <w:pPr>
        <w:pStyle w:val="Caption"/>
        <w:contextualSpacing/>
        <w:jc w:val="both"/>
      </w:pPr>
      <w:bookmarkStart w:id="11" w:name="_Ref33752778"/>
      <w:r>
        <w:t xml:space="preserve">Figure </w:t>
      </w:r>
      <w:r>
        <w:fldChar w:fldCharType="begin"/>
      </w:r>
      <w:r>
        <w:instrText xml:space="preserve"> SEQ Figure \* ARABIC </w:instrText>
      </w:r>
      <w:r>
        <w:fldChar w:fldCharType="separate"/>
      </w:r>
      <w:r w:rsidR="001D4331">
        <w:rPr>
          <w:noProof/>
        </w:rPr>
        <w:t>6</w:t>
      </w:r>
      <w:r>
        <w:fldChar w:fldCharType="end"/>
      </w:r>
      <w:bookmarkEnd w:id="11"/>
      <w:r>
        <w:t xml:space="preserve"> </w:t>
      </w:r>
      <w:r w:rsidRPr="00222400">
        <w:t>Household consumption shares - all households, 2012-2050</w:t>
      </w:r>
    </w:p>
    <w:p w14:paraId="18F7D3CE" w14:textId="5F0DF8BD" w:rsidR="00222400" w:rsidRDefault="00E862D8" w:rsidP="00222400">
      <w:pPr>
        <w:pStyle w:val="Caption"/>
        <w:contextualSpacing/>
        <w:jc w:val="both"/>
      </w:pPr>
      <w:r>
        <w:t xml:space="preserve">Source: </w:t>
      </w:r>
      <w:proofErr w:type="spellStart"/>
      <w:r>
        <w:t>eSAGE</w:t>
      </w:r>
      <w:proofErr w:type="spellEnd"/>
      <w:r>
        <w:t xml:space="preserve"> results</w:t>
      </w:r>
    </w:p>
    <w:p w14:paraId="360C573B" w14:textId="1523798B" w:rsidR="00C45636" w:rsidRPr="00C45636" w:rsidRDefault="00C45636" w:rsidP="00C45636">
      <w:r>
        <w:fldChar w:fldCharType="begin"/>
      </w:r>
      <w:r>
        <w:instrText xml:space="preserve"> REF _Ref33752838 \h </w:instrText>
      </w:r>
      <w:r>
        <w:fldChar w:fldCharType="separate"/>
      </w:r>
      <w:r>
        <w:t xml:space="preserve">Figure </w:t>
      </w:r>
      <w:r>
        <w:rPr>
          <w:noProof/>
        </w:rPr>
        <w:t>7</w:t>
      </w:r>
      <w:r>
        <w:fldChar w:fldCharType="end"/>
      </w:r>
      <w:r>
        <w:t xml:space="preserve"> illustrates the change in consumption patterns for three groups of households. The figure presents 2012 consumption shares for each household in the Reference scenario which is also the 2030 and 2050 consumption shares as they do not adjust over time. Consumption shares in 2030 and 2050 are presented</w:t>
      </w:r>
      <w:r w:rsidR="004322EE">
        <w:t xml:space="preserve"> for the </w:t>
      </w:r>
      <w:proofErr w:type="spellStart"/>
      <w:r w:rsidR="004322EE">
        <w:t>BudShrAdj</w:t>
      </w:r>
      <w:proofErr w:type="spellEnd"/>
      <w:r w:rsidR="004322EE">
        <w:t xml:space="preserve"> scenario</w:t>
      </w:r>
      <w:r>
        <w:t>. Low, Middle and High household groups are classified as income deciles 1 to 5; 6 to 8; and 9 to 10 respectively.</w:t>
      </w:r>
    </w:p>
    <w:p w14:paraId="125FDD65" w14:textId="6AC0E2EF" w:rsidR="00954F96" w:rsidRDefault="008B0595" w:rsidP="00954F96">
      <w:r>
        <w:t xml:space="preserve">As seen in the overall household trend in </w:t>
      </w:r>
      <w:r>
        <w:fldChar w:fldCharType="begin"/>
      </w:r>
      <w:r>
        <w:instrText xml:space="preserve"> REF _Ref33752778 \h </w:instrText>
      </w:r>
      <w:r>
        <w:fldChar w:fldCharType="separate"/>
      </w:r>
      <w:r>
        <w:t xml:space="preserve">Figure </w:t>
      </w:r>
      <w:r>
        <w:rPr>
          <w:noProof/>
        </w:rPr>
        <w:t>6</w:t>
      </w:r>
      <w:r>
        <w:fldChar w:fldCharType="end"/>
      </w:r>
      <w:r>
        <w:t>, the share consumption of basic commodities (i.e. food and clothing) declines across all household groups. Unlike Middle and High household groups,</w:t>
      </w:r>
      <w:r w:rsidR="004E7D90">
        <w:t xml:space="preserve"> however,</w:t>
      </w:r>
      <w:r>
        <w:t xml:space="preserve"> the Low group experiences an increase in energy consumption shares over the full period. The increase is driven by rising shares of petrol, diesel and electricity which replaces the use of fuels like coal and </w:t>
      </w:r>
      <w:r w:rsidR="003157FE">
        <w:t>paraffin</w:t>
      </w:r>
      <w:r>
        <w:t xml:space="preserve"> (see </w:t>
      </w:r>
      <w:r>
        <w:fldChar w:fldCharType="begin"/>
      </w:r>
      <w:r>
        <w:instrText xml:space="preserve"> REF _Ref33752884 \h </w:instrText>
      </w:r>
      <w:r>
        <w:fldChar w:fldCharType="separate"/>
      </w:r>
      <w:r>
        <w:t xml:space="preserve">Figure </w:t>
      </w:r>
      <w:r>
        <w:rPr>
          <w:noProof/>
        </w:rPr>
        <w:t>8</w:t>
      </w:r>
      <w:r>
        <w:fldChar w:fldCharType="end"/>
      </w:r>
      <w:r>
        <w:t xml:space="preserve">). The increased use of other commodities such as motor vehicles and machinery also contributes to the rise in the household group’s energy share. The share of transport services in the Low household group increases to 2030 but thereafter declines as households on the upper end of the group (namely deciles 3 to 5) switch to using more private transport. </w:t>
      </w:r>
      <w:r w:rsidRPr="00F308D5">
        <w:t>The Middle household group experiences a marginal increase in their energy consumption share in 2030</w:t>
      </w:r>
      <w:r>
        <w:t>, due to increased petrol and diesel use,</w:t>
      </w:r>
      <w:r w:rsidRPr="00F308D5">
        <w:t xml:space="preserve"> but this decreases to 2050.</w:t>
      </w:r>
      <w:r>
        <w:t xml:space="preserve"> The use of other liquid fuels, which comprise largely of paraffin, decreases significantly in the Low and Middle household groups. </w:t>
      </w:r>
      <w:proofErr w:type="gramStart"/>
      <w:r>
        <w:t>Similarly</w:t>
      </w:r>
      <w:proofErr w:type="gramEnd"/>
      <w:r w:rsidR="00996305">
        <w:t xml:space="preserve"> </w:t>
      </w:r>
      <w:r>
        <w:t>coal consumption</w:t>
      </w:r>
      <w:r w:rsidR="00996305">
        <w:t>, although a small share of consumption expenditure,</w:t>
      </w:r>
      <w:r>
        <w:t xml:space="preserve"> declines reaching almost zero by 2050.</w:t>
      </w:r>
    </w:p>
    <w:p w14:paraId="232B3CDC" w14:textId="28A52C35" w:rsidR="005230B0" w:rsidRPr="00954F96" w:rsidRDefault="005230B0" w:rsidP="00954F96">
      <w:r>
        <w:rPr>
          <w:noProof/>
        </w:rPr>
        <w:lastRenderedPageBreak/>
        <w:drawing>
          <wp:inline distT="0" distB="0" distL="0" distR="0" wp14:anchorId="639DA779" wp14:editId="691B8ABC">
            <wp:extent cx="5568287" cy="3698543"/>
            <wp:effectExtent l="0" t="0" r="13970" b="16510"/>
            <wp:docPr id="21" name="Chart 21">
              <a:extLst xmlns:a="http://schemas.openxmlformats.org/drawingml/2006/main">
                <a:ext uri="{FF2B5EF4-FFF2-40B4-BE49-F238E27FC236}">
                  <a16:creationId xmlns:a16="http://schemas.microsoft.com/office/drawing/2014/main" id="{DF0E890D-34CD-4633-A0C5-37282191F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2D8438" w14:textId="1BADB665" w:rsidR="00E8640E" w:rsidRDefault="00222400" w:rsidP="00222400">
      <w:pPr>
        <w:pStyle w:val="Caption"/>
        <w:contextualSpacing/>
        <w:jc w:val="both"/>
      </w:pPr>
      <w:bookmarkStart w:id="12" w:name="_Ref33752838"/>
      <w:r>
        <w:t xml:space="preserve">Figure </w:t>
      </w:r>
      <w:r>
        <w:fldChar w:fldCharType="begin"/>
      </w:r>
      <w:r>
        <w:instrText xml:space="preserve"> SEQ Figure \* ARABIC </w:instrText>
      </w:r>
      <w:r>
        <w:fldChar w:fldCharType="separate"/>
      </w:r>
      <w:r w:rsidR="001D4331">
        <w:rPr>
          <w:noProof/>
        </w:rPr>
        <w:t>7</w:t>
      </w:r>
      <w:r>
        <w:fldChar w:fldCharType="end"/>
      </w:r>
      <w:bookmarkEnd w:id="12"/>
      <w:r>
        <w:t xml:space="preserve"> </w:t>
      </w:r>
      <w:r w:rsidRPr="00222400">
        <w:t>Household consumption shares, 2030 and 2050</w:t>
      </w:r>
    </w:p>
    <w:p w14:paraId="6E7ED32E" w14:textId="749D60A4" w:rsidR="008204C0" w:rsidRDefault="008204C0" w:rsidP="00222400">
      <w:pPr>
        <w:pStyle w:val="Caption"/>
        <w:contextualSpacing/>
        <w:jc w:val="both"/>
      </w:pPr>
      <w:r>
        <w:t xml:space="preserve">Source: </w:t>
      </w:r>
      <w:proofErr w:type="spellStart"/>
      <w:r>
        <w:t>eSAGE</w:t>
      </w:r>
      <w:proofErr w:type="spellEnd"/>
      <w:r>
        <w:t xml:space="preserve"> results</w:t>
      </w:r>
    </w:p>
    <w:p w14:paraId="543F6AF8" w14:textId="7F9F2264" w:rsidR="00E479F6" w:rsidRDefault="00E479F6" w:rsidP="00222400">
      <w:pPr>
        <w:keepNext/>
      </w:pPr>
      <w:r>
        <w:rPr>
          <w:noProof/>
        </w:rPr>
        <w:drawing>
          <wp:inline distT="0" distB="0" distL="0" distR="0" wp14:anchorId="16F75A48" wp14:editId="627BD153">
            <wp:extent cx="5540991" cy="3466531"/>
            <wp:effectExtent l="0" t="0" r="3175" b="635"/>
            <wp:docPr id="26" name="Chart 26">
              <a:extLst xmlns:a="http://schemas.openxmlformats.org/drawingml/2006/main">
                <a:ext uri="{FF2B5EF4-FFF2-40B4-BE49-F238E27FC236}">
                  <a16:creationId xmlns:a16="http://schemas.microsoft.com/office/drawing/2014/main" id="{9397AEA6-4BCA-458C-8BD2-73F9B1CDD8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6D3799" w14:textId="0EE9E57A" w:rsidR="0028592A" w:rsidRDefault="00222400" w:rsidP="00222400">
      <w:pPr>
        <w:pStyle w:val="Caption"/>
        <w:contextualSpacing/>
        <w:jc w:val="both"/>
      </w:pPr>
      <w:bookmarkStart w:id="13" w:name="_Ref33752884"/>
      <w:r>
        <w:t xml:space="preserve">Figure </w:t>
      </w:r>
      <w:r>
        <w:fldChar w:fldCharType="begin"/>
      </w:r>
      <w:r>
        <w:instrText xml:space="preserve"> SEQ Figure \* ARABIC </w:instrText>
      </w:r>
      <w:r>
        <w:fldChar w:fldCharType="separate"/>
      </w:r>
      <w:r w:rsidR="001D4331">
        <w:rPr>
          <w:noProof/>
        </w:rPr>
        <w:t>8</w:t>
      </w:r>
      <w:r>
        <w:fldChar w:fldCharType="end"/>
      </w:r>
      <w:bookmarkEnd w:id="13"/>
      <w:r>
        <w:t xml:space="preserve"> </w:t>
      </w:r>
      <w:r w:rsidRPr="00222400">
        <w:t>Household energy consumption shares, 2030 and 2050</w:t>
      </w:r>
    </w:p>
    <w:p w14:paraId="13A46DB7" w14:textId="77777777" w:rsidR="0028592A" w:rsidRDefault="0028592A" w:rsidP="00222400">
      <w:pPr>
        <w:pStyle w:val="Caption"/>
        <w:contextualSpacing/>
        <w:jc w:val="both"/>
      </w:pPr>
      <w:r>
        <w:t xml:space="preserve">Source: </w:t>
      </w:r>
      <w:proofErr w:type="spellStart"/>
      <w:r>
        <w:t>eSAGE</w:t>
      </w:r>
      <w:proofErr w:type="spellEnd"/>
      <w:r>
        <w:t xml:space="preserve"> results</w:t>
      </w:r>
    </w:p>
    <w:p w14:paraId="68B73425" w14:textId="140AC609" w:rsidR="004828F1" w:rsidRDefault="004828F1" w:rsidP="000E01D8">
      <w:pPr>
        <w:pStyle w:val="Heading2"/>
        <w:numPr>
          <w:ilvl w:val="1"/>
          <w:numId w:val="2"/>
        </w:numPr>
        <w:spacing w:after="120"/>
      </w:pPr>
      <w:r>
        <w:lastRenderedPageBreak/>
        <w:t>Impacts on sector production and gross value added</w:t>
      </w:r>
    </w:p>
    <w:p w14:paraId="4B1F68A4" w14:textId="5E51A5CF" w:rsidR="003F3106" w:rsidRDefault="00C57872" w:rsidP="00C57872">
      <w:r>
        <w:t>The shift</w:t>
      </w:r>
      <w:r w:rsidR="008059CF">
        <w:t xml:space="preserve"> in</w:t>
      </w:r>
      <w:r w:rsidR="00E37C47">
        <w:t xml:space="preserve"> household consumption </w:t>
      </w:r>
      <w:r w:rsidR="003F3106">
        <w:t>between</w:t>
      </w:r>
      <w:r w:rsidR="008059CF">
        <w:t xml:space="preserve"> </w:t>
      </w:r>
      <w:r w:rsidR="00FB2114">
        <w:t>commodities</w:t>
      </w:r>
      <w:r w:rsidR="008059CF">
        <w:t xml:space="preserve"> </w:t>
      </w:r>
      <w:r w:rsidR="00E37C47">
        <w:t xml:space="preserve">has implications for production </w:t>
      </w:r>
      <w:r w:rsidR="008059CF">
        <w:t xml:space="preserve">as household consumption accounts for </w:t>
      </w:r>
      <w:r w:rsidR="00121C11">
        <w:t>nearly half</w:t>
      </w:r>
      <w:r w:rsidR="008059CF">
        <w:t xml:space="preserve"> of final demand in South Africa</w:t>
      </w:r>
      <w:r w:rsidR="00121C11">
        <w:t xml:space="preserve"> (</w:t>
      </w:r>
      <w:proofErr w:type="spellStart"/>
      <w:r w:rsidR="00121C11">
        <w:t>StatsSA</w:t>
      </w:r>
      <w:proofErr w:type="spellEnd"/>
      <w:r w:rsidR="00121C11">
        <w:t>, 2012)</w:t>
      </w:r>
      <w:r w:rsidR="008059CF">
        <w:t xml:space="preserve">. </w:t>
      </w:r>
      <w:r w:rsidR="00094E1D">
        <w:fldChar w:fldCharType="begin"/>
      </w:r>
      <w:r w:rsidR="00094E1D">
        <w:instrText xml:space="preserve"> REF _Ref33753002 \h </w:instrText>
      </w:r>
      <w:r w:rsidR="00094E1D">
        <w:fldChar w:fldCharType="separate"/>
      </w:r>
      <w:r w:rsidR="001D4331">
        <w:t xml:space="preserve">Table </w:t>
      </w:r>
      <w:r w:rsidR="001D4331">
        <w:rPr>
          <w:noProof/>
        </w:rPr>
        <w:t>1</w:t>
      </w:r>
      <w:r w:rsidR="00094E1D">
        <w:fldChar w:fldCharType="end"/>
      </w:r>
      <w:r w:rsidR="008059CF">
        <w:t xml:space="preserve"> below shows the change in the level of real GDP and </w:t>
      </w:r>
      <w:r w:rsidR="00FC7A87">
        <w:t xml:space="preserve">employment in the </w:t>
      </w:r>
      <w:proofErr w:type="spellStart"/>
      <w:r w:rsidR="00FC7A87">
        <w:t>BudShrAdj</w:t>
      </w:r>
      <w:proofErr w:type="spellEnd"/>
      <w:r w:rsidR="00FC7A87">
        <w:t xml:space="preserve"> scenario relative to the Reference case in which household budget shares do not change.</w:t>
      </w:r>
    </w:p>
    <w:p w14:paraId="00CD19B5" w14:textId="64A128C5" w:rsidR="00B42C95" w:rsidRDefault="0093190E" w:rsidP="00C57872">
      <w:r>
        <w:t xml:space="preserve">Sectors’ producing commodities which decrease as a share of household consumption budgets experience a decrease in real GDP relative to the Reference scenario. This is seen by the decrease in food, other agriculture, clothing, energy and transport real GDP levels relative to the </w:t>
      </w:r>
      <w:r w:rsidR="00FB2114">
        <w:t>R</w:t>
      </w:r>
      <w:r>
        <w:t xml:space="preserve">eference case. The largest decline is in the food </w:t>
      </w:r>
      <w:r w:rsidR="001D15AF">
        <w:t xml:space="preserve">and other agriculture </w:t>
      </w:r>
      <w:r>
        <w:t>production sectors</w:t>
      </w:r>
      <w:r w:rsidR="001D15AF">
        <w:t>.</w:t>
      </w:r>
      <w:r w:rsidR="000B06B1">
        <w:t xml:space="preserve"> Crop and livestock production declines by 12.8% relative to the Reference scenario while processed food production decreases by 13.1%. </w:t>
      </w:r>
      <w:r w:rsidR="00EC19A9">
        <w:t xml:space="preserve">While the level of food production is lower in the </w:t>
      </w:r>
      <w:proofErr w:type="spellStart"/>
      <w:r w:rsidR="00EC19A9">
        <w:t>BudShrAdj</w:t>
      </w:r>
      <w:proofErr w:type="spellEnd"/>
      <w:r w:rsidR="00EC19A9">
        <w:t xml:space="preserve"> scenario, the sector still experiences </w:t>
      </w:r>
      <w:r w:rsidR="00734969">
        <w:t>growth</w:t>
      </w:r>
      <w:r w:rsidR="00EC19A9">
        <w:t xml:space="preserve"> in real GDP and employment</w:t>
      </w:r>
      <w:r w:rsidR="00FB2114">
        <w:t xml:space="preserve"> of </w:t>
      </w:r>
      <w:r w:rsidR="00AE6C9A">
        <w:t>2.4</w:t>
      </w:r>
      <w:r w:rsidR="00EC19A9">
        <w:t xml:space="preserve">% and </w:t>
      </w:r>
      <w:r w:rsidR="00A77A22">
        <w:t>2.2</w:t>
      </w:r>
      <w:r w:rsidR="00EC19A9">
        <w:t>% per annum respectively</w:t>
      </w:r>
      <w:r w:rsidR="004F439C">
        <w:t>, although this is</w:t>
      </w:r>
      <w:r w:rsidR="00A77A22">
        <w:t xml:space="preserve"> 0.8 and 0.9</w:t>
      </w:r>
      <w:r w:rsidR="00AE6C9A">
        <w:t xml:space="preserve"> percentage points lower than in the Reference scenario</w:t>
      </w:r>
      <w:r w:rsidR="00EC19A9">
        <w:t>.</w:t>
      </w:r>
      <w:r w:rsidR="00553E08">
        <w:t xml:space="preserve"> Lower production levels </w:t>
      </w:r>
      <w:r w:rsidR="00A124BA">
        <w:t>lead to job losses in the respective sectors.</w:t>
      </w:r>
    </w:p>
    <w:p w14:paraId="09527035" w14:textId="2D3E11B9" w:rsidR="00CC6CC4" w:rsidRDefault="00CC6CC4" w:rsidP="00C57872">
      <w:r>
        <w:t>In turn, sector’s producing commodities with rising shares experience an expansion in production.</w:t>
      </w:r>
      <w:r w:rsidR="009E081C">
        <w:t xml:space="preserve"> These are primarily in the Manufacturing and </w:t>
      </w:r>
      <w:r w:rsidR="00DE4A9A">
        <w:t>S</w:t>
      </w:r>
      <w:r w:rsidR="009E081C">
        <w:t>ervices sectors.</w:t>
      </w:r>
      <w:r w:rsidR="003F3106">
        <w:t xml:space="preserve"> </w:t>
      </w:r>
      <w:r w:rsidR="00E75718">
        <w:t xml:space="preserve">As expected, given the changes in budget share, the motor vehicle and financial services sectors experiences the largest increase in real GDP within the Manufacturing and Other services sectors. </w:t>
      </w:r>
      <w:r w:rsidR="00CA0E8D">
        <w:t>Employment within these sectors also increase.</w:t>
      </w:r>
    </w:p>
    <w:p w14:paraId="1F41A554" w14:textId="18E4DD7A" w:rsidR="00CA0E8D" w:rsidRDefault="00CA0E8D" w:rsidP="00C57872">
      <w:r>
        <w:t xml:space="preserve">On aggregate, the level of total real GDP is </w:t>
      </w:r>
      <w:r w:rsidR="000527A0">
        <w:t xml:space="preserve">slightly </w:t>
      </w:r>
      <w:r>
        <w:t xml:space="preserve">higher in the </w:t>
      </w:r>
      <w:proofErr w:type="spellStart"/>
      <w:r>
        <w:t>BudShrAdj</w:t>
      </w:r>
      <w:proofErr w:type="spellEnd"/>
      <w:r>
        <w:t xml:space="preserve"> scenario by 2050 with corresponding higher employment levels. </w:t>
      </w:r>
      <w:r w:rsidR="000527A0">
        <w:t xml:space="preserve">In terms of average annual growth, total real GDP grows at 2.77% over the period – 0.01 percentage points higher than in the Reference scenario with an extra 3,000 jobs created. </w:t>
      </w:r>
      <w:r w:rsidR="00710D3D">
        <w:t>Jobs are created for secondary and tertiary educated workers (i.e. Grade 1</w:t>
      </w:r>
      <w:r w:rsidR="00132306">
        <w:t>0</w:t>
      </w:r>
      <w:r w:rsidR="00710D3D">
        <w:t xml:space="preserve"> and more) whilst job losses are experienced by low skilled works with primary and middle school levels of educ</w:t>
      </w:r>
      <w:r w:rsidR="00132306">
        <w:t>a</w:t>
      </w:r>
      <w:r w:rsidR="00710D3D">
        <w:t>tion</w:t>
      </w:r>
      <w:r w:rsidR="00132306">
        <w:t xml:space="preserve"> (i.e. less than Grade 10)</w:t>
      </w:r>
      <w:r w:rsidR="00710D3D">
        <w:t>.</w:t>
      </w:r>
    </w:p>
    <w:p w14:paraId="79BFE58F" w14:textId="50E63E65" w:rsidR="008F003C" w:rsidRDefault="008F003C" w:rsidP="008F003C">
      <w:pPr>
        <w:pStyle w:val="Caption"/>
        <w:keepNext/>
      </w:pPr>
      <w:bookmarkStart w:id="14" w:name="_Ref33753002"/>
      <w:r>
        <w:t xml:space="preserve">Table </w:t>
      </w:r>
      <w:r>
        <w:fldChar w:fldCharType="begin"/>
      </w:r>
      <w:r>
        <w:instrText xml:space="preserve"> SEQ Table \* ARABIC </w:instrText>
      </w:r>
      <w:r>
        <w:fldChar w:fldCharType="separate"/>
      </w:r>
      <w:r w:rsidR="001D4331">
        <w:rPr>
          <w:noProof/>
        </w:rPr>
        <w:t>1</w:t>
      </w:r>
      <w:r>
        <w:fldChar w:fldCharType="end"/>
      </w:r>
      <w:bookmarkEnd w:id="14"/>
      <w:r>
        <w:t xml:space="preserve"> </w:t>
      </w:r>
      <w:r w:rsidRPr="008F003C">
        <w:t>Change in real GDP and employment level by sector, 2030 and 2050</w:t>
      </w:r>
    </w:p>
    <w:tbl>
      <w:tblPr>
        <w:tblW w:w="9320" w:type="dxa"/>
        <w:tblLook w:val="04A0" w:firstRow="1" w:lastRow="0" w:firstColumn="1" w:lastColumn="0" w:noHBand="0" w:noVBand="1"/>
      </w:tblPr>
      <w:tblGrid>
        <w:gridCol w:w="2520"/>
        <w:gridCol w:w="989"/>
        <w:gridCol w:w="2371"/>
        <w:gridCol w:w="1013"/>
        <w:gridCol w:w="2427"/>
      </w:tblGrid>
      <w:tr w:rsidR="00E274F4" w:rsidRPr="00E274F4" w14:paraId="42E3278B" w14:textId="77777777" w:rsidTr="00E274F4">
        <w:trPr>
          <w:trHeight w:val="288"/>
        </w:trPr>
        <w:tc>
          <w:tcPr>
            <w:tcW w:w="2520" w:type="dxa"/>
            <w:tcBorders>
              <w:top w:val="single" w:sz="4" w:space="0" w:color="auto"/>
              <w:left w:val="nil"/>
              <w:bottom w:val="single" w:sz="4" w:space="0" w:color="auto"/>
              <w:right w:val="nil"/>
            </w:tcBorders>
            <w:shd w:val="clear" w:color="000000" w:fill="FFFFFF"/>
            <w:noWrap/>
            <w:vAlign w:val="bottom"/>
            <w:hideMark/>
          </w:tcPr>
          <w:p w14:paraId="2B02106F"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 </w:t>
            </w:r>
          </w:p>
        </w:tc>
        <w:tc>
          <w:tcPr>
            <w:tcW w:w="336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93D3A8F" w14:textId="77777777" w:rsidR="00E274F4" w:rsidRPr="00E274F4" w:rsidRDefault="00E274F4" w:rsidP="00E274F4">
            <w:pPr>
              <w:spacing w:after="0"/>
              <w:jc w:val="center"/>
              <w:rPr>
                <w:rFonts w:ascii="Calibri Light" w:eastAsia="Times New Roman" w:hAnsi="Calibri Light" w:cs="Calibri Light"/>
                <w:b/>
                <w:bCs/>
                <w:color w:val="000000"/>
                <w:sz w:val="20"/>
                <w:szCs w:val="20"/>
                <w:lang w:eastAsia="en-ZA"/>
              </w:rPr>
            </w:pPr>
            <w:r w:rsidRPr="00E274F4">
              <w:rPr>
                <w:rFonts w:ascii="Calibri Light" w:eastAsia="Times New Roman" w:hAnsi="Calibri Light" w:cs="Calibri Light"/>
                <w:b/>
                <w:bCs/>
                <w:color w:val="000000"/>
                <w:sz w:val="20"/>
                <w:szCs w:val="20"/>
                <w:lang w:eastAsia="en-ZA"/>
              </w:rPr>
              <w:t>2030</w:t>
            </w:r>
          </w:p>
        </w:tc>
        <w:tc>
          <w:tcPr>
            <w:tcW w:w="3440" w:type="dxa"/>
            <w:gridSpan w:val="2"/>
            <w:tcBorders>
              <w:top w:val="single" w:sz="4" w:space="0" w:color="auto"/>
              <w:left w:val="nil"/>
              <w:bottom w:val="single" w:sz="4" w:space="0" w:color="auto"/>
              <w:right w:val="nil"/>
            </w:tcBorders>
            <w:shd w:val="clear" w:color="000000" w:fill="FFFFFF"/>
            <w:noWrap/>
            <w:vAlign w:val="bottom"/>
            <w:hideMark/>
          </w:tcPr>
          <w:p w14:paraId="0CFC3753" w14:textId="77777777" w:rsidR="00E274F4" w:rsidRPr="00E274F4" w:rsidRDefault="00E274F4" w:rsidP="00E274F4">
            <w:pPr>
              <w:spacing w:after="0"/>
              <w:jc w:val="center"/>
              <w:rPr>
                <w:rFonts w:ascii="Calibri Light" w:eastAsia="Times New Roman" w:hAnsi="Calibri Light" w:cs="Calibri Light"/>
                <w:b/>
                <w:bCs/>
                <w:color w:val="000000"/>
                <w:sz w:val="20"/>
                <w:szCs w:val="20"/>
                <w:lang w:eastAsia="en-ZA"/>
              </w:rPr>
            </w:pPr>
            <w:r w:rsidRPr="00E274F4">
              <w:rPr>
                <w:rFonts w:ascii="Calibri Light" w:eastAsia="Times New Roman" w:hAnsi="Calibri Light" w:cs="Calibri Light"/>
                <w:b/>
                <w:bCs/>
                <w:color w:val="000000"/>
                <w:sz w:val="20"/>
                <w:szCs w:val="20"/>
                <w:lang w:eastAsia="en-ZA"/>
              </w:rPr>
              <w:t>2050</w:t>
            </w:r>
          </w:p>
        </w:tc>
      </w:tr>
      <w:tr w:rsidR="00E274F4" w:rsidRPr="00E274F4" w14:paraId="67B6E4DF" w14:textId="77777777" w:rsidTr="00E274F4">
        <w:trPr>
          <w:trHeight w:val="288"/>
        </w:trPr>
        <w:tc>
          <w:tcPr>
            <w:tcW w:w="2520" w:type="dxa"/>
            <w:vMerge w:val="restart"/>
            <w:tcBorders>
              <w:top w:val="nil"/>
              <w:left w:val="nil"/>
              <w:bottom w:val="single" w:sz="4" w:space="0" w:color="000000"/>
              <w:right w:val="single" w:sz="4" w:space="0" w:color="auto"/>
            </w:tcBorders>
            <w:shd w:val="clear" w:color="000000" w:fill="FFFFFF"/>
            <w:noWrap/>
            <w:vAlign w:val="bottom"/>
            <w:hideMark/>
          </w:tcPr>
          <w:p w14:paraId="1F70E8C6" w14:textId="77777777" w:rsidR="00E274F4" w:rsidRPr="00E274F4" w:rsidRDefault="00E274F4" w:rsidP="00E274F4">
            <w:pPr>
              <w:spacing w:after="0"/>
              <w:jc w:val="center"/>
              <w:rPr>
                <w:rFonts w:ascii="Calibri Light" w:eastAsia="Times New Roman" w:hAnsi="Calibri Light" w:cs="Calibri Light"/>
                <w:b/>
                <w:bCs/>
                <w:color w:val="000000"/>
                <w:sz w:val="20"/>
                <w:szCs w:val="20"/>
                <w:lang w:eastAsia="en-ZA"/>
              </w:rPr>
            </w:pPr>
            <w:r w:rsidRPr="00E274F4">
              <w:rPr>
                <w:rFonts w:ascii="Calibri Light" w:eastAsia="Times New Roman" w:hAnsi="Calibri Light" w:cs="Calibri Light"/>
                <w:b/>
                <w:bCs/>
                <w:color w:val="000000"/>
                <w:sz w:val="20"/>
                <w:szCs w:val="20"/>
                <w:lang w:eastAsia="en-ZA"/>
              </w:rPr>
              <w:t>Sector</w:t>
            </w:r>
          </w:p>
        </w:tc>
        <w:tc>
          <w:tcPr>
            <w:tcW w:w="6800" w:type="dxa"/>
            <w:gridSpan w:val="4"/>
            <w:tcBorders>
              <w:top w:val="single" w:sz="4" w:space="0" w:color="auto"/>
              <w:left w:val="nil"/>
              <w:bottom w:val="single" w:sz="4" w:space="0" w:color="auto"/>
              <w:right w:val="nil"/>
            </w:tcBorders>
            <w:shd w:val="clear" w:color="000000" w:fill="FFFFFF"/>
            <w:noWrap/>
            <w:vAlign w:val="bottom"/>
            <w:hideMark/>
          </w:tcPr>
          <w:p w14:paraId="499EAF46" w14:textId="77777777" w:rsidR="00E274F4" w:rsidRPr="00E274F4" w:rsidRDefault="00E274F4" w:rsidP="00E274F4">
            <w:pPr>
              <w:spacing w:after="0"/>
              <w:jc w:val="center"/>
              <w:rPr>
                <w:rFonts w:ascii="Calibri Light" w:eastAsia="Times New Roman" w:hAnsi="Calibri Light" w:cs="Calibri Light"/>
                <w:b/>
                <w:bCs/>
                <w:color w:val="000000"/>
                <w:sz w:val="20"/>
                <w:szCs w:val="20"/>
                <w:lang w:eastAsia="en-ZA"/>
              </w:rPr>
            </w:pPr>
            <w:r w:rsidRPr="00E274F4">
              <w:rPr>
                <w:rFonts w:ascii="Calibri Light" w:eastAsia="Times New Roman" w:hAnsi="Calibri Light" w:cs="Calibri Light"/>
                <w:b/>
                <w:bCs/>
                <w:color w:val="000000"/>
                <w:sz w:val="20"/>
                <w:szCs w:val="20"/>
                <w:lang w:eastAsia="en-ZA"/>
              </w:rPr>
              <w:t>Change in level of</w:t>
            </w:r>
          </w:p>
        </w:tc>
      </w:tr>
      <w:tr w:rsidR="00E274F4" w:rsidRPr="00E274F4" w14:paraId="709DA7F4" w14:textId="77777777" w:rsidTr="00E274F4">
        <w:trPr>
          <w:trHeight w:val="288"/>
        </w:trPr>
        <w:tc>
          <w:tcPr>
            <w:tcW w:w="2520" w:type="dxa"/>
            <w:vMerge/>
            <w:tcBorders>
              <w:top w:val="nil"/>
              <w:left w:val="nil"/>
              <w:bottom w:val="single" w:sz="4" w:space="0" w:color="000000"/>
              <w:right w:val="single" w:sz="4" w:space="0" w:color="auto"/>
            </w:tcBorders>
            <w:vAlign w:val="center"/>
            <w:hideMark/>
          </w:tcPr>
          <w:p w14:paraId="6E77340C" w14:textId="77777777" w:rsidR="00E274F4" w:rsidRPr="00E274F4" w:rsidRDefault="00E274F4" w:rsidP="00E274F4">
            <w:pPr>
              <w:spacing w:after="0"/>
              <w:jc w:val="left"/>
              <w:rPr>
                <w:rFonts w:ascii="Calibri Light" w:eastAsia="Times New Roman" w:hAnsi="Calibri Light" w:cs="Calibri Light"/>
                <w:b/>
                <w:bCs/>
                <w:color w:val="000000"/>
                <w:sz w:val="20"/>
                <w:szCs w:val="20"/>
                <w:lang w:eastAsia="en-ZA"/>
              </w:rPr>
            </w:pPr>
          </w:p>
        </w:tc>
        <w:tc>
          <w:tcPr>
            <w:tcW w:w="989" w:type="dxa"/>
            <w:tcBorders>
              <w:top w:val="nil"/>
              <w:left w:val="nil"/>
              <w:bottom w:val="single" w:sz="4" w:space="0" w:color="auto"/>
              <w:right w:val="single" w:sz="4" w:space="0" w:color="auto"/>
            </w:tcBorders>
            <w:shd w:val="clear" w:color="000000" w:fill="FFFFFF"/>
            <w:noWrap/>
            <w:vAlign w:val="bottom"/>
            <w:hideMark/>
          </w:tcPr>
          <w:p w14:paraId="6E14A5EB" w14:textId="77777777" w:rsidR="00E274F4" w:rsidRPr="00E274F4" w:rsidRDefault="00E274F4" w:rsidP="00E274F4">
            <w:pPr>
              <w:spacing w:after="0"/>
              <w:jc w:val="center"/>
              <w:rPr>
                <w:rFonts w:ascii="Calibri Light" w:eastAsia="Times New Roman" w:hAnsi="Calibri Light" w:cs="Calibri Light"/>
                <w:b/>
                <w:bCs/>
                <w:color w:val="000000"/>
                <w:sz w:val="20"/>
                <w:szCs w:val="20"/>
                <w:lang w:eastAsia="en-ZA"/>
              </w:rPr>
            </w:pPr>
            <w:r w:rsidRPr="00E274F4">
              <w:rPr>
                <w:rFonts w:ascii="Calibri Light" w:eastAsia="Times New Roman" w:hAnsi="Calibri Light" w:cs="Calibri Light"/>
                <w:b/>
                <w:bCs/>
                <w:color w:val="000000"/>
                <w:sz w:val="20"/>
                <w:szCs w:val="20"/>
                <w:lang w:eastAsia="en-ZA"/>
              </w:rPr>
              <w:t>GDP (%)</w:t>
            </w:r>
          </w:p>
        </w:tc>
        <w:tc>
          <w:tcPr>
            <w:tcW w:w="2371" w:type="dxa"/>
            <w:tcBorders>
              <w:top w:val="nil"/>
              <w:left w:val="nil"/>
              <w:bottom w:val="single" w:sz="4" w:space="0" w:color="auto"/>
              <w:right w:val="single" w:sz="4" w:space="0" w:color="auto"/>
            </w:tcBorders>
            <w:shd w:val="clear" w:color="000000" w:fill="FFFFFF"/>
            <w:noWrap/>
            <w:vAlign w:val="bottom"/>
            <w:hideMark/>
          </w:tcPr>
          <w:p w14:paraId="292E286D" w14:textId="77777777" w:rsidR="00E274F4" w:rsidRPr="00E274F4" w:rsidRDefault="00E274F4" w:rsidP="00E274F4">
            <w:pPr>
              <w:spacing w:after="0"/>
              <w:jc w:val="center"/>
              <w:rPr>
                <w:rFonts w:ascii="Calibri Light" w:eastAsia="Times New Roman" w:hAnsi="Calibri Light" w:cs="Calibri Light"/>
                <w:b/>
                <w:bCs/>
                <w:color w:val="000000"/>
                <w:sz w:val="20"/>
                <w:szCs w:val="20"/>
                <w:lang w:eastAsia="en-ZA"/>
              </w:rPr>
            </w:pPr>
            <w:r w:rsidRPr="00E274F4">
              <w:rPr>
                <w:rFonts w:ascii="Calibri Light" w:eastAsia="Times New Roman" w:hAnsi="Calibri Light" w:cs="Calibri Light"/>
                <w:b/>
                <w:bCs/>
                <w:color w:val="000000"/>
                <w:sz w:val="20"/>
                <w:szCs w:val="20"/>
                <w:lang w:eastAsia="en-ZA"/>
              </w:rPr>
              <w:t>Employment ('000s)</w:t>
            </w:r>
          </w:p>
        </w:tc>
        <w:tc>
          <w:tcPr>
            <w:tcW w:w="1013" w:type="dxa"/>
            <w:tcBorders>
              <w:top w:val="nil"/>
              <w:left w:val="nil"/>
              <w:bottom w:val="single" w:sz="4" w:space="0" w:color="auto"/>
              <w:right w:val="single" w:sz="4" w:space="0" w:color="auto"/>
            </w:tcBorders>
            <w:shd w:val="clear" w:color="000000" w:fill="FFFFFF"/>
            <w:noWrap/>
            <w:vAlign w:val="bottom"/>
            <w:hideMark/>
          </w:tcPr>
          <w:p w14:paraId="6AD1A168" w14:textId="77777777" w:rsidR="00E274F4" w:rsidRPr="00E274F4" w:rsidRDefault="00E274F4" w:rsidP="00E274F4">
            <w:pPr>
              <w:spacing w:after="0"/>
              <w:jc w:val="center"/>
              <w:rPr>
                <w:rFonts w:ascii="Calibri Light" w:eastAsia="Times New Roman" w:hAnsi="Calibri Light" w:cs="Calibri Light"/>
                <w:b/>
                <w:bCs/>
                <w:color w:val="000000"/>
                <w:sz w:val="20"/>
                <w:szCs w:val="20"/>
                <w:lang w:eastAsia="en-ZA"/>
              </w:rPr>
            </w:pPr>
            <w:r w:rsidRPr="00E274F4">
              <w:rPr>
                <w:rFonts w:ascii="Calibri Light" w:eastAsia="Times New Roman" w:hAnsi="Calibri Light" w:cs="Calibri Light"/>
                <w:b/>
                <w:bCs/>
                <w:color w:val="000000"/>
                <w:sz w:val="20"/>
                <w:szCs w:val="20"/>
                <w:lang w:eastAsia="en-ZA"/>
              </w:rPr>
              <w:t>GDP (%)</w:t>
            </w:r>
          </w:p>
        </w:tc>
        <w:tc>
          <w:tcPr>
            <w:tcW w:w="2427" w:type="dxa"/>
            <w:tcBorders>
              <w:top w:val="nil"/>
              <w:left w:val="nil"/>
              <w:bottom w:val="single" w:sz="4" w:space="0" w:color="auto"/>
              <w:right w:val="nil"/>
            </w:tcBorders>
            <w:shd w:val="clear" w:color="000000" w:fill="FFFFFF"/>
            <w:noWrap/>
            <w:vAlign w:val="bottom"/>
            <w:hideMark/>
          </w:tcPr>
          <w:p w14:paraId="0729FB63" w14:textId="77777777" w:rsidR="00E274F4" w:rsidRPr="00E274F4" w:rsidRDefault="00E274F4" w:rsidP="00E274F4">
            <w:pPr>
              <w:spacing w:after="0"/>
              <w:jc w:val="center"/>
              <w:rPr>
                <w:rFonts w:ascii="Calibri Light" w:eastAsia="Times New Roman" w:hAnsi="Calibri Light" w:cs="Calibri Light"/>
                <w:b/>
                <w:bCs/>
                <w:color w:val="000000"/>
                <w:sz w:val="20"/>
                <w:szCs w:val="20"/>
                <w:lang w:eastAsia="en-ZA"/>
              </w:rPr>
            </w:pPr>
            <w:r w:rsidRPr="00E274F4">
              <w:rPr>
                <w:rFonts w:ascii="Calibri Light" w:eastAsia="Times New Roman" w:hAnsi="Calibri Light" w:cs="Calibri Light"/>
                <w:b/>
                <w:bCs/>
                <w:color w:val="000000"/>
                <w:sz w:val="20"/>
                <w:szCs w:val="20"/>
                <w:lang w:eastAsia="en-ZA"/>
              </w:rPr>
              <w:t>Employment ('000s)</w:t>
            </w:r>
          </w:p>
        </w:tc>
      </w:tr>
      <w:tr w:rsidR="00E274F4" w:rsidRPr="00E274F4" w14:paraId="7A83B83D" w14:textId="77777777" w:rsidTr="00E274F4">
        <w:trPr>
          <w:trHeight w:val="288"/>
        </w:trPr>
        <w:tc>
          <w:tcPr>
            <w:tcW w:w="2520" w:type="dxa"/>
            <w:tcBorders>
              <w:top w:val="nil"/>
              <w:left w:val="nil"/>
              <w:bottom w:val="nil"/>
              <w:right w:val="nil"/>
            </w:tcBorders>
            <w:shd w:val="clear" w:color="000000" w:fill="FFFFFF"/>
            <w:noWrap/>
            <w:vAlign w:val="bottom"/>
            <w:hideMark/>
          </w:tcPr>
          <w:p w14:paraId="6B41352C"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Food</w:t>
            </w:r>
          </w:p>
        </w:tc>
        <w:tc>
          <w:tcPr>
            <w:tcW w:w="989" w:type="dxa"/>
            <w:tcBorders>
              <w:top w:val="nil"/>
              <w:left w:val="single" w:sz="4" w:space="0" w:color="auto"/>
              <w:bottom w:val="nil"/>
              <w:right w:val="single" w:sz="4" w:space="0" w:color="auto"/>
            </w:tcBorders>
            <w:shd w:val="clear" w:color="000000" w:fill="FFFFFF"/>
            <w:noWrap/>
            <w:vAlign w:val="bottom"/>
            <w:hideMark/>
          </w:tcPr>
          <w:p w14:paraId="3FA1CACD"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-10.3</w:t>
            </w:r>
          </w:p>
        </w:tc>
        <w:tc>
          <w:tcPr>
            <w:tcW w:w="2371" w:type="dxa"/>
            <w:tcBorders>
              <w:top w:val="nil"/>
              <w:left w:val="nil"/>
              <w:bottom w:val="nil"/>
              <w:right w:val="single" w:sz="4" w:space="0" w:color="auto"/>
            </w:tcBorders>
            <w:shd w:val="clear" w:color="000000" w:fill="FFFFFF"/>
            <w:noWrap/>
            <w:vAlign w:val="bottom"/>
            <w:hideMark/>
          </w:tcPr>
          <w:p w14:paraId="3CEDF104"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-235</w:t>
            </w:r>
          </w:p>
        </w:tc>
        <w:tc>
          <w:tcPr>
            <w:tcW w:w="1013" w:type="dxa"/>
            <w:tcBorders>
              <w:top w:val="nil"/>
              <w:left w:val="nil"/>
              <w:bottom w:val="nil"/>
              <w:right w:val="single" w:sz="4" w:space="0" w:color="auto"/>
            </w:tcBorders>
            <w:shd w:val="clear" w:color="000000" w:fill="FFFFFF"/>
            <w:noWrap/>
            <w:vAlign w:val="bottom"/>
            <w:hideMark/>
          </w:tcPr>
          <w:p w14:paraId="0F43F86E"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-25.0</w:t>
            </w:r>
          </w:p>
        </w:tc>
        <w:tc>
          <w:tcPr>
            <w:tcW w:w="2427" w:type="dxa"/>
            <w:tcBorders>
              <w:top w:val="nil"/>
              <w:left w:val="nil"/>
              <w:bottom w:val="nil"/>
              <w:right w:val="nil"/>
            </w:tcBorders>
            <w:shd w:val="clear" w:color="000000" w:fill="FFFFFF"/>
            <w:noWrap/>
            <w:vAlign w:val="bottom"/>
            <w:hideMark/>
          </w:tcPr>
          <w:p w14:paraId="3D9E3C7F"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-898</w:t>
            </w:r>
          </w:p>
        </w:tc>
      </w:tr>
      <w:tr w:rsidR="00E274F4" w:rsidRPr="00E274F4" w14:paraId="7C3785D7" w14:textId="77777777" w:rsidTr="00E274F4">
        <w:trPr>
          <w:trHeight w:val="288"/>
        </w:trPr>
        <w:tc>
          <w:tcPr>
            <w:tcW w:w="2520" w:type="dxa"/>
            <w:tcBorders>
              <w:top w:val="nil"/>
              <w:left w:val="nil"/>
              <w:bottom w:val="nil"/>
              <w:right w:val="nil"/>
            </w:tcBorders>
            <w:shd w:val="clear" w:color="000000" w:fill="FFFFFF"/>
            <w:noWrap/>
            <w:vAlign w:val="bottom"/>
            <w:hideMark/>
          </w:tcPr>
          <w:p w14:paraId="2A3FEFC7"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Clothing</w:t>
            </w:r>
          </w:p>
        </w:tc>
        <w:tc>
          <w:tcPr>
            <w:tcW w:w="989" w:type="dxa"/>
            <w:tcBorders>
              <w:top w:val="nil"/>
              <w:left w:val="single" w:sz="4" w:space="0" w:color="auto"/>
              <w:bottom w:val="nil"/>
              <w:right w:val="single" w:sz="4" w:space="0" w:color="auto"/>
            </w:tcBorders>
            <w:shd w:val="clear" w:color="000000" w:fill="FFFFFF"/>
            <w:noWrap/>
            <w:vAlign w:val="bottom"/>
            <w:hideMark/>
          </w:tcPr>
          <w:p w14:paraId="71DE6342"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-3.0</w:t>
            </w:r>
          </w:p>
        </w:tc>
        <w:tc>
          <w:tcPr>
            <w:tcW w:w="2371" w:type="dxa"/>
            <w:tcBorders>
              <w:top w:val="nil"/>
              <w:left w:val="nil"/>
              <w:bottom w:val="nil"/>
              <w:right w:val="single" w:sz="4" w:space="0" w:color="auto"/>
            </w:tcBorders>
            <w:shd w:val="clear" w:color="000000" w:fill="FFFFFF"/>
            <w:noWrap/>
            <w:vAlign w:val="bottom"/>
            <w:hideMark/>
          </w:tcPr>
          <w:p w14:paraId="7B92BD21"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-11</w:t>
            </w:r>
          </w:p>
        </w:tc>
        <w:tc>
          <w:tcPr>
            <w:tcW w:w="1013" w:type="dxa"/>
            <w:tcBorders>
              <w:top w:val="nil"/>
              <w:left w:val="nil"/>
              <w:bottom w:val="nil"/>
              <w:right w:val="single" w:sz="4" w:space="0" w:color="auto"/>
            </w:tcBorders>
            <w:shd w:val="clear" w:color="000000" w:fill="FFFFFF"/>
            <w:noWrap/>
            <w:vAlign w:val="bottom"/>
            <w:hideMark/>
          </w:tcPr>
          <w:p w14:paraId="476E9964"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-10.6</w:t>
            </w:r>
          </w:p>
        </w:tc>
        <w:tc>
          <w:tcPr>
            <w:tcW w:w="2427" w:type="dxa"/>
            <w:tcBorders>
              <w:top w:val="nil"/>
              <w:left w:val="nil"/>
              <w:bottom w:val="nil"/>
              <w:right w:val="nil"/>
            </w:tcBorders>
            <w:shd w:val="clear" w:color="000000" w:fill="FFFFFF"/>
            <w:noWrap/>
            <w:vAlign w:val="bottom"/>
            <w:hideMark/>
          </w:tcPr>
          <w:p w14:paraId="78FF7BA6"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-72</w:t>
            </w:r>
          </w:p>
        </w:tc>
      </w:tr>
      <w:tr w:rsidR="00E274F4" w:rsidRPr="00E274F4" w14:paraId="1BEEEF4B" w14:textId="77777777" w:rsidTr="00E274F4">
        <w:trPr>
          <w:trHeight w:val="288"/>
        </w:trPr>
        <w:tc>
          <w:tcPr>
            <w:tcW w:w="2520" w:type="dxa"/>
            <w:tcBorders>
              <w:top w:val="nil"/>
              <w:left w:val="nil"/>
              <w:bottom w:val="nil"/>
              <w:right w:val="nil"/>
            </w:tcBorders>
            <w:shd w:val="clear" w:color="000000" w:fill="FFFFFF"/>
            <w:noWrap/>
            <w:vAlign w:val="bottom"/>
            <w:hideMark/>
          </w:tcPr>
          <w:p w14:paraId="791670BA"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Vehicles and parts</w:t>
            </w:r>
          </w:p>
        </w:tc>
        <w:tc>
          <w:tcPr>
            <w:tcW w:w="989" w:type="dxa"/>
            <w:tcBorders>
              <w:top w:val="nil"/>
              <w:left w:val="single" w:sz="4" w:space="0" w:color="auto"/>
              <w:bottom w:val="nil"/>
              <w:right w:val="single" w:sz="4" w:space="0" w:color="auto"/>
            </w:tcBorders>
            <w:shd w:val="clear" w:color="000000" w:fill="FFFFFF"/>
            <w:noWrap/>
            <w:vAlign w:val="bottom"/>
            <w:hideMark/>
          </w:tcPr>
          <w:p w14:paraId="6CEF97DD"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4.3</w:t>
            </w:r>
          </w:p>
        </w:tc>
        <w:tc>
          <w:tcPr>
            <w:tcW w:w="2371" w:type="dxa"/>
            <w:tcBorders>
              <w:top w:val="nil"/>
              <w:left w:val="nil"/>
              <w:bottom w:val="nil"/>
              <w:right w:val="single" w:sz="4" w:space="0" w:color="auto"/>
            </w:tcBorders>
            <w:shd w:val="clear" w:color="000000" w:fill="FFFFFF"/>
            <w:noWrap/>
            <w:vAlign w:val="bottom"/>
            <w:hideMark/>
          </w:tcPr>
          <w:p w14:paraId="3EA1E2B6"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6</w:t>
            </w:r>
          </w:p>
        </w:tc>
        <w:tc>
          <w:tcPr>
            <w:tcW w:w="1013" w:type="dxa"/>
            <w:tcBorders>
              <w:top w:val="nil"/>
              <w:left w:val="nil"/>
              <w:bottom w:val="nil"/>
              <w:right w:val="single" w:sz="4" w:space="0" w:color="auto"/>
            </w:tcBorders>
            <w:shd w:val="clear" w:color="000000" w:fill="FFFFFF"/>
            <w:noWrap/>
            <w:vAlign w:val="bottom"/>
            <w:hideMark/>
          </w:tcPr>
          <w:p w14:paraId="63832978"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12.8</w:t>
            </w:r>
          </w:p>
        </w:tc>
        <w:tc>
          <w:tcPr>
            <w:tcW w:w="2427" w:type="dxa"/>
            <w:tcBorders>
              <w:top w:val="nil"/>
              <w:left w:val="nil"/>
              <w:bottom w:val="nil"/>
              <w:right w:val="nil"/>
            </w:tcBorders>
            <w:shd w:val="clear" w:color="000000" w:fill="FFFFFF"/>
            <w:noWrap/>
            <w:vAlign w:val="bottom"/>
            <w:hideMark/>
          </w:tcPr>
          <w:p w14:paraId="39DADA21"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35</w:t>
            </w:r>
          </w:p>
        </w:tc>
      </w:tr>
      <w:tr w:rsidR="00E274F4" w:rsidRPr="00E274F4" w14:paraId="1DD073FD" w14:textId="77777777" w:rsidTr="00E274F4">
        <w:trPr>
          <w:trHeight w:val="288"/>
        </w:trPr>
        <w:tc>
          <w:tcPr>
            <w:tcW w:w="2520" w:type="dxa"/>
            <w:tcBorders>
              <w:top w:val="nil"/>
              <w:left w:val="nil"/>
              <w:bottom w:val="nil"/>
              <w:right w:val="nil"/>
            </w:tcBorders>
            <w:shd w:val="clear" w:color="000000" w:fill="FFFFFF"/>
            <w:noWrap/>
            <w:vAlign w:val="bottom"/>
            <w:hideMark/>
          </w:tcPr>
          <w:p w14:paraId="385ED8C7"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Other manufacturing</w:t>
            </w:r>
          </w:p>
        </w:tc>
        <w:tc>
          <w:tcPr>
            <w:tcW w:w="989" w:type="dxa"/>
            <w:tcBorders>
              <w:top w:val="nil"/>
              <w:left w:val="single" w:sz="4" w:space="0" w:color="auto"/>
              <w:bottom w:val="nil"/>
              <w:right w:val="single" w:sz="4" w:space="0" w:color="auto"/>
            </w:tcBorders>
            <w:shd w:val="clear" w:color="000000" w:fill="FFFFFF"/>
            <w:noWrap/>
            <w:vAlign w:val="bottom"/>
            <w:hideMark/>
          </w:tcPr>
          <w:p w14:paraId="29AF1D8A"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-0.2</w:t>
            </w:r>
          </w:p>
        </w:tc>
        <w:tc>
          <w:tcPr>
            <w:tcW w:w="2371" w:type="dxa"/>
            <w:tcBorders>
              <w:top w:val="nil"/>
              <w:left w:val="nil"/>
              <w:bottom w:val="nil"/>
              <w:right w:val="single" w:sz="4" w:space="0" w:color="auto"/>
            </w:tcBorders>
            <w:shd w:val="clear" w:color="000000" w:fill="FFFFFF"/>
            <w:noWrap/>
            <w:vAlign w:val="bottom"/>
            <w:hideMark/>
          </w:tcPr>
          <w:p w14:paraId="3E0D0968"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5</w:t>
            </w:r>
          </w:p>
        </w:tc>
        <w:tc>
          <w:tcPr>
            <w:tcW w:w="1013" w:type="dxa"/>
            <w:tcBorders>
              <w:top w:val="nil"/>
              <w:left w:val="nil"/>
              <w:bottom w:val="nil"/>
              <w:right w:val="single" w:sz="4" w:space="0" w:color="auto"/>
            </w:tcBorders>
            <w:shd w:val="clear" w:color="000000" w:fill="FFFFFF"/>
            <w:noWrap/>
            <w:vAlign w:val="bottom"/>
            <w:hideMark/>
          </w:tcPr>
          <w:p w14:paraId="152E9F32"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-0.1</w:t>
            </w:r>
          </w:p>
        </w:tc>
        <w:tc>
          <w:tcPr>
            <w:tcW w:w="2427" w:type="dxa"/>
            <w:tcBorders>
              <w:top w:val="nil"/>
              <w:left w:val="nil"/>
              <w:bottom w:val="nil"/>
              <w:right w:val="nil"/>
            </w:tcBorders>
            <w:shd w:val="clear" w:color="000000" w:fill="FFFFFF"/>
            <w:noWrap/>
            <w:vAlign w:val="bottom"/>
            <w:hideMark/>
          </w:tcPr>
          <w:p w14:paraId="389DEE6C"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25</w:t>
            </w:r>
          </w:p>
        </w:tc>
      </w:tr>
      <w:tr w:rsidR="00E274F4" w:rsidRPr="00E274F4" w14:paraId="7D4ECA3D" w14:textId="77777777" w:rsidTr="00E274F4">
        <w:trPr>
          <w:trHeight w:val="288"/>
        </w:trPr>
        <w:tc>
          <w:tcPr>
            <w:tcW w:w="2520" w:type="dxa"/>
            <w:tcBorders>
              <w:top w:val="nil"/>
              <w:left w:val="nil"/>
              <w:bottom w:val="nil"/>
              <w:right w:val="nil"/>
            </w:tcBorders>
            <w:shd w:val="clear" w:color="000000" w:fill="FFFFFF"/>
            <w:noWrap/>
            <w:vAlign w:val="bottom"/>
            <w:hideMark/>
          </w:tcPr>
          <w:p w14:paraId="60FE60B6"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Electricity</w:t>
            </w:r>
          </w:p>
        </w:tc>
        <w:tc>
          <w:tcPr>
            <w:tcW w:w="989" w:type="dxa"/>
            <w:tcBorders>
              <w:top w:val="nil"/>
              <w:left w:val="single" w:sz="4" w:space="0" w:color="auto"/>
              <w:bottom w:val="nil"/>
              <w:right w:val="single" w:sz="4" w:space="0" w:color="auto"/>
            </w:tcBorders>
            <w:shd w:val="clear" w:color="000000" w:fill="FFFFFF"/>
            <w:noWrap/>
            <w:vAlign w:val="bottom"/>
            <w:hideMark/>
          </w:tcPr>
          <w:p w14:paraId="19D121FA"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-0.4</w:t>
            </w:r>
          </w:p>
        </w:tc>
        <w:tc>
          <w:tcPr>
            <w:tcW w:w="2371" w:type="dxa"/>
            <w:tcBorders>
              <w:top w:val="nil"/>
              <w:left w:val="nil"/>
              <w:bottom w:val="nil"/>
              <w:right w:val="single" w:sz="4" w:space="0" w:color="auto"/>
            </w:tcBorders>
            <w:shd w:val="clear" w:color="000000" w:fill="FFFFFF"/>
            <w:noWrap/>
            <w:vAlign w:val="bottom"/>
            <w:hideMark/>
          </w:tcPr>
          <w:p w14:paraId="071130F7"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w:t>
            </w:r>
          </w:p>
        </w:tc>
        <w:tc>
          <w:tcPr>
            <w:tcW w:w="1013" w:type="dxa"/>
            <w:tcBorders>
              <w:top w:val="nil"/>
              <w:left w:val="nil"/>
              <w:bottom w:val="nil"/>
              <w:right w:val="single" w:sz="4" w:space="0" w:color="auto"/>
            </w:tcBorders>
            <w:shd w:val="clear" w:color="000000" w:fill="FFFFFF"/>
            <w:noWrap/>
            <w:vAlign w:val="bottom"/>
            <w:hideMark/>
          </w:tcPr>
          <w:p w14:paraId="39902F99"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-1.4</w:t>
            </w:r>
          </w:p>
        </w:tc>
        <w:tc>
          <w:tcPr>
            <w:tcW w:w="2427" w:type="dxa"/>
            <w:tcBorders>
              <w:top w:val="nil"/>
              <w:left w:val="nil"/>
              <w:bottom w:val="nil"/>
              <w:right w:val="nil"/>
            </w:tcBorders>
            <w:shd w:val="clear" w:color="000000" w:fill="FFFFFF"/>
            <w:noWrap/>
            <w:vAlign w:val="bottom"/>
            <w:hideMark/>
          </w:tcPr>
          <w:p w14:paraId="6B7EDF70"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-2</w:t>
            </w:r>
          </w:p>
        </w:tc>
      </w:tr>
      <w:tr w:rsidR="00E274F4" w:rsidRPr="00E274F4" w14:paraId="46E0C863" w14:textId="77777777" w:rsidTr="00E274F4">
        <w:trPr>
          <w:trHeight w:val="288"/>
        </w:trPr>
        <w:tc>
          <w:tcPr>
            <w:tcW w:w="2520" w:type="dxa"/>
            <w:tcBorders>
              <w:top w:val="nil"/>
              <w:left w:val="nil"/>
              <w:bottom w:val="nil"/>
              <w:right w:val="nil"/>
            </w:tcBorders>
            <w:shd w:val="clear" w:color="000000" w:fill="FFFFFF"/>
            <w:noWrap/>
            <w:vAlign w:val="bottom"/>
            <w:hideMark/>
          </w:tcPr>
          <w:p w14:paraId="52B17E6B"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Petroleum</w:t>
            </w:r>
          </w:p>
        </w:tc>
        <w:tc>
          <w:tcPr>
            <w:tcW w:w="989" w:type="dxa"/>
            <w:tcBorders>
              <w:top w:val="nil"/>
              <w:left w:val="single" w:sz="4" w:space="0" w:color="auto"/>
              <w:bottom w:val="nil"/>
              <w:right w:val="single" w:sz="4" w:space="0" w:color="auto"/>
            </w:tcBorders>
            <w:shd w:val="clear" w:color="000000" w:fill="FFFFFF"/>
            <w:noWrap/>
            <w:vAlign w:val="bottom"/>
            <w:hideMark/>
          </w:tcPr>
          <w:p w14:paraId="7E4BBD3D"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0.0</w:t>
            </w:r>
          </w:p>
        </w:tc>
        <w:tc>
          <w:tcPr>
            <w:tcW w:w="2371" w:type="dxa"/>
            <w:tcBorders>
              <w:top w:val="nil"/>
              <w:left w:val="nil"/>
              <w:bottom w:val="nil"/>
              <w:right w:val="single" w:sz="4" w:space="0" w:color="auto"/>
            </w:tcBorders>
            <w:shd w:val="clear" w:color="000000" w:fill="FFFFFF"/>
            <w:noWrap/>
            <w:vAlign w:val="bottom"/>
            <w:hideMark/>
          </w:tcPr>
          <w:p w14:paraId="3AA7BC5B"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w:t>
            </w:r>
          </w:p>
        </w:tc>
        <w:tc>
          <w:tcPr>
            <w:tcW w:w="1013" w:type="dxa"/>
            <w:tcBorders>
              <w:top w:val="nil"/>
              <w:left w:val="nil"/>
              <w:bottom w:val="nil"/>
              <w:right w:val="single" w:sz="4" w:space="0" w:color="auto"/>
            </w:tcBorders>
            <w:shd w:val="clear" w:color="000000" w:fill="FFFFFF"/>
            <w:noWrap/>
            <w:vAlign w:val="bottom"/>
            <w:hideMark/>
          </w:tcPr>
          <w:p w14:paraId="4FF1B7D0"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0.0</w:t>
            </w:r>
          </w:p>
        </w:tc>
        <w:tc>
          <w:tcPr>
            <w:tcW w:w="2427" w:type="dxa"/>
            <w:tcBorders>
              <w:top w:val="nil"/>
              <w:left w:val="nil"/>
              <w:bottom w:val="nil"/>
              <w:right w:val="nil"/>
            </w:tcBorders>
            <w:shd w:val="clear" w:color="000000" w:fill="FFFFFF"/>
            <w:noWrap/>
            <w:vAlign w:val="bottom"/>
            <w:hideMark/>
          </w:tcPr>
          <w:p w14:paraId="07258EB7"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w:t>
            </w:r>
          </w:p>
        </w:tc>
      </w:tr>
      <w:tr w:rsidR="00E274F4" w:rsidRPr="00E274F4" w14:paraId="35D5832B" w14:textId="77777777" w:rsidTr="00E274F4">
        <w:trPr>
          <w:trHeight w:val="288"/>
        </w:trPr>
        <w:tc>
          <w:tcPr>
            <w:tcW w:w="2520" w:type="dxa"/>
            <w:tcBorders>
              <w:top w:val="nil"/>
              <w:left w:val="nil"/>
              <w:bottom w:val="nil"/>
              <w:right w:val="nil"/>
            </w:tcBorders>
            <w:shd w:val="clear" w:color="000000" w:fill="FFFFFF"/>
            <w:noWrap/>
            <w:vAlign w:val="bottom"/>
            <w:hideMark/>
          </w:tcPr>
          <w:p w14:paraId="387469DD"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Other energy</w:t>
            </w:r>
          </w:p>
        </w:tc>
        <w:tc>
          <w:tcPr>
            <w:tcW w:w="989" w:type="dxa"/>
            <w:tcBorders>
              <w:top w:val="nil"/>
              <w:left w:val="single" w:sz="4" w:space="0" w:color="auto"/>
              <w:bottom w:val="nil"/>
              <w:right w:val="single" w:sz="4" w:space="0" w:color="auto"/>
            </w:tcBorders>
            <w:shd w:val="clear" w:color="000000" w:fill="FFFFFF"/>
            <w:noWrap/>
            <w:vAlign w:val="bottom"/>
            <w:hideMark/>
          </w:tcPr>
          <w:p w14:paraId="650E0C57"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0.0</w:t>
            </w:r>
          </w:p>
        </w:tc>
        <w:tc>
          <w:tcPr>
            <w:tcW w:w="2371" w:type="dxa"/>
            <w:tcBorders>
              <w:top w:val="nil"/>
              <w:left w:val="nil"/>
              <w:bottom w:val="nil"/>
              <w:right w:val="single" w:sz="4" w:space="0" w:color="auto"/>
            </w:tcBorders>
            <w:shd w:val="clear" w:color="000000" w:fill="FFFFFF"/>
            <w:noWrap/>
            <w:vAlign w:val="bottom"/>
            <w:hideMark/>
          </w:tcPr>
          <w:p w14:paraId="66FC4344"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w:t>
            </w:r>
          </w:p>
        </w:tc>
        <w:tc>
          <w:tcPr>
            <w:tcW w:w="1013" w:type="dxa"/>
            <w:tcBorders>
              <w:top w:val="nil"/>
              <w:left w:val="nil"/>
              <w:bottom w:val="nil"/>
              <w:right w:val="single" w:sz="4" w:space="0" w:color="auto"/>
            </w:tcBorders>
            <w:shd w:val="clear" w:color="000000" w:fill="FFFFFF"/>
            <w:noWrap/>
            <w:vAlign w:val="bottom"/>
            <w:hideMark/>
          </w:tcPr>
          <w:p w14:paraId="76AD637D"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-0.1</w:t>
            </w:r>
          </w:p>
        </w:tc>
        <w:tc>
          <w:tcPr>
            <w:tcW w:w="2427" w:type="dxa"/>
            <w:tcBorders>
              <w:top w:val="nil"/>
              <w:left w:val="nil"/>
              <w:bottom w:val="nil"/>
              <w:right w:val="nil"/>
            </w:tcBorders>
            <w:shd w:val="clear" w:color="000000" w:fill="FFFFFF"/>
            <w:noWrap/>
            <w:vAlign w:val="bottom"/>
            <w:hideMark/>
          </w:tcPr>
          <w:p w14:paraId="74CE9FCD"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w:t>
            </w:r>
          </w:p>
        </w:tc>
      </w:tr>
      <w:tr w:rsidR="00E274F4" w:rsidRPr="00E274F4" w14:paraId="49D44841" w14:textId="77777777" w:rsidTr="00E274F4">
        <w:trPr>
          <w:trHeight w:val="288"/>
        </w:trPr>
        <w:tc>
          <w:tcPr>
            <w:tcW w:w="2520" w:type="dxa"/>
            <w:tcBorders>
              <w:top w:val="nil"/>
              <w:left w:val="nil"/>
              <w:bottom w:val="nil"/>
              <w:right w:val="nil"/>
            </w:tcBorders>
            <w:shd w:val="clear" w:color="000000" w:fill="FFFFFF"/>
            <w:noWrap/>
            <w:vAlign w:val="bottom"/>
            <w:hideMark/>
          </w:tcPr>
          <w:p w14:paraId="5B15E0A9"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Transport services</w:t>
            </w:r>
          </w:p>
        </w:tc>
        <w:tc>
          <w:tcPr>
            <w:tcW w:w="989" w:type="dxa"/>
            <w:tcBorders>
              <w:top w:val="nil"/>
              <w:left w:val="single" w:sz="4" w:space="0" w:color="auto"/>
              <w:bottom w:val="nil"/>
              <w:right w:val="single" w:sz="4" w:space="0" w:color="auto"/>
            </w:tcBorders>
            <w:shd w:val="clear" w:color="000000" w:fill="FFFFFF"/>
            <w:noWrap/>
            <w:vAlign w:val="bottom"/>
            <w:hideMark/>
          </w:tcPr>
          <w:p w14:paraId="71589DA4"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-1.4</w:t>
            </w:r>
          </w:p>
        </w:tc>
        <w:tc>
          <w:tcPr>
            <w:tcW w:w="2371" w:type="dxa"/>
            <w:tcBorders>
              <w:top w:val="nil"/>
              <w:left w:val="nil"/>
              <w:bottom w:val="nil"/>
              <w:right w:val="single" w:sz="4" w:space="0" w:color="auto"/>
            </w:tcBorders>
            <w:shd w:val="clear" w:color="000000" w:fill="FFFFFF"/>
            <w:noWrap/>
            <w:vAlign w:val="bottom"/>
            <w:hideMark/>
          </w:tcPr>
          <w:p w14:paraId="6FA48C25"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-9</w:t>
            </w:r>
          </w:p>
        </w:tc>
        <w:tc>
          <w:tcPr>
            <w:tcW w:w="1013" w:type="dxa"/>
            <w:tcBorders>
              <w:top w:val="nil"/>
              <w:left w:val="nil"/>
              <w:bottom w:val="nil"/>
              <w:right w:val="single" w:sz="4" w:space="0" w:color="auto"/>
            </w:tcBorders>
            <w:shd w:val="clear" w:color="000000" w:fill="FFFFFF"/>
            <w:noWrap/>
            <w:vAlign w:val="bottom"/>
            <w:hideMark/>
          </w:tcPr>
          <w:p w14:paraId="16A1531E"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-6.1</w:t>
            </w:r>
          </w:p>
        </w:tc>
        <w:tc>
          <w:tcPr>
            <w:tcW w:w="2427" w:type="dxa"/>
            <w:tcBorders>
              <w:top w:val="nil"/>
              <w:left w:val="nil"/>
              <w:bottom w:val="nil"/>
              <w:right w:val="nil"/>
            </w:tcBorders>
            <w:shd w:val="clear" w:color="000000" w:fill="FFFFFF"/>
            <w:noWrap/>
            <w:vAlign w:val="bottom"/>
            <w:hideMark/>
          </w:tcPr>
          <w:p w14:paraId="45FE5A20"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-82</w:t>
            </w:r>
          </w:p>
        </w:tc>
      </w:tr>
      <w:tr w:rsidR="00E274F4" w:rsidRPr="00E274F4" w14:paraId="1A9783EC" w14:textId="77777777" w:rsidTr="00E274F4">
        <w:trPr>
          <w:trHeight w:val="288"/>
        </w:trPr>
        <w:tc>
          <w:tcPr>
            <w:tcW w:w="2520" w:type="dxa"/>
            <w:tcBorders>
              <w:top w:val="nil"/>
              <w:left w:val="nil"/>
              <w:bottom w:val="nil"/>
              <w:right w:val="nil"/>
            </w:tcBorders>
            <w:shd w:val="clear" w:color="000000" w:fill="FFFFFF"/>
            <w:noWrap/>
            <w:vAlign w:val="bottom"/>
            <w:hideMark/>
          </w:tcPr>
          <w:p w14:paraId="6FE4BC27"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Other services</w:t>
            </w:r>
          </w:p>
        </w:tc>
        <w:tc>
          <w:tcPr>
            <w:tcW w:w="989" w:type="dxa"/>
            <w:tcBorders>
              <w:top w:val="nil"/>
              <w:left w:val="single" w:sz="4" w:space="0" w:color="auto"/>
              <w:bottom w:val="nil"/>
              <w:right w:val="single" w:sz="4" w:space="0" w:color="auto"/>
            </w:tcBorders>
            <w:shd w:val="clear" w:color="000000" w:fill="FFFFFF"/>
            <w:noWrap/>
            <w:vAlign w:val="bottom"/>
            <w:hideMark/>
          </w:tcPr>
          <w:p w14:paraId="35131C81"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1.2</w:t>
            </w:r>
          </w:p>
        </w:tc>
        <w:tc>
          <w:tcPr>
            <w:tcW w:w="2371" w:type="dxa"/>
            <w:tcBorders>
              <w:top w:val="nil"/>
              <w:left w:val="nil"/>
              <w:bottom w:val="nil"/>
              <w:right w:val="single" w:sz="4" w:space="0" w:color="auto"/>
            </w:tcBorders>
            <w:shd w:val="clear" w:color="000000" w:fill="FFFFFF"/>
            <w:noWrap/>
            <w:vAlign w:val="bottom"/>
            <w:hideMark/>
          </w:tcPr>
          <w:p w14:paraId="39394FEA"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224</w:t>
            </w:r>
          </w:p>
        </w:tc>
        <w:tc>
          <w:tcPr>
            <w:tcW w:w="1013" w:type="dxa"/>
            <w:tcBorders>
              <w:top w:val="nil"/>
              <w:left w:val="nil"/>
              <w:bottom w:val="nil"/>
              <w:right w:val="single" w:sz="4" w:space="0" w:color="auto"/>
            </w:tcBorders>
            <w:shd w:val="clear" w:color="000000" w:fill="FFFFFF"/>
            <w:noWrap/>
            <w:vAlign w:val="bottom"/>
            <w:hideMark/>
          </w:tcPr>
          <w:p w14:paraId="66BB8FAF"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3.6</w:t>
            </w:r>
          </w:p>
        </w:tc>
        <w:tc>
          <w:tcPr>
            <w:tcW w:w="2427" w:type="dxa"/>
            <w:tcBorders>
              <w:top w:val="nil"/>
              <w:left w:val="nil"/>
              <w:bottom w:val="nil"/>
              <w:right w:val="nil"/>
            </w:tcBorders>
            <w:shd w:val="clear" w:color="000000" w:fill="FFFFFF"/>
            <w:noWrap/>
            <w:vAlign w:val="bottom"/>
            <w:hideMark/>
          </w:tcPr>
          <w:p w14:paraId="448417F2"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931</w:t>
            </w:r>
          </w:p>
        </w:tc>
      </w:tr>
      <w:tr w:rsidR="00E274F4" w:rsidRPr="00E274F4" w14:paraId="02137A1D" w14:textId="77777777" w:rsidTr="00E274F4">
        <w:trPr>
          <w:trHeight w:val="288"/>
        </w:trPr>
        <w:tc>
          <w:tcPr>
            <w:tcW w:w="2520" w:type="dxa"/>
            <w:tcBorders>
              <w:top w:val="nil"/>
              <w:left w:val="nil"/>
              <w:bottom w:val="nil"/>
              <w:right w:val="nil"/>
            </w:tcBorders>
            <w:shd w:val="clear" w:color="000000" w:fill="FFFFFF"/>
            <w:noWrap/>
            <w:vAlign w:val="bottom"/>
            <w:hideMark/>
          </w:tcPr>
          <w:p w14:paraId="41ACA284"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Other</w:t>
            </w:r>
          </w:p>
        </w:tc>
        <w:tc>
          <w:tcPr>
            <w:tcW w:w="989" w:type="dxa"/>
            <w:tcBorders>
              <w:top w:val="nil"/>
              <w:left w:val="single" w:sz="4" w:space="0" w:color="auto"/>
              <w:bottom w:val="single" w:sz="4" w:space="0" w:color="auto"/>
              <w:right w:val="single" w:sz="4" w:space="0" w:color="auto"/>
            </w:tcBorders>
            <w:shd w:val="clear" w:color="000000" w:fill="FFFFFF"/>
            <w:noWrap/>
            <w:vAlign w:val="bottom"/>
            <w:hideMark/>
          </w:tcPr>
          <w:p w14:paraId="16E37B1F"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0.2</w:t>
            </w:r>
          </w:p>
        </w:tc>
        <w:tc>
          <w:tcPr>
            <w:tcW w:w="2371" w:type="dxa"/>
            <w:tcBorders>
              <w:top w:val="nil"/>
              <w:left w:val="nil"/>
              <w:bottom w:val="single" w:sz="4" w:space="0" w:color="auto"/>
              <w:right w:val="single" w:sz="4" w:space="0" w:color="auto"/>
            </w:tcBorders>
            <w:shd w:val="clear" w:color="000000" w:fill="FFFFFF"/>
            <w:noWrap/>
            <w:vAlign w:val="bottom"/>
            <w:hideMark/>
          </w:tcPr>
          <w:p w14:paraId="2FF70D95"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13</w:t>
            </w:r>
          </w:p>
        </w:tc>
        <w:tc>
          <w:tcPr>
            <w:tcW w:w="1013" w:type="dxa"/>
            <w:tcBorders>
              <w:top w:val="nil"/>
              <w:left w:val="nil"/>
              <w:bottom w:val="single" w:sz="4" w:space="0" w:color="auto"/>
              <w:right w:val="single" w:sz="4" w:space="0" w:color="auto"/>
            </w:tcBorders>
            <w:shd w:val="clear" w:color="000000" w:fill="FFFFFF"/>
            <w:noWrap/>
            <w:vAlign w:val="bottom"/>
            <w:hideMark/>
          </w:tcPr>
          <w:p w14:paraId="33D0E53F"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1.9</w:t>
            </w:r>
          </w:p>
        </w:tc>
        <w:tc>
          <w:tcPr>
            <w:tcW w:w="2427" w:type="dxa"/>
            <w:tcBorders>
              <w:top w:val="nil"/>
              <w:left w:val="nil"/>
              <w:bottom w:val="single" w:sz="4" w:space="0" w:color="auto"/>
              <w:right w:val="nil"/>
            </w:tcBorders>
            <w:shd w:val="clear" w:color="000000" w:fill="FFFFFF"/>
            <w:noWrap/>
            <w:vAlign w:val="bottom"/>
            <w:hideMark/>
          </w:tcPr>
          <w:p w14:paraId="6FF76CBD"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67</w:t>
            </w:r>
          </w:p>
        </w:tc>
      </w:tr>
      <w:tr w:rsidR="00E274F4" w:rsidRPr="00E274F4" w14:paraId="707D551A" w14:textId="77777777" w:rsidTr="00E274F4">
        <w:trPr>
          <w:trHeight w:val="288"/>
        </w:trPr>
        <w:tc>
          <w:tcPr>
            <w:tcW w:w="2520" w:type="dxa"/>
            <w:tcBorders>
              <w:top w:val="single" w:sz="4" w:space="0" w:color="auto"/>
              <w:left w:val="nil"/>
              <w:bottom w:val="single" w:sz="4" w:space="0" w:color="auto"/>
              <w:right w:val="nil"/>
            </w:tcBorders>
            <w:shd w:val="clear" w:color="000000" w:fill="FFFFFF"/>
            <w:noWrap/>
            <w:vAlign w:val="bottom"/>
            <w:hideMark/>
          </w:tcPr>
          <w:p w14:paraId="404049EE" w14:textId="77777777" w:rsidR="00E274F4" w:rsidRPr="00E274F4" w:rsidRDefault="00E274F4" w:rsidP="00E274F4">
            <w:pPr>
              <w:spacing w:after="0"/>
              <w:jc w:val="left"/>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Total GDP</w:t>
            </w:r>
          </w:p>
        </w:tc>
        <w:tc>
          <w:tcPr>
            <w:tcW w:w="989" w:type="dxa"/>
            <w:tcBorders>
              <w:top w:val="nil"/>
              <w:left w:val="single" w:sz="4" w:space="0" w:color="auto"/>
              <w:bottom w:val="single" w:sz="4" w:space="0" w:color="auto"/>
              <w:right w:val="nil"/>
            </w:tcBorders>
            <w:shd w:val="clear" w:color="000000" w:fill="FFFFFF"/>
            <w:noWrap/>
            <w:vAlign w:val="bottom"/>
            <w:hideMark/>
          </w:tcPr>
          <w:p w14:paraId="7D610D6C"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0.0</w:t>
            </w:r>
          </w:p>
        </w:tc>
        <w:tc>
          <w:tcPr>
            <w:tcW w:w="2371" w:type="dxa"/>
            <w:tcBorders>
              <w:top w:val="nil"/>
              <w:left w:val="single" w:sz="4" w:space="0" w:color="auto"/>
              <w:bottom w:val="single" w:sz="4" w:space="0" w:color="auto"/>
              <w:right w:val="single" w:sz="4" w:space="0" w:color="auto"/>
            </w:tcBorders>
            <w:shd w:val="clear" w:color="000000" w:fill="FFFFFF"/>
            <w:noWrap/>
            <w:vAlign w:val="bottom"/>
            <w:hideMark/>
          </w:tcPr>
          <w:p w14:paraId="0F4CD08A"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-7</w:t>
            </w:r>
          </w:p>
        </w:tc>
        <w:tc>
          <w:tcPr>
            <w:tcW w:w="1013" w:type="dxa"/>
            <w:tcBorders>
              <w:top w:val="nil"/>
              <w:left w:val="nil"/>
              <w:bottom w:val="single" w:sz="4" w:space="0" w:color="auto"/>
              <w:right w:val="single" w:sz="4" w:space="0" w:color="auto"/>
            </w:tcBorders>
            <w:shd w:val="clear" w:color="000000" w:fill="FFFFFF"/>
            <w:noWrap/>
            <w:vAlign w:val="bottom"/>
            <w:hideMark/>
          </w:tcPr>
          <w:p w14:paraId="10E8EB9E"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0.3</w:t>
            </w:r>
          </w:p>
        </w:tc>
        <w:tc>
          <w:tcPr>
            <w:tcW w:w="2427" w:type="dxa"/>
            <w:tcBorders>
              <w:top w:val="nil"/>
              <w:left w:val="nil"/>
              <w:bottom w:val="single" w:sz="4" w:space="0" w:color="auto"/>
              <w:right w:val="nil"/>
            </w:tcBorders>
            <w:shd w:val="clear" w:color="000000" w:fill="FFFFFF"/>
            <w:noWrap/>
            <w:vAlign w:val="bottom"/>
            <w:hideMark/>
          </w:tcPr>
          <w:p w14:paraId="52A3C9B0" w14:textId="77777777" w:rsidR="00E274F4" w:rsidRPr="00E274F4" w:rsidRDefault="00E274F4" w:rsidP="00E274F4">
            <w:pPr>
              <w:spacing w:after="0"/>
              <w:jc w:val="center"/>
              <w:rPr>
                <w:rFonts w:ascii="Calibri Light" w:eastAsia="Times New Roman" w:hAnsi="Calibri Light" w:cs="Calibri Light"/>
                <w:color w:val="000000"/>
                <w:sz w:val="20"/>
                <w:szCs w:val="20"/>
                <w:lang w:eastAsia="en-ZA"/>
              </w:rPr>
            </w:pPr>
            <w:r w:rsidRPr="00E274F4">
              <w:rPr>
                <w:rFonts w:ascii="Calibri Light" w:eastAsia="Times New Roman" w:hAnsi="Calibri Light" w:cs="Calibri Light"/>
                <w:color w:val="000000"/>
                <w:sz w:val="20"/>
                <w:szCs w:val="20"/>
                <w:lang w:eastAsia="en-ZA"/>
              </w:rPr>
              <w:t>3</w:t>
            </w:r>
          </w:p>
        </w:tc>
      </w:tr>
    </w:tbl>
    <w:p w14:paraId="47E83948" w14:textId="5EE06BE6" w:rsidR="00DA7912" w:rsidRDefault="00DA7912" w:rsidP="0045354C">
      <w:pPr>
        <w:pStyle w:val="Caption"/>
        <w:spacing w:before="120"/>
        <w:contextualSpacing/>
        <w:jc w:val="both"/>
      </w:pPr>
      <w:r>
        <w:t xml:space="preserve">Source: </w:t>
      </w:r>
      <w:proofErr w:type="spellStart"/>
      <w:r>
        <w:t>eSAGE</w:t>
      </w:r>
      <w:proofErr w:type="spellEnd"/>
      <w:r>
        <w:t xml:space="preserve"> results</w:t>
      </w:r>
    </w:p>
    <w:p w14:paraId="66C221D0" w14:textId="7D8ADDBD" w:rsidR="00E237EB" w:rsidRDefault="00EF1FB8" w:rsidP="00E237EB">
      <w:r>
        <w:fldChar w:fldCharType="begin"/>
      </w:r>
      <w:r>
        <w:instrText xml:space="preserve"> REF _Ref33752902 \h </w:instrText>
      </w:r>
      <w:r>
        <w:fldChar w:fldCharType="separate"/>
      </w:r>
      <w:r w:rsidR="001D4331">
        <w:t xml:space="preserve">Figure </w:t>
      </w:r>
      <w:r w:rsidR="001D4331">
        <w:rPr>
          <w:noProof/>
        </w:rPr>
        <w:t>9</w:t>
      </w:r>
      <w:r>
        <w:fldChar w:fldCharType="end"/>
      </w:r>
      <w:r w:rsidR="00A572FD">
        <w:t xml:space="preserve"> below present</w:t>
      </w:r>
      <w:r w:rsidR="00A958CA">
        <w:t>s</w:t>
      </w:r>
      <w:r w:rsidR="00A572FD">
        <w:t xml:space="preserve"> the change in the structure of GDP between the Reference and </w:t>
      </w:r>
      <w:proofErr w:type="spellStart"/>
      <w:r w:rsidR="00A572FD">
        <w:t>BudShrAdj</w:t>
      </w:r>
      <w:proofErr w:type="spellEnd"/>
      <w:r w:rsidR="00A572FD">
        <w:t xml:space="preserve"> scenarios. The shares of Manufacturing and Services sectors </w:t>
      </w:r>
      <w:r w:rsidR="00A958CA">
        <w:t xml:space="preserve">increases between the scenarios while </w:t>
      </w:r>
      <w:r w:rsidR="00A958CA">
        <w:lastRenderedPageBreak/>
        <w:t xml:space="preserve">that of Food and Energy decreases. The decline in the share of Energy’s share of GDP suggests that the energy intensity of the economy is lower in the </w:t>
      </w:r>
      <w:proofErr w:type="spellStart"/>
      <w:r w:rsidR="00A958CA">
        <w:t>BudShrAdj</w:t>
      </w:r>
      <w:proofErr w:type="spellEnd"/>
      <w:r w:rsidR="00A958CA">
        <w:t xml:space="preserve"> scenario relative to the Reference scenario.</w:t>
      </w:r>
    </w:p>
    <w:p w14:paraId="6EF15EC6" w14:textId="7AC34118" w:rsidR="00751B11" w:rsidRDefault="007A4E38" w:rsidP="00E237EB">
      <w:r>
        <w:rPr>
          <w:noProof/>
        </w:rPr>
        <w:drawing>
          <wp:inline distT="0" distB="0" distL="0" distR="0" wp14:anchorId="2FA52D88" wp14:editId="5D567D2F">
            <wp:extent cx="5759450" cy="4178935"/>
            <wp:effectExtent l="0" t="0" r="12700" b="12065"/>
            <wp:docPr id="33" name="Chart 33">
              <a:extLst xmlns:a="http://schemas.openxmlformats.org/drawingml/2006/main">
                <a:ext uri="{FF2B5EF4-FFF2-40B4-BE49-F238E27FC236}">
                  <a16:creationId xmlns:a16="http://schemas.microsoft.com/office/drawing/2014/main" id="{A1E8A714-9ADE-4A6D-BE43-8C2CA14CF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460240" w14:textId="399B763D" w:rsidR="00243AC9" w:rsidRDefault="00243AC9" w:rsidP="00243AC9">
      <w:pPr>
        <w:pStyle w:val="Caption"/>
        <w:contextualSpacing/>
        <w:jc w:val="both"/>
      </w:pPr>
      <w:bookmarkStart w:id="15" w:name="_Ref33752902"/>
      <w:r>
        <w:t xml:space="preserve">Figure </w:t>
      </w:r>
      <w:r>
        <w:fldChar w:fldCharType="begin"/>
      </w:r>
      <w:r>
        <w:instrText xml:space="preserve"> SEQ Figure \* ARABIC </w:instrText>
      </w:r>
      <w:r>
        <w:fldChar w:fldCharType="separate"/>
      </w:r>
      <w:r w:rsidR="001D4331">
        <w:t>9</w:t>
      </w:r>
      <w:r>
        <w:fldChar w:fldCharType="end"/>
      </w:r>
      <w:bookmarkEnd w:id="15"/>
      <w:r w:rsidRPr="00243AC9">
        <w:t xml:space="preserve"> </w:t>
      </w:r>
      <w:r>
        <w:t>Real sector GDP as a share of total real GDP, 2012-2050</w:t>
      </w:r>
    </w:p>
    <w:p w14:paraId="69D0F849" w14:textId="2223B542" w:rsidR="00243AC9" w:rsidRDefault="00243AC9" w:rsidP="00243AC9">
      <w:pPr>
        <w:pStyle w:val="Caption"/>
        <w:contextualSpacing/>
        <w:jc w:val="both"/>
      </w:pPr>
      <w:r>
        <w:t xml:space="preserve">Source: </w:t>
      </w:r>
      <w:proofErr w:type="spellStart"/>
      <w:r>
        <w:t>eSAGE</w:t>
      </w:r>
      <w:proofErr w:type="spellEnd"/>
      <w:r>
        <w:t xml:space="preserve"> results</w:t>
      </w:r>
    </w:p>
    <w:p w14:paraId="0414C798" w14:textId="78CEDFAC" w:rsidR="00033859" w:rsidRDefault="00033859" w:rsidP="000E01D8">
      <w:pPr>
        <w:pStyle w:val="Heading2"/>
        <w:numPr>
          <w:ilvl w:val="1"/>
          <w:numId w:val="2"/>
        </w:numPr>
        <w:spacing w:after="120"/>
      </w:pPr>
      <w:r>
        <w:t>Implications for planning</w:t>
      </w:r>
      <w:r w:rsidR="00D47B93">
        <w:t>: the case of energy</w:t>
      </w:r>
    </w:p>
    <w:p w14:paraId="5DDB45D8" w14:textId="18A45D89" w:rsidR="00D47B93" w:rsidRDefault="003A1EA4" w:rsidP="00193652">
      <w:r w:rsidRPr="003A1EA4">
        <w:t>Changing household consumption patterns has important implications for infrastructure planning, particularly for energy capacity, as it not only changes households’ demand for goods and services but also that of the producti</w:t>
      </w:r>
      <w:r w:rsidR="00822E8C">
        <w:t>on</w:t>
      </w:r>
      <w:r w:rsidRPr="003A1EA4">
        <w:t xml:space="preserve"> sector. </w:t>
      </w:r>
      <w:r w:rsidR="00BB0AE5">
        <w:fldChar w:fldCharType="begin"/>
      </w:r>
      <w:r w:rsidR="00BB0AE5">
        <w:instrText xml:space="preserve"> REF _Ref33752958 \h </w:instrText>
      </w:r>
      <w:r w:rsidR="00BB0AE5">
        <w:fldChar w:fldCharType="separate"/>
      </w:r>
      <w:r w:rsidR="001D4331">
        <w:t xml:space="preserve">Figure </w:t>
      </w:r>
      <w:r w:rsidR="001D4331">
        <w:rPr>
          <w:noProof/>
        </w:rPr>
        <w:t>10</w:t>
      </w:r>
      <w:r w:rsidR="00BB0AE5">
        <w:fldChar w:fldCharType="end"/>
      </w:r>
      <w:r w:rsidR="00BB0AE5">
        <w:t xml:space="preserve"> </w:t>
      </w:r>
      <w:r w:rsidRPr="003A1EA4">
        <w:t xml:space="preserve">presents the difference in total household energy demand between the </w:t>
      </w:r>
      <w:proofErr w:type="spellStart"/>
      <w:r w:rsidRPr="003A1EA4">
        <w:t>BudShrAdj</w:t>
      </w:r>
      <w:proofErr w:type="spellEnd"/>
      <w:r w:rsidRPr="003A1EA4">
        <w:t xml:space="preserve"> and Reference scenarios. The decline in consumption share allocation to energy in the </w:t>
      </w:r>
      <w:proofErr w:type="spellStart"/>
      <w:r w:rsidRPr="003A1EA4">
        <w:t>BudShrAdj</w:t>
      </w:r>
      <w:proofErr w:type="spellEnd"/>
      <w:r w:rsidRPr="003A1EA4">
        <w:t xml:space="preserve"> scenario results in a decline in total energy purchased by household</w:t>
      </w:r>
      <w:r w:rsidR="00D60FE6">
        <w:t>s</w:t>
      </w:r>
      <w:r w:rsidRPr="003A1EA4">
        <w:t xml:space="preserve">. Relative to the Reference scenario, residential energy demand is 91PJ lower in the </w:t>
      </w:r>
      <w:proofErr w:type="spellStart"/>
      <w:r w:rsidRPr="003A1EA4">
        <w:t>BudShrAdj</w:t>
      </w:r>
      <w:proofErr w:type="spellEnd"/>
      <w:r w:rsidRPr="003A1EA4">
        <w:t xml:space="preserve"> scenario. The decline in demand occurs across all energy groups, although the largest decline is for other liquid fuels, which for households is mainly paraffin, followed by electricity. The demand for petrol is higher than in the Reference scenario over</w:t>
      </w:r>
      <w:r w:rsidR="00D60FE6" w:rsidRPr="00D60FE6">
        <w:t xml:space="preserve"> </w:t>
      </w:r>
      <w:r w:rsidRPr="003A1EA4">
        <w:t>the period due to the increase in private transport use.</w:t>
      </w:r>
    </w:p>
    <w:p w14:paraId="3D646589" w14:textId="7AC8ACE3" w:rsidR="00566C8E" w:rsidRDefault="00566C8E" w:rsidP="00566C8E">
      <w:pPr>
        <w:keepNext/>
      </w:pPr>
    </w:p>
    <w:p w14:paraId="5B122875" w14:textId="7EA9C75C" w:rsidR="004C6F28" w:rsidRDefault="004C6F28" w:rsidP="00566C8E">
      <w:pPr>
        <w:keepNext/>
      </w:pPr>
      <w:r>
        <w:rPr>
          <w:noProof/>
        </w:rPr>
        <w:drawing>
          <wp:inline distT="0" distB="0" distL="0" distR="0" wp14:anchorId="52521B4B" wp14:editId="5A0D4A3E">
            <wp:extent cx="5759450" cy="4182745"/>
            <wp:effectExtent l="0" t="0" r="12700" b="8255"/>
            <wp:docPr id="24" name="Chart 24">
              <a:extLst xmlns:a="http://schemas.openxmlformats.org/drawingml/2006/main">
                <a:ext uri="{FF2B5EF4-FFF2-40B4-BE49-F238E27FC236}">
                  <a16:creationId xmlns:a16="http://schemas.microsoft.com/office/drawing/2014/main" id="{72544B35-FD09-4FB7-B403-851E232C09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A3DDB9" w14:textId="52AA4DBF" w:rsidR="00215F7E" w:rsidRDefault="00566C8E" w:rsidP="00566C8E">
      <w:pPr>
        <w:pStyle w:val="Caption"/>
        <w:contextualSpacing/>
        <w:jc w:val="both"/>
      </w:pPr>
      <w:bookmarkStart w:id="16" w:name="_Ref33752958"/>
      <w:r>
        <w:t xml:space="preserve">Figure </w:t>
      </w:r>
      <w:r>
        <w:fldChar w:fldCharType="begin"/>
      </w:r>
      <w:r>
        <w:instrText xml:space="preserve"> SEQ Figure \* ARABIC </w:instrText>
      </w:r>
      <w:r>
        <w:fldChar w:fldCharType="separate"/>
      </w:r>
      <w:r w:rsidR="001D4331">
        <w:t>10</w:t>
      </w:r>
      <w:r>
        <w:fldChar w:fldCharType="end"/>
      </w:r>
      <w:bookmarkEnd w:id="16"/>
      <w:r>
        <w:t xml:space="preserve"> Differen</w:t>
      </w:r>
      <w:r w:rsidR="008F003C">
        <w:t>c</w:t>
      </w:r>
      <w:r>
        <w:t>e in h</w:t>
      </w:r>
      <w:r w:rsidRPr="00566C8E">
        <w:t>ousehold</w:t>
      </w:r>
      <w:r>
        <w:t xml:space="preserve"> energy</w:t>
      </w:r>
      <w:r w:rsidRPr="00566C8E">
        <w:t xml:space="preserve"> consumption</w:t>
      </w:r>
      <w:r>
        <w:t xml:space="preserve"> (relative to Reference) </w:t>
      </w:r>
      <w:r w:rsidRPr="00566C8E">
        <w:t xml:space="preserve">by </w:t>
      </w:r>
      <w:r>
        <w:t>fuel</w:t>
      </w:r>
      <w:r w:rsidRPr="00566C8E">
        <w:t xml:space="preserve">, </w:t>
      </w:r>
      <w:r>
        <w:t>PJ</w:t>
      </w:r>
    </w:p>
    <w:p w14:paraId="52703D8C" w14:textId="7E78131C" w:rsidR="00566C8E" w:rsidRDefault="00566C8E" w:rsidP="00566C8E">
      <w:pPr>
        <w:pStyle w:val="Caption"/>
        <w:contextualSpacing/>
        <w:jc w:val="both"/>
      </w:pPr>
      <w:r>
        <w:t xml:space="preserve">Source: </w:t>
      </w:r>
      <w:proofErr w:type="spellStart"/>
      <w:r>
        <w:t>eSAGE</w:t>
      </w:r>
      <w:proofErr w:type="spellEnd"/>
      <w:r>
        <w:t xml:space="preserve"> results</w:t>
      </w:r>
    </w:p>
    <w:p w14:paraId="5F8223DD" w14:textId="7A83D6D4" w:rsidR="00D47B93" w:rsidRPr="00D47B93" w:rsidRDefault="00094E1D" w:rsidP="00D47B93">
      <w:r>
        <w:fldChar w:fldCharType="begin"/>
      </w:r>
      <w:r>
        <w:instrText xml:space="preserve"> REF _Ref33752977 \h </w:instrText>
      </w:r>
      <w:r>
        <w:fldChar w:fldCharType="separate"/>
      </w:r>
      <w:r w:rsidR="001D4331">
        <w:t xml:space="preserve">Figure </w:t>
      </w:r>
      <w:r w:rsidR="001D4331">
        <w:rPr>
          <w:noProof/>
        </w:rPr>
        <w:t>11</w:t>
      </w:r>
      <w:r>
        <w:fldChar w:fldCharType="end"/>
      </w:r>
      <w:r w:rsidR="00A81629">
        <w:t xml:space="preserve"> presents the change in </w:t>
      </w:r>
      <w:r w:rsidR="00D47B93">
        <w:t>total energy use in the economy</w:t>
      </w:r>
      <w:r w:rsidR="00A81629">
        <w:t xml:space="preserve"> and </w:t>
      </w:r>
      <w:r w:rsidR="00D47B93">
        <w:t>energy intensity of real GDP</w:t>
      </w:r>
      <w:r w:rsidR="00A81629">
        <w:t xml:space="preserve"> (PJ/R) relative to the Reference scenario</w:t>
      </w:r>
      <w:r w:rsidR="00D47B93">
        <w:t>.</w:t>
      </w:r>
      <w:r w:rsidR="00A81629">
        <w:t xml:space="preserve"> As presented above, changing household consumption baskets affect sector production and the structure of the economy. This in turn has implications for intermediate goods and services demand</w:t>
      </w:r>
      <w:r w:rsidR="00577933">
        <w:t>ed</w:t>
      </w:r>
      <w:r w:rsidR="00A81629">
        <w:t xml:space="preserve">. In the case of </w:t>
      </w:r>
      <w:r w:rsidR="00577933">
        <w:t>energy</w:t>
      </w:r>
      <w:r w:rsidR="00A81629">
        <w:t xml:space="preserve">, </w:t>
      </w:r>
      <w:r w:rsidR="00577933">
        <w:t xml:space="preserve">the change in sector structure in the economy results in a decline in energy demanded. Total energy demanded </w:t>
      </w:r>
      <w:r w:rsidR="00D3490D">
        <w:t xml:space="preserve">is </w:t>
      </w:r>
      <w:r w:rsidR="00577933">
        <w:t>143 PJ</w:t>
      </w:r>
      <w:r w:rsidR="00D3490D">
        <w:t xml:space="preserve"> lower</w:t>
      </w:r>
      <w:r w:rsidR="00577933">
        <w:t xml:space="preserve"> by 2050 in the </w:t>
      </w:r>
      <w:proofErr w:type="spellStart"/>
      <w:r w:rsidR="00577933">
        <w:t>BudShrAdj</w:t>
      </w:r>
      <w:proofErr w:type="spellEnd"/>
      <w:r w:rsidR="00577933">
        <w:t xml:space="preserve"> scenario – 52 PJ more than the decline in residential demand. </w:t>
      </w:r>
      <w:r w:rsidR="000A3905">
        <w:t xml:space="preserve">The largest contributors to the decline in total demand is </w:t>
      </w:r>
      <w:r w:rsidR="00F1038C">
        <w:t xml:space="preserve">less consumption of other liquid fuels, electricity and coal. </w:t>
      </w:r>
      <w:r w:rsidR="00C5450F">
        <w:t xml:space="preserve">The energy intensity of real GDP also declines as a result of the changes in household consumption patterns, </w:t>
      </w:r>
      <w:r w:rsidR="001B5F7B">
        <w:t>falling by</w:t>
      </w:r>
      <w:r w:rsidR="00C5450F">
        <w:t xml:space="preserve"> 2.8% </w:t>
      </w:r>
      <w:r w:rsidR="001B5F7B">
        <w:t>relative to the Reference case value</w:t>
      </w:r>
      <w:r w:rsidR="00C5450F">
        <w:t>.</w:t>
      </w:r>
    </w:p>
    <w:p w14:paraId="248AEC83" w14:textId="787999A2" w:rsidR="00577933" w:rsidRDefault="00577933" w:rsidP="00DD5A6E"/>
    <w:p w14:paraId="14B1F55D" w14:textId="64C27D72" w:rsidR="0003347E" w:rsidRDefault="0003347E" w:rsidP="00DD5A6E">
      <w:r>
        <w:rPr>
          <w:noProof/>
        </w:rPr>
        <w:lastRenderedPageBreak/>
        <w:drawing>
          <wp:inline distT="0" distB="0" distL="0" distR="0" wp14:anchorId="145363DF" wp14:editId="0B91373D">
            <wp:extent cx="5759450" cy="4182745"/>
            <wp:effectExtent l="0" t="0" r="12700" b="8255"/>
            <wp:docPr id="34" name="Chart 34">
              <a:extLst xmlns:a="http://schemas.openxmlformats.org/drawingml/2006/main">
                <a:ext uri="{FF2B5EF4-FFF2-40B4-BE49-F238E27FC236}">
                  <a16:creationId xmlns:a16="http://schemas.microsoft.com/office/drawing/2014/main" id="{517E1EF0-2E73-4306-93A1-6B0D1A3BD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4B5642" w14:textId="421329CB" w:rsidR="00DD5A6E" w:rsidRDefault="00DD5A6E" w:rsidP="00DD5A6E">
      <w:pPr>
        <w:pStyle w:val="Caption"/>
        <w:contextualSpacing/>
        <w:jc w:val="both"/>
      </w:pPr>
      <w:bookmarkStart w:id="17" w:name="_Ref33752977"/>
      <w:r>
        <w:t xml:space="preserve">Figure </w:t>
      </w:r>
      <w:r>
        <w:fldChar w:fldCharType="begin"/>
      </w:r>
      <w:r>
        <w:instrText xml:space="preserve"> SEQ Figure \* ARABIC </w:instrText>
      </w:r>
      <w:r>
        <w:fldChar w:fldCharType="separate"/>
      </w:r>
      <w:r w:rsidR="001D4331">
        <w:t>11</w:t>
      </w:r>
      <w:r>
        <w:fldChar w:fldCharType="end"/>
      </w:r>
      <w:bookmarkEnd w:id="17"/>
      <w:r>
        <w:t xml:space="preserve"> Difference in total energy</w:t>
      </w:r>
      <w:r w:rsidRPr="00566C8E">
        <w:t xml:space="preserve"> consumption</w:t>
      </w:r>
      <w:r>
        <w:t xml:space="preserve"> and energy intensity (relative to Reference) </w:t>
      </w:r>
    </w:p>
    <w:p w14:paraId="2B391BD0" w14:textId="55262066" w:rsidR="00DD5A6E" w:rsidRDefault="00DD5A6E" w:rsidP="00DD5A6E">
      <w:pPr>
        <w:pStyle w:val="Caption"/>
        <w:contextualSpacing/>
        <w:jc w:val="both"/>
      </w:pPr>
      <w:r>
        <w:t xml:space="preserve">Source: </w:t>
      </w:r>
      <w:proofErr w:type="spellStart"/>
      <w:r>
        <w:t>eSAGE</w:t>
      </w:r>
      <w:proofErr w:type="spellEnd"/>
      <w:r>
        <w:t xml:space="preserve"> results</w:t>
      </w:r>
    </w:p>
    <w:p w14:paraId="32B5CAFD" w14:textId="7AE7D357" w:rsidR="00C5450F" w:rsidRPr="00C5450F" w:rsidRDefault="00C5450F" w:rsidP="00C5450F">
      <w:r>
        <w:t>The decline in energy demand demonstrated here has implications for energy planning as the level of capacity needed for supply to meet demand</w:t>
      </w:r>
      <w:r w:rsidR="007F1BD7">
        <w:t xml:space="preserve"> may not be as large as assumed in the modelling done here.</w:t>
      </w:r>
      <w:r w:rsidR="00C63A12">
        <w:t xml:space="preserve"> Furthermore, the composition of energy needed also changes.</w:t>
      </w:r>
      <w:r w:rsidR="00481F6A">
        <w:t xml:space="preserve"> </w:t>
      </w:r>
      <w:r w:rsidR="00646AB8">
        <w:t xml:space="preserve">This also has implications for the flow of investment funds between </w:t>
      </w:r>
      <w:r w:rsidR="00C63A12">
        <w:t xml:space="preserve">energy and non-energy </w:t>
      </w:r>
      <w:r w:rsidR="00646AB8">
        <w:t xml:space="preserve">sectors and hence the ability </w:t>
      </w:r>
      <w:r w:rsidR="00C63A12">
        <w:t>of non-energy sectors to</w:t>
      </w:r>
      <w:r w:rsidR="00646AB8">
        <w:t xml:space="preserve"> expand and contribute to economic growth. While this falls outside the scope of this paper, a</w:t>
      </w:r>
      <w:r w:rsidR="00481F6A">
        <w:t xml:space="preserve"> further assessment of the changes in demand in the </w:t>
      </w:r>
      <w:r w:rsidR="00646AB8">
        <w:t xml:space="preserve">linked </w:t>
      </w:r>
      <w:r w:rsidR="00481F6A">
        <w:t>energy</w:t>
      </w:r>
      <w:r w:rsidR="00646AB8">
        <w:t>-economic</w:t>
      </w:r>
      <w:r w:rsidR="00481F6A">
        <w:t xml:space="preserve"> model</w:t>
      </w:r>
      <w:r w:rsidR="00C63A12">
        <w:t>, SATIMGE,</w:t>
      </w:r>
      <w:r w:rsidR="00481F6A">
        <w:t xml:space="preserve"> is needed.</w:t>
      </w:r>
    </w:p>
    <w:p w14:paraId="60B694B1" w14:textId="77777777" w:rsidR="00CC2B44" w:rsidRDefault="00CC2B44">
      <w:pPr>
        <w:spacing w:after="0"/>
        <w:jc w:val="left"/>
        <w:rPr>
          <w:rFonts w:eastAsia="Times New Roman" w:cs="Times New Roman"/>
          <w:b/>
          <w:bCs/>
          <w:caps/>
          <w:color w:val="538135" w:themeColor="accent6" w:themeShade="BF"/>
          <w:sz w:val="28"/>
          <w:szCs w:val="28"/>
        </w:rPr>
      </w:pPr>
      <w:r>
        <w:br w:type="page"/>
      </w:r>
    </w:p>
    <w:p w14:paraId="7B95175A" w14:textId="431A3D83" w:rsidR="00F0156B" w:rsidRDefault="005A0C74" w:rsidP="000E01D8">
      <w:pPr>
        <w:pStyle w:val="Heading1"/>
        <w:numPr>
          <w:ilvl w:val="0"/>
          <w:numId w:val="2"/>
        </w:numPr>
        <w:spacing w:line="276" w:lineRule="auto"/>
      </w:pPr>
      <w:r>
        <w:lastRenderedPageBreak/>
        <w:t>discussioN</w:t>
      </w:r>
      <w:r w:rsidR="008328A2">
        <w:t xml:space="preserve"> </w:t>
      </w:r>
      <w:r w:rsidR="00335D6C">
        <w:t>and further work</w:t>
      </w:r>
    </w:p>
    <w:p w14:paraId="2BDBBC01" w14:textId="046158A1" w:rsidR="006C2188" w:rsidRDefault="006C2188" w:rsidP="006C2188">
      <w:r>
        <w:t xml:space="preserve">This paper presents an alternative and arguably better approach to modelling long term household consumption in the </w:t>
      </w:r>
      <w:proofErr w:type="spellStart"/>
      <w:r w:rsidR="00FC5A3C">
        <w:t>e</w:t>
      </w:r>
      <w:r>
        <w:t>SAGE</w:t>
      </w:r>
      <w:proofErr w:type="spellEnd"/>
      <w:r>
        <w:t xml:space="preserve"> model. The paper finds that adjusting shares over time to reflect lifestyle changes based on income groups affects both direct and indirect demands for goods and services. Indirect demand is affected by the change in the production structure of the economy. When accounting for income related lifestyle changes, the South African economy becomes more services orientated. This has implications for employment</w:t>
      </w:r>
      <w:r w:rsidR="00405435">
        <w:t xml:space="preserve"> (particularly </w:t>
      </w:r>
      <w:r w:rsidR="008B0D7C">
        <w:t>by skill level</w:t>
      </w:r>
      <w:r w:rsidR="00405435">
        <w:t>)</w:t>
      </w:r>
      <w:r>
        <w:t>, energy demand, the energy intensity of GDP and by extension (potentially) emissions.</w:t>
      </w:r>
    </w:p>
    <w:p w14:paraId="08281E4B" w14:textId="525F3CF6" w:rsidR="00FB04F5" w:rsidRDefault="0078063A" w:rsidP="006C2188">
      <w:r>
        <w:t xml:space="preserve">Energy demand is found to be lower when changing budget shares are </w:t>
      </w:r>
      <w:r w:rsidR="00FB04F5">
        <w:t>considered</w:t>
      </w:r>
      <w:r>
        <w:t xml:space="preserve">. Furthermore, the composition of energy demanded is also found to change with coal and paraffin consumption </w:t>
      </w:r>
      <w:r w:rsidR="00FB04F5">
        <w:t>declining</w:t>
      </w:r>
      <w:r>
        <w:t>.</w:t>
      </w:r>
      <w:r w:rsidR="00FB04F5">
        <w:t xml:space="preserve"> As mentioned, this may have implications for the level of energy investment needed in the country as well as the price paid for this energy. If less energy investment is needed, this frees up investment funds for use elsewhere in the economy which may have a positive impact on economic growth and employment. This however needs to be assessed in the linked energy-economic model, SATIMGE.</w:t>
      </w:r>
    </w:p>
    <w:p w14:paraId="0C6DCAEA" w14:textId="3BDE95D4" w:rsidR="00FB04F5" w:rsidRDefault="00FB04F5" w:rsidP="006C2188">
      <w:r>
        <w:t xml:space="preserve">This paper presents a first attempt at accounting for long term consumption behaviour in CGE models. As such the scope of changes made to the model has been narrow. </w:t>
      </w:r>
      <w:r w:rsidR="00C50B84">
        <w:t xml:space="preserve">Further work is needed to extend the changes in consumption shares to changes in expenditure shares which include spending on items such as savings, remittances and taxes. </w:t>
      </w:r>
      <w:r w:rsidR="00131A16">
        <w:t>The approach presented in this paper also uses the calibration year as the reference point for adjusting shares. One may find that instead a dynamic approach is needed in which the household share profile from the previous year or an average of several years is needed to properly capture changes in household lifestyles. This remains an area of future research.</w:t>
      </w:r>
    </w:p>
    <w:p w14:paraId="63C6C580" w14:textId="44ED7515" w:rsidR="00131A16" w:rsidRDefault="00DE67BE" w:rsidP="00131A16">
      <w:r>
        <w:t>Cobb Douglas</w:t>
      </w:r>
      <w:r w:rsidR="00131A16">
        <w:t xml:space="preserve"> utility functions are criticized for being static (in terms of expenditure shares) but also because they fail to </w:t>
      </w:r>
      <w:proofErr w:type="gramStart"/>
      <w:r w:rsidR="00131A16">
        <w:t>take into account</w:t>
      </w:r>
      <w:proofErr w:type="gramEnd"/>
      <w:r w:rsidR="00131A16">
        <w:t xml:space="preserve"> the behavioural response to price changes. The approach taken here suffers from the same criticism</w:t>
      </w:r>
      <w:r w:rsidR="000D5369">
        <w:t>. Considering ways to account for behavioural responses to price changes is needed.</w:t>
      </w:r>
    </w:p>
    <w:p w14:paraId="5685864E" w14:textId="3273A30A" w:rsidR="00136D7A" w:rsidRPr="005A0C74" w:rsidRDefault="00F31B71" w:rsidP="00441FC4">
      <w:r>
        <w:t xml:space="preserve">Lastly, the paper focuses on household consumption expenditure only and does not account for the similar adjustments that may take place on the income side. Changes in education levels and </w:t>
      </w:r>
      <w:r w:rsidR="00317678">
        <w:t xml:space="preserve">incomes or wealth, will affect where households source their income. </w:t>
      </w:r>
      <w:r w:rsidR="00441FC4">
        <w:t xml:space="preserve">In South Africa, one would suspect that over time lower income households become more educated and/or skilled with members from these households becoming increasingly employed in higher skilled jobs which offer higher wages. This would also affect the need for social welfare assistance which would have implications for other government spending or tax policy. Similarly, middle income households may become owners of capital allowing for increased diversification of income streams. </w:t>
      </w:r>
      <w:r w:rsidR="001B4475">
        <w:t>Accounting for these changes may result in more rapid shifts in the economic structure</w:t>
      </w:r>
      <w:r w:rsidR="00441FC4">
        <w:t>.</w:t>
      </w:r>
    </w:p>
    <w:p w14:paraId="071E4E01" w14:textId="420BB758" w:rsidR="00F0156B" w:rsidRDefault="14C45E8B" w:rsidP="00C16CBE">
      <w:pPr>
        <w:pStyle w:val="Heading1"/>
        <w:numPr>
          <w:ilvl w:val="0"/>
          <w:numId w:val="0"/>
        </w:numPr>
        <w:spacing w:line="276" w:lineRule="auto"/>
      </w:pPr>
      <w:r>
        <w:t>REferences</w:t>
      </w:r>
    </w:p>
    <w:p w14:paraId="277ECD04" w14:textId="77777777" w:rsidR="00D47E80" w:rsidRDefault="00D47E80" w:rsidP="009F1573">
      <w:pPr>
        <w:spacing w:after="0" w:line="276" w:lineRule="auto"/>
        <w:ind w:firstLine="284"/>
      </w:pPr>
      <w:r>
        <w:t>Altieri, K.E., Trollip, H., Caetano, T., Hughes, A., Merven, B., &amp; Winkler, H. 2016. Achieving development and mitigation objectives through a decarbonization development pathway in South Africa, Climate Policy, S78-S91, DOI: 10.1080/14693062.2016.1150250.</w:t>
      </w:r>
    </w:p>
    <w:p w14:paraId="468BCB79" w14:textId="77777777" w:rsidR="00D47E80" w:rsidRDefault="00D47E80" w:rsidP="009F1573">
      <w:pPr>
        <w:spacing w:after="0" w:line="276" w:lineRule="auto"/>
        <w:ind w:firstLine="284"/>
      </w:pPr>
      <w:r>
        <w:t xml:space="preserve">Alton, T., Arndt, C., Davies, R., Hartley, F., </w:t>
      </w:r>
      <w:proofErr w:type="spellStart"/>
      <w:r>
        <w:t>Makrelov</w:t>
      </w:r>
      <w:proofErr w:type="spellEnd"/>
      <w:r>
        <w:t xml:space="preserve">, K., Thurlow, J. and </w:t>
      </w:r>
      <w:proofErr w:type="spellStart"/>
      <w:r>
        <w:t>Ubogu</w:t>
      </w:r>
      <w:proofErr w:type="spellEnd"/>
      <w:r>
        <w:t>, D. 2014. The Economic Implications of Introducing Carbon Taxes in South Africa. Applied Energy. 116(1): 344-354.</w:t>
      </w:r>
    </w:p>
    <w:p w14:paraId="2461C357" w14:textId="16061FBE" w:rsidR="0073056B" w:rsidRDefault="0073056B" w:rsidP="009F1573">
      <w:pPr>
        <w:spacing w:after="0" w:line="276" w:lineRule="auto"/>
        <w:ind w:firstLine="284"/>
      </w:pPr>
      <w:r w:rsidRPr="0073056B">
        <w:t>Arndt, C., Davies, R.</w:t>
      </w:r>
      <w:r w:rsidR="0020371E" w:rsidRPr="0073056B">
        <w:t>, Gabriel</w:t>
      </w:r>
      <w:r w:rsidRPr="0073056B">
        <w:t xml:space="preserve">, S., </w:t>
      </w:r>
      <w:proofErr w:type="spellStart"/>
      <w:r w:rsidRPr="0073056B">
        <w:t>Makrelov</w:t>
      </w:r>
      <w:proofErr w:type="spellEnd"/>
      <w:r w:rsidRPr="0073056B">
        <w:t>, K., Merven, B., Hartley, F. and Thurlow, J. 2016. A sequential approach to integrated energy modelling in South Africa.  Applied Energy 161: 591-599.</w:t>
      </w:r>
    </w:p>
    <w:p w14:paraId="03FC6BFB" w14:textId="401FC1F7" w:rsidR="00640A43" w:rsidRDefault="00640A43" w:rsidP="009F1573">
      <w:pPr>
        <w:spacing w:after="0" w:line="276" w:lineRule="auto"/>
        <w:ind w:firstLine="284"/>
        <w:rPr>
          <w:lang w:val="fr-FR"/>
        </w:rPr>
      </w:pPr>
      <w:proofErr w:type="spellStart"/>
      <w:r>
        <w:lastRenderedPageBreak/>
        <w:t>Bagilet</w:t>
      </w:r>
      <w:proofErr w:type="spellEnd"/>
      <w:r>
        <w:t>, V. 2017. Impacts of a carbon tax on energy consumption of South African households: Insights from a microeconomic study</w:t>
      </w:r>
      <w:r>
        <w:t xml:space="preserve">. </w:t>
      </w:r>
      <w:r w:rsidRPr="00640A43">
        <w:rPr>
          <w:lang w:val="fr-FR"/>
        </w:rPr>
        <w:t xml:space="preserve">Master </w:t>
      </w:r>
      <w:proofErr w:type="spellStart"/>
      <w:r w:rsidRPr="00640A43">
        <w:rPr>
          <w:lang w:val="fr-FR"/>
        </w:rPr>
        <w:t>thesis</w:t>
      </w:r>
      <w:proofErr w:type="spellEnd"/>
      <w:r w:rsidRPr="00640A43">
        <w:rPr>
          <w:lang w:val="fr-FR"/>
        </w:rPr>
        <w:t xml:space="preserve">. </w:t>
      </w:r>
      <w:r w:rsidRPr="00640A43">
        <w:rPr>
          <w:lang w:val="fr-FR"/>
        </w:rPr>
        <w:t>Nogent-sur-</w:t>
      </w:r>
      <w:proofErr w:type="gramStart"/>
      <w:r w:rsidRPr="00640A43">
        <w:rPr>
          <w:lang w:val="fr-FR"/>
        </w:rPr>
        <w:t>Marne:</w:t>
      </w:r>
      <w:proofErr w:type="gramEnd"/>
      <w:r w:rsidRPr="00640A43">
        <w:rPr>
          <w:lang w:val="fr-FR"/>
        </w:rPr>
        <w:t xml:space="preserve"> CIRED</w:t>
      </w:r>
      <w:r w:rsidRPr="00640A43">
        <w:rPr>
          <w:lang w:val="fr-FR"/>
        </w:rPr>
        <w:t xml:space="preserve"> / Ecole Centrale Supélec, Paris</w:t>
      </w:r>
      <w:r w:rsidRPr="00640A43">
        <w:rPr>
          <w:lang w:val="fr-FR"/>
        </w:rPr>
        <w:t>.</w:t>
      </w:r>
    </w:p>
    <w:p w14:paraId="1D60F148" w14:textId="385BD700" w:rsidR="003F73C5" w:rsidRPr="003F73C5" w:rsidRDefault="003F73C5" w:rsidP="009F1573">
      <w:pPr>
        <w:spacing w:after="0" w:line="276" w:lineRule="auto"/>
        <w:ind w:firstLine="284"/>
      </w:pPr>
      <w:r w:rsidRPr="003F73C5">
        <w:rPr>
          <w:lang w:val="nl-NL"/>
        </w:rPr>
        <w:t xml:space="preserve">Barbier et al. 2016. </w:t>
      </w:r>
      <w:r w:rsidRPr="003F73C5">
        <w:t xml:space="preserve">ECOPA </w:t>
      </w:r>
      <w:r>
        <w:t>report work package 1</w:t>
      </w:r>
    </w:p>
    <w:p w14:paraId="57F8EFD2" w14:textId="4BF55C8E" w:rsidR="00781D19" w:rsidRPr="00781D19" w:rsidRDefault="00781D19" w:rsidP="009F1573">
      <w:pPr>
        <w:spacing w:after="0" w:line="276" w:lineRule="auto"/>
        <w:ind w:firstLine="284"/>
      </w:pPr>
      <w:proofErr w:type="spellStart"/>
      <w:r w:rsidRPr="003F73C5">
        <w:t>Barigozzi</w:t>
      </w:r>
      <w:proofErr w:type="spellEnd"/>
      <w:r w:rsidRPr="003F73C5">
        <w:t xml:space="preserve">, M., Moneta, A. 2016. </w:t>
      </w:r>
      <w:r w:rsidRPr="00781D19">
        <w:t>Identifying the Independent Sources of Consumption Variation</w:t>
      </w:r>
      <w:r>
        <w:t>. Journal of Applied Econometrics. 31(2): 420-449,</w:t>
      </w:r>
      <w:r w:rsidRPr="00781D19">
        <w:t xml:space="preserve"> </w:t>
      </w:r>
      <w:r w:rsidRPr="00781D19">
        <w:t>https://doi.org/10.1002/jae.2441</w:t>
      </w:r>
    </w:p>
    <w:p w14:paraId="4D751993" w14:textId="431D933C" w:rsidR="00796210" w:rsidRDefault="00796210" w:rsidP="006B6CC1">
      <w:pPr>
        <w:spacing w:after="0" w:line="276" w:lineRule="auto"/>
        <w:ind w:firstLine="284"/>
      </w:pPr>
      <w:r w:rsidRPr="00796210">
        <w:t xml:space="preserve">Burger, R., Coetzee, W., </w:t>
      </w:r>
      <w:proofErr w:type="spellStart"/>
      <w:r w:rsidRPr="00796210">
        <w:t>Kreuser</w:t>
      </w:r>
      <w:proofErr w:type="spellEnd"/>
      <w:r w:rsidRPr="00796210">
        <w:t>, F., and Rankin, N. (2015). Income and price elasticities of demand in South Africa: An application of the linear expenditure system (Helsinki: United Nation’s University World Institute for Development Economics Research (UNU-WIDER)).</w:t>
      </w:r>
    </w:p>
    <w:p w14:paraId="079B516C" w14:textId="7B8375BD" w:rsidR="006B6CC1" w:rsidRDefault="006B6CC1" w:rsidP="006B6CC1">
      <w:pPr>
        <w:spacing w:after="0" w:line="276" w:lineRule="auto"/>
        <w:ind w:firstLine="284"/>
      </w:pPr>
      <w:r w:rsidRPr="00781D19">
        <w:t xml:space="preserve">Chai, A. 2018. </w:t>
      </w:r>
      <w:r>
        <w:t xml:space="preserve">Household consumption patterns and the sectoral composition of growing economies: A review of the interlinkages. </w:t>
      </w:r>
      <w:r w:rsidRPr="006B6CC1">
        <w:t>Griffith Business School</w:t>
      </w:r>
      <w:r>
        <w:t>, United Nations Industrial Development Organization, Vienna.</w:t>
      </w:r>
    </w:p>
    <w:p w14:paraId="7D48D92E" w14:textId="6EC0ADEC" w:rsidR="0083499B" w:rsidRDefault="0083499B" w:rsidP="006B6CC1">
      <w:pPr>
        <w:spacing w:after="0" w:line="276" w:lineRule="auto"/>
        <w:ind w:firstLine="284"/>
      </w:pPr>
      <w:r w:rsidRPr="0083499B">
        <w:rPr>
          <w:rFonts w:eastAsia="Times New Roman" w:cstheme="minorHAnsi"/>
          <w:lang w:eastAsia="en-ZA"/>
        </w:rPr>
        <w:t>Clements et al., 2006</w:t>
      </w:r>
    </w:p>
    <w:p w14:paraId="20D67EC3" w14:textId="168FFA98" w:rsidR="00436747" w:rsidRDefault="00436747" w:rsidP="006B6CC1">
      <w:pPr>
        <w:spacing w:after="0" w:line="276" w:lineRule="auto"/>
        <w:ind w:firstLine="284"/>
      </w:pPr>
      <w:r w:rsidRPr="00436747">
        <w:rPr>
          <w:rFonts w:eastAsia="Times New Roman" w:cstheme="minorHAnsi"/>
          <w:lang w:eastAsia="en-ZA"/>
        </w:rPr>
        <w:t>Dai</w:t>
      </w:r>
      <w:r w:rsidRPr="00436747">
        <w:rPr>
          <w:rFonts w:eastAsia="Times New Roman" w:cstheme="minorHAnsi"/>
          <w:lang w:eastAsia="en-ZA"/>
        </w:rPr>
        <w:t>, Masui</w:t>
      </w:r>
      <w:r w:rsidRPr="00436747">
        <w:rPr>
          <w:rFonts w:eastAsia="Times New Roman" w:cstheme="minorHAnsi"/>
          <w:lang w:eastAsia="en-ZA"/>
        </w:rPr>
        <w:t xml:space="preserve"> et al, 2012</w:t>
      </w:r>
    </w:p>
    <w:p w14:paraId="01B66304" w14:textId="3EB9632C" w:rsidR="002A488D" w:rsidRPr="002A488D" w:rsidRDefault="002A488D" w:rsidP="006B6CC1">
      <w:pPr>
        <w:spacing w:after="0" w:line="276" w:lineRule="auto"/>
        <w:ind w:firstLine="284"/>
      </w:pPr>
      <w:proofErr w:type="spellStart"/>
      <w:r w:rsidRPr="005F6142">
        <w:t>Dervis</w:t>
      </w:r>
      <w:proofErr w:type="spellEnd"/>
      <w:r w:rsidRPr="005F6142">
        <w:t xml:space="preserve">, K., De Melo, J., Robinson, S. </w:t>
      </w:r>
      <w:r w:rsidRPr="002A488D">
        <w:t>G</w:t>
      </w:r>
      <w:r>
        <w:t xml:space="preserve">eneral equilibrium models for development policy. </w:t>
      </w:r>
      <w:r w:rsidR="005F6142">
        <w:t>New York</w:t>
      </w:r>
      <w:r w:rsidR="005F6142">
        <w:t xml:space="preserve">, </w:t>
      </w:r>
      <w:r>
        <w:t>Cambridge University Press</w:t>
      </w:r>
      <w:r w:rsidR="005F6142">
        <w:t xml:space="preserve">; </w:t>
      </w:r>
      <w:r w:rsidR="005F6142" w:rsidRPr="00C716D7">
        <w:t>1982</w:t>
      </w:r>
      <w:r w:rsidR="005F6142" w:rsidRPr="00C716D7">
        <w:t>.</w:t>
      </w:r>
    </w:p>
    <w:p w14:paraId="7C09C38F" w14:textId="41AD0C7D" w:rsidR="00D47E80" w:rsidRDefault="00D47E80" w:rsidP="009F1573">
      <w:pPr>
        <w:spacing w:after="0" w:line="276" w:lineRule="auto"/>
        <w:ind w:firstLine="284"/>
      </w:pPr>
      <w:proofErr w:type="spellStart"/>
      <w:r>
        <w:t>Diao</w:t>
      </w:r>
      <w:proofErr w:type="spellEnd"/>
      <w:r w:rsidR="005F6142">
        <w:t>,</w:t>
      </w:r>
      <w:r>
        <w:t xml:space="preserve"> X</w:t>
      </w:r>
      <w:r w:rsidR="005F6142">
        <w:t>.</w:t>
      </w:r>
      <w:r>
        <w:t xml:space="preserve">, Thurlow J. A recursive dynamic computable general equilibrium model. In: </w:t>
      </w:r>
      <w:proofErr w:type="spellStart"/>
      <w:r>
        <w:t>Diao</w:t>
      </w:r>
      <w:proofErr w:type="spellEnd"/>
      <w:r>
        <w:t xml:space="preserve"> X, Thurlow J, Benin S, Fan S, editors. Strategies and priorities for </w:t>
      </w:r>
      <w:proofErr w:type="spellStart"/>
      <w:r>
        <w:t>african</w:t>
      </w:r>
      <w:proofErr w:type="spellEnd"/>
      <w:r>
        <w:t xml:space="preserve"> agriculture: economywide perspectives from country studies. Washington DC, USA: International Food Policy Research Institute; 2012.</w:t>
      </w:r>
    </w:p>
    <w:p w14:paraId="26C4FC91" w14:textId="0851FFB3" w:rsidR="00796210" w:rsidRDefault="00796210" w:rsidP="009F1573">
      <w:pPr>
        <w:spacing w:after="0" w:line="276" w:lineRule="auto"/>
        <w:ind w:firstLine="284"/>
      </w:pPr>
      <w:r w:rsidRPr="00796210">
        <w:t>Fouquet (2014) - REEP - Long-Run Demand for Energy Services: Income and Price Elasticities over Two Hundred Years</w:t>
      </w:r>
      <w:r>
        <w:t>.</w:t>
      </w:r>
    </w:p>
    <w:p w14:paraId="246E8980" w14:textId="77777777" w:rsidR="003F73C5" w:rsidRPr="003F73C5" w:rsidRDefault="003F73C5" w:rsidP="003F73C5">
      <w:pPr>
        <w:spacing w:after="0" w:line="276" w:lineRule="auto"/>
        <w:ind w:firstLine="284"/>
        <w:rPr>
          <w:color w:val="000000"/>
        </w:rPr>
      </w:pPr>
      <w:proofErr w:type="spellStart"/>
      <w:r w:rsidRPr="003F73C5">
        <w:rPr>
          <w:color w:val="000000"/>
        </w:rPr>
        <w:t>Grottera</w:t>
      </w:r>
      <w:proofErr w:type="spellEnd"/>
      <w:r w:rsidRPr="003F73C5">
        <w:rPr>
          <w:color w:val="000000"/>
        </w:rPr>
        <w:t xml:space="preserve"> et al</w:t>
      </w:r>
      <w:r w:rsidRPr="003F73C5">
        <w:rPr>
          <w:color w:val="000000"/>
        </w:rPr>
        <w:t>.,</w:t>
      </w:r>
      <w:r w:rsidRPr="003F73C5">
        <w:rPr>
          <w:color w:val="000000"/>
        </w:rPr>
        <w:t xml:space="preserve"> 2018</w:t>
      </w:r>
      <w:r w:rsidRPr="003F73C5">
        <w:rPr>
          <w:color w:val="000000"/>
        </w:rPr>
        <w:t xml:space="preserve">. </w:t>
      </w:r>
      <w:r w:rsidRPr="003F73C5">
        <w:rPr>
          <w:color w:val="000000"/>
        </w:rPr>
        <w:t>Linking electricity consumption of home appliances and standard of living:</w:t>
      </w:r>
    </w:p>
    <w:p w14:paraId="39E218D7" w14:textId="7BB8FE3E" w:rsidR="003F73C5" w:rsidRPr="003F73C5" w:rsidRDefault="003F73C5" w:rsidP="003F73C5">
      <w:pPr>
        <w:spacing w:after="0" w:line="276" w:lineRule="auto"/>
        <w:ind w:firstLine="284"/>
        <w:rPr>
          <w:color w:val="000000"/>
        </w:rPr>
      </w:pPr>
      <w:r w:rsidRPr="003F73C5">
        <w:rPr>
          <w:color w:val="000000"/>
        </w:rPr>
        <w:t>A comparison between Brazilian and French households</w:t>
      </w:r>
      <w:r w:rsidRPr="003F73C5">
        <w:rPr>
          <w:color w:val="000000"/>
        </w:rPr>
        <w:t xml:space="preserve">. </w:t>
      </w:r>
      <w:r w:rsidRPr="003F73C5">
        <w:rPr>
          <w:color w:val="000000"/>
        </w:rPr>
        <w:t>Renewable and Sustainable Energy Reviews</w:t>
      </w:r>
    </w:p>
    <w:p w14:paraId="3747044A" w14:textId="5AB34BA3" w:rsidR="003F73C5" w:rsidRDefault="003F73C5" w:rsidP="003F73C5">
      <w:pPr>
        <w:spacing w:after="0" w:line="276" w:lineRule="auto"/>
        <w:ind w:firstLine="284"/>
      </w:pPr>
      <w:proofErr w:type="spellStart"/>
      <w:r w:rsidRPr="003F73C5">
        <w:rPr>
          <w:color w:val="000000"/>
        </w:rPr>
        <w:t>Grottera</w:t>
      </w:r>
      <w:proofErr w:type="spellEnd"/>
      <w:r w:rsidRPr="003F73C5">
        <w:rPr>
          <w:color w:val="000000"/>
        </w:rPr>
        <w:t xml:space="preserve"> et al., 20</w:t>
      </w:r>
      <w:r w:rsidRPr="003F73C5">
        <w:rPr>
          <w:color w:val="000000"/>
        </w:rPr>
        <w:t xml:space="preserve">20. </w:t>
      </w:r>
      <w:r w:rsidRPr="003F73C5">
        <w:t>The role of lifestyle changes in low-emissions</w:t>
      </w:r>
      <w:r w:rsidRPr="003F73C5">
        <w:t xml:space="preserve"> </w:t>
      </w:r>
      <w:r w:rsidRPr="003F73C5">
        <w:t>development strategies: an economy-wide</w:t>
      </w:r>
      <w:r w:rsidRPr="003F73C5">
        <w:t xml:space="preserve"> </w:t>
      </w:r>
      <w:r w:rsidRPr="003F73C5">
        <w:t>assessment for Brazil</w:t>
      </w:r>
      <w:r w:rsidRPr="003F73C5">
        <w:t>. Climate Policy</w:t>
      </w:r>
    </w:p>
    <w:p w14:paraId="2B69A048" w14:textId="1EBC2AC9" w:rsidR="003F73C5" w:rsidRDefault="003F73C5" w:rsidP="003F73C5">
      <w:pPr>
        <w:spacing w:after="0" w:line="276" w:lineRule="auto"/>
        <w:ind w:firstLine="284"/>
      </w:pPr>
      <w:r w:rsidRPr="003F73C5">
        <w:t>Grubb</w:t>
      </w:r>
      <w:r>
        <w:t xml:space="preserve">. </w:t>
      </w:r>
      <w:r w:rsidRPr="003F73C5">
        <w:t>2018</w:t>
      </w:r>
      <w:r>
        <w:t>.</w:t>
      </w:r>
      <w:r w:rsidRPr="003F73C5">
        <w:t xml:space="preserve"> UCL </w:t>
      </w:r>
      <w:proofErr w:type="spellStart"/>
      <w:r w:rsidRPr="003F73C5">
        <w:t>wp</w:t>
      </w:r>
      <w:proofErr w:type="spellEnd"/>
      <w:r w:rsidRPr="003F73C5">
        <w:t xml:space="preserve"> - An exploration of energy cost, ranges, limits and adjustment process</w:t>
      </w:r>
    </w:p>
    <w:p w14:paraId="33C2268E" w14:textId="5A9E071B" w:rsidR="00796210" w:rsidRPr="00796210" w:rsidRDefault="00796210" w:rsidP="003F73C5">
      <w:pPr>
        <w:spacing w:after="0" w:line="276" w:lineRule="auto"/>
        <w:ind w:firstLine="284"/>
      </w:pPr>
      <w:r w:rsidRPr="00796210">
        <w:t xml:space="preserve">Grubb et al, </w:t>
      </w:r>
      <w:proofErr w:type="spellStart"/>
      <w:r w:rsidR="0083499B">
        <w:t>xxxx</w:t>
      </w:r>
      <w:proofErr w:type="spellEnd"/>
    </w:p>
    <w:p w14:paraId="4F8DBCC1" w14:textId="5695DD02" w:rsidR="00C0576D" w:rsidRPr="005F6142" w:rsidRDefault="00C0576D" w:rsidP="009F1573">
      <w:pPr>
        <w:spacing w:after="0" w:line="276" w:lineRule="auto"/>
        <w:ind w:firstLine="284"/>
      </w:pPr>
      <w:proofErr w:type="spellStart"/>
      <w:r w:rsidRPr="005F6142">
        <w:t>Lahiri</w:t>
      </w:r>
      <w:proofErr w:type="spellEnd"/>
      <w:r w:rsidR="005F6142" w:rsidRPr="005F6142">
        <w:t xml:space="preserve">, S., </w:t>
      </w:r>
      <w:proofErr w:type="spellStart"/>
      <w:r w:rsidR="005F6142" w:rsidRPr="005F6142">
        <w:t>Babiker</w:t>
      </w:r>
      <w:proofErr w:type="spellEnd"/>
      <w:r w:rsidR="005F6142" w:rsidRPr="005F6142">
        <w:t xml:space="preserve">, M., and </w:t>
      </w:r>
      <w:proofErr w:type="spellStart"/>
      <w:r w:rsidR="005F6142" w:rsidRPr="005F6142">
        <w:t>Eckhaus</w:t>
      </w:r>
      <w:proofErr w:type="spellEnd"/>
      <w:r w:rsidR="005F6142" w:rsidRPr="005F6142">
        <w:t>, R.S. 2000. The effects of changing consumption patterns on the cost of emis</w:t>
      </w:r>
      <w:r w:rsidR="005F6142">
        <w:t>sion restrictions. R</w:t>
      </w:r>
      <w:r w:rsidR="005F6142">
        <w:t>eport no. 64</w:t>
      </w:r>
      <w:r w:rsidR="005F6142">
        <w:t>,</w:t>
      </w:r>
      <w:r w:rsidR="005F6142" w:rsidRPr="005F6142">
        <w:t xml:space="preserve"> </w:t>
      </w:r>
      <w:r w:rsidR="005F6142" w:rsidRPr="005F6142">
        <w:t>MIT Joint Program on the Science and Policy of Global Change</w:t>
      </w:r>
      <w:r w:rsidR="005F6142">
        <w:t>, Cambridge (MA).</w:t>
      </w:r>
    </w:p>
    <w:p w14:paraId="1DA046A7" w14:textId="4F8C2C56" w:rsidR="00D47E80" w:rsidRDefault="00D47E80" w:rsidP="009F1573">
      <w:pPr>
        <w:spacing w:after="0" w:line="276" w:lineRule="auto"/>
        <w:ind w:firstLine="284"/>
      </w:pPr>
      <w:r>
        <w:t>Lofgren H, Harris RL, Robinson S. A standard computable general equilibrium (CGE) model in GAMS. Washington DC, USA: International Food Policy Research Institute; 2002.</w:t>
      </w:r>
    </w:p>
    <w:p w14:paraId="02BAC6F6" w14:textId="77777777" w:rsidR="00222EF1" w:rsidRPr="00D908EE" w:rsidRDefault="00222EF1" w:rsidP="009F1573">
      <w:pPr>
        <w:spacing w:after="0" w:line="276" w:lineRule="auto"/>
        <w:ind w:firstLine="284"/>
        <w:jc w:val="left"/>
        <w:rPr>
          <w:rFonts w:ascii="Calibri" w:eastAsia="Calibri" w:hAnsi="Calibri" w:cs="Calibri"/>
        </w:rPr>
      </w:pPr>
      <w:r w:rsidRPr="00D908EE">
        <w:rPr>
          <w:rFonts w:ascii="Calibri" w:eastAsia="Calibri" w:hAnsi="Calibri" w:cs="Calibri"/>
        </w:rPr>
        <w:t xml:space="preserve">Merven, B., Arndt, C. and Winkler, H. 2017. The development of a linked modelling framework for analysing the socioeconomic impacts of energy and climate policies in South Africa. WIDER Working Paper, no. 2017/40. </w:t>
      </w:r>
    </w:p>
    <w:p w14:paraId="526F7627" w14:textId="77777777" w:rsidR="00222EF1" w:rsidRPr="00D908EE" w:rsidRDefault="00222EF1" w:rsidP="009F1573">
      <w:pPr>
        <w:spacing w:after="0" w:line="276" w:lineRule="auto"/>
        <w:ind w:firstLine="284"/>
        <w:jc w:val="left"/>
        <w:rPr>
          <w:rFonts w:ascii="Calibri" w:eastAsia="Calibri" w:hAnsi="Calibri" w:cs="Calibri"/>
        </w:rPr>
      </w:pPr>
      <w:r w:rsidRPr="00D908EE">
        <w:rPr>
          <w:rFonts w:ascii="Calibri" w:eastAsia="Calibri" w:hAnsi="Calibri" w:cs="Calibri"/>
        </w:rPr>
        <w:t>Merven, B., G. Ireland, F. Hartley, C. Arndt, A. Hughes, F. Ahjum, B. McCall, and T. Caetano (2018). Quantifying the macro- and socio-economic benefits of a transition to renewable energy in South Africa. Part 1: The Energy Landscape. Working Paper. Pretoria: South Africa – Towards Inclusive Economic Development.</w:t>
      </w:r>
    </w:p>
    <w:p w14:paraId="19148526" w14:textId="77777777" w:rsidR="00222EF1" w:rsidRPr="00D908EE" w:rsidRDefault="00222EF1" w:rsidP="009F1573">
      <w:pPr>
        <w:spacing w:after="0" w:line="276" w:lineRule="auto"/>
        <w:ind w:firstLine="284"/>
        <w:jc w:val="left"/>
        <w:rPr>
          <w:rFonts w:ascii="Calibri" w:eastAsia="Calibri" w:hAnsi="Calibri" w:cs="Calibri"/>
        </w:rPr>
      </w:pPr>
      <w:r w:rsidRPr="00D908EE">
        <w:rPr>
          <w:rFonts w:ascii="Calibri" w:eastAsia="Calibri" w:hAnsi="Calibri" w:cs="Calibri"/>
        </w:rPr>
        <w:t>Merven, B., Hartley, F. and Ahjum, F. 2019. Road freight and energy in South Africa. SA-TIED working paper 60.</w:t>
      </w:r>
    </w:p>
    <w:p w14:paraId="6454C92D" w14:textId="66A95CEF" w:rsidR="00D47E80" w:rsidRDefault="00D47E80" w:rsidP="009F1573">
      <w:pPr>
        <w:spacing w:after="0" w:line="276" w:lineRule="auto"/>
        <w:ind w:firstLine="284"/>
      </w:pPr>
      <w:r>
        <w:lastRenderedPageBreak/>
        <w:t>Mhlongo, V. and Daniels, R.C. (2013). Food expenditure patterns in South Africa: Evidence from the NIDS. Cape Town: SALDRU, University of Cape Town. SALDRU Working Paper Number 123/ NIDS Discussion Paper 2013/5.</w:t>
      </w:r>
    </w:p>
    <w:p w14:paraId="23B6BB4F" w14:textId="5FDE8F32" w:rsidR="00D47E80" w:rsidRDefault="00D47E80" w:rsidP="009F1573">
      <w:pPr>
        <w:spacing w:after="0" w:line="276" w:lineRule="auto"/>
        <w:ind w:firstLine="284"/>
      </w:pPr>
      <w:proofErr w:type="spellStart"/>
      <w:r>
        <w:t>Nthatisi</w:t>
      </w:r>
      <w:proofErr w:type="spellEnd"/>
      <w:r>
        <w:t>, M. and Wittenberg, M. 2019. Changes in South African well-being between 2008/9 and 2014/15: The evidence from expenditure and asset data. Cape Town: SALDRU, University of Cape Town. SALDRU Working Paper Number 252.</w:t>
      </w:r>
    </w:p>
    <w:p w14:paraId="78284BE6" w14:textId="0E9C0F14" w:rsidR="00D76B0F" w:rsidRDefault="00D76B0F" w:rsidP="009F1573">
      <w:pPr>
        <w:spacing w:after="0" w:line="276" w:lineRule="auto"/>
        <w:ind w:firstLine="284"/>
      </w:pPr>
      <w:proofErr w:type="spellStart"/>
      <w:r>
        <w:t>StatsSA</w:t>
      </w:r>
      <w:proofErr w:type="spellEnd"/>
      <w:r>
        <w:t xml:space="preserve"> [Statistics South Africa]. General Household Survey, 2002 and 2012. </w:t>
      </w:r>
      <w:hyperlink r:id="rId21" w:history="1">
        <w:r>
          <w:rPr>
            <w:rStyle w:val="Hyperlink"/>
          </w:rPr>
          <w:t>http://superweb.statssa.gov.za/</w:t>
        </w:r>
      </w:hyperlink>
      <w:r>
        <w:t xml:space="preserve"> [Accessed: 03/02/2020]</w:t>
      </w:r>
    </w:p>
    <w:p w14:paraId="13FB1B8E" w14:textId="15D93A88" w:rsidR="001D7AFD" w:rsidRDefault="001D7AFD" w:rsidP="009F1573">
      <w:pPr>
        <w:spacing w:after="0" w:line="276" w:lineRule="auto"/>
        <w:ind w:firstLine="284"/>
      </w:pPr>
      <w:proofErr w:type="spellStart"/>
      <w:r>
        <w:t>StatsSA</w:t>
      </w:r>
      <w:proofErr w:type="spellEnd"/>
      <w:r>
        <w:t xml:space="preserve"> [Statistics South Africa]. Supply and Use Tables, 2012. </w:t>
      </w:r>
      <w:hyperlink r:id="rId22" w:history="1">
        <w:r w:rsidR="00C83E9B" w:rsidRPr="00485466">
          <w:rPr>
            <w:rStyle w:val="Hyperlink"/>
          </w:rPr>
          <w:t>http://www.statssa.gov.za/?page_id=1854&amp;PPN=P0441&amp;SCH=5957</w:t>
        </w:r>
      </w:hyperlink>
      <w:r w:rsidR="00C83E9B">
        <w:t xml:space="preserve"> </w:t>
      </w:r>
      <w:r>
        <w:t xml:space="preserve">[Accessed: </w:t>
      </w:r>
      <w:r w:rsidR="00C83E9B">
        <w:t>28</w:t>
      </w:r>
      <w:r>
        <w:t>/02/2020]</w:t>
      </w:r>
    </w:p>
    <w:p w14:paraId="343C981F" w14:textId="77777777" w:rsidR="00D47E80" w:rsidRDefault="00D47E80" w:rsidP="009F1573">
      <w:pPr>
        <w:spacing w:after="0" w:line="276" w:lineRule="auto"/>
        <w:ind w:firstLine="284"/>
      </w:pPr>
      <w:r>
        <w:t>Thurlow, J. 2004. A Dynamic Computable General Equilibrium (CGE) Model for South Africa: Extending the Static IFPRI Model. Working paper 1-2004. International Food Policy Research Institute, Washington D.C.</w:t>
      </w:r>
    </w:p>
    <w:p w14:paraId="50CFED41" w14:textId="13A4AF9C" w:rsidR="00F0156B" w:rsidRDefault="00D47E80" w:rsidP="009F1573">
      <w:pPr>
        <w:spacing w:after="0" w:line="276" w:lineRule="auto"/>
        <w:ind w:firstLine="284"/>
      </w:pPr>
      <w:r>
        <w:t xml:space="preserve">van </w:t>
      </w:r>
      <w:proofErr w:type="spellStart"/>
      <w:r>
        <w:t>Seventer</w:t>
      </w:r>
      <w:proofErr w:type="spellEnd"/>
      <w:r>
        <w:t>, D., Hartley, F., Gabriel, S. &amp; Davies, R. 2016. A 2012 Social Accounting Matrix (SAM) for South Africa. WIDER Working Paper 2016/26. Helsinki: UNU-WIDER.</w:t>
      </w:r>
    </w:p>
    <w:p w14:paraId="672A6659" w14:textId="3F05E366" w:rsidR="00F0156B" w:rsidRDefault="00F0156B" w:rsidP="00222EF1">
      <w:pPr>
        <w:spacing w:after="160" w:line="259" w:lineRule="auto"/>
        <w:ind w:firstLine="284"/>
        <w:jc w:val="left"/>
        <w:rPr>
          <w:rFonts w:cs="Arial"/>
          <w:b/>
          <w:color w:val="538135" w:themeColor="accent6" w:themeShade="BF"/>
        </w:rPr>
      </w:pPr>
    </w:p>
    <w:p w14:paraId="7AF00033" w14:textId="77777777" w:rsidR="00CC2B44" w:rsidRDefault="00CC2B44">
      <w:pPr>
        <w:spacing w:after="0"/>
        <w:jc w:val="left"/>
        <w:rPr>
          <w:rFonts w:cs="Arial"/>
          <w:b/>
          <w:color w:val="538135" w:themeColor="accent6" w:themeShade="BF"/>
        </w:rPr>
      </w:pPr>
      <w:r>
        <w:br w:type="page"/>
      </w:r>
    </w:p>
    <w:p w14:paraId="3A6CC675" w14:textId="57733CCA" w:rsidR="00F0156B" w:rsidRDefault="39DD7A4E" w:rsidP="00B83AFC">
      <w:pPr>
        <w:pStyle w:val="Acknowledgementsheading"/>
        <w:pBdr>
          <w:bottom w:val="single" w:sz="4" w:space="1" w:color="auto"/>
        </w:pBdr>
      </w:pPr>
      <w:r>
        <w:lastRenderedPageBreak/>
        <w:t>About the authors</w:t>
      </w:r>
    </w:p>
    <w:p w14:paraId="1BB77BE2" w14:textId="25660EBD" w:rsidR="00F0156B" w:rsidRPr="00A91D7D" w:rsidRDefault="00A5556D" w:rsidP="004D594C">
      <w:pPr>
        <w:pStyle w:val="Acknowledgementsheading"/>
        <w:pBdr>
          <w:bottom w:val="none" w:sz="0" w:space="0" w:color="auto"/>
        </w:pBdr>
        <w:rPr>
          <w:b w:val="0"/>
          <w:color w:val="auto"/>
        </w:rPr>
      </w:pPr>
      <w:r w:rsidRPr="00A5556D">
        <w:rPr>
          <w:b w:val="0"/>
          <w:color w:val="auto"/>
        </w:rPr>
        <w:t xml:space="preserve">Bruno Merven leads the Energy Systems </w:t>
      </w:r>
      <w:r>
        <w:rPr>
          <w:b w:val="0"/>
          <w:color w:val="auto"/>
        </w:rPr>
        <w:t>Research G</w:t>
      </w:r>
      <w:r w:rsidRPr="00A5556D">
        <w:rPr>
          <w:b w:val="0"/>
          <w:color w:val="auto"/>
        </w:rPr>
        <w:t>roup at the University of Cape Town. Faaiqa Hartley</w:t>
      </w:r>
      <w:r>
        <w:rPr>
          <w:b w:val="0"/>
          <w:color w:val="auto"/>
        </w:rPr>
        <w:t xml:space="preserve"> is a researcher within the group and </w:t>
      </w:r>
      <w:r w:rsidRPr="00A5556D">
        <w:rPr>
          <w:b w:val="0"/>
          <w:color w:val="auto"/>
        </w:rPr>
        <w:t xml:space="preserve">Jules Schers </w:t>
      </w:r>
      <w:r>
        <w:rPr>
          <w:b w:val="0"/>
          <w:color w:val="auto"/>
        </w:rPr>
        <w:t>is a visiting researcher from Expertise France</w:t>
      </w:r>
      <w:r w:rsidRPr="00A5556D">
        <w:rPr>
          <w:b w:val="0"/>
          <w:color w:val="auto"/>
        </w:rPr>
        <w:t xml:space="preserve">. All are involved in the development and maintenance of the </w:t>
      </w:r>
      <w:r>
        <w:rPr>
          <w:b w:val="0"/>
          <w:color w:val="auto"/>
        </w:rPr>
        <w:t>Group</w:t>
      </w:r>
      <w:r w:rsidRPr="00A5556D">
        <w:rPr>
          <w:b w:val="0"/>
          <w:color w:val="auto"/>
        </w:rPr>
        <w:t>’s</w:t>
      </w:r>
      <w:r>
        <w:rPr>
          <w:b w:val="0"/>
          <w:color w:val="auto"/>
        </w:rPr>
        <w:t xml:space="preserve"> </w:t>
      </w:r>
      <w:r w:rsidRPr="00A5556D">
        <w:rPr>
          <w:b w:val="0"/>
          <w:color w:val="auto"/>
        </w:rPr>
        <w:t>energy, economic and linked energy-economic model.</w:t>
      </w:r>
      <w:r w:rsidR="00093014">
        <w:rPr>
          <w:noProof/>
        </w:rPr>
        <mc:AlternateContent>
          <mc:Choice Requires="wps">
            <w:drawing>
              <wp:anchor distT="0" distB="0" distL="114300" distR="114300" simplePos="0" relativeHeight="7" behindDoc="0" locked="0" layoutInCell="1" allowOverlap="1" wp14:anchorId="6D4D4F18" wp14:editId="07777777">
                <wp:simplePos x="0" y="0"/>
                <wp:positionH relativeFrom="column">
                  <wp:posOffset>-909955</wp:posOffset>
                </wp:positionH>
                <wp:positionV relativeFrom="page">
                  <wp:posOffset>8401050</wp:posOffset>
                </wp:positionV>
                <wp:extent cx="7833360" cy="2305685"/>
                <wp:effectExtent l="0" t="0" r="0" b="1270"/>
                <wp:wrapNone/>
                <wp:docPr id="8" name="Rectangle 9"/>
                <wp:cNvGraphicFramePr/>
                <a:graphic xmlns:a="http://schemas.openxmlformats.org/drawingml/2006/main">
                  <a:graphicData uri="http://schemas.microsoft.com/office/word/2010/wordprocessingShape">
                    <wps:wsp>
                      <wps:cNvSpPr/>
                      <wps:spPr>
                        <a:xfrm>
                          <a:off x="0" y="0"/>
                          <a:ext cx="7832880" cy="2305080"/>
                        </a:xfrm>
                        <a:prstGeom prst="rect">
                          <a:avLst/>
                        </a:prstGeom>
                        <a:solidFill>
                          <a:srgbClr val="789B48"/>
                        </a:solidFill>
                        <a:ln>
                          <a:noFill/>
                        </a:ln>
                      </wps:spPr>
                      <wps:style>
                        <a:lnRef idx="0">
                          <a:scrgbClr r="0" g="0" b="0"/>
                        </a:lnRef>
                        <a:fillRef idx="0">
                          <a:scrgbClr r="0" g="0" b="0"/>
                        </a:fillRef>
                        <a:effectRef idx="0">
                          <a:scrgbClr r="0" g="0" b="0"/>
                        </a:effectRef>
                        <a:fontRef idx="minor"/>
                      </wps:style>
                      <wps:txbx>
                        <w:txbxContent>
                          <w:p w14:paraId="0A37501D" w14:textId="77777777" w:rsidR="00C0576D" w:rsidRDefault="00C0576D">
                            <w:pPr>
                              <w:pStyle w:val="FrameContents"/>
                              <w:spacing w:after="0"/>
                              <w:jc w:val="center"/>
                              <w:rPr>
                                <w:rFonts w:cstheme="minorHAnsi"/>
                                <w:b/>
                                <w:caps/>
                                <w:color w:val="FFFFFF" w:themeColor="background1"/>
                                <w:sz w:val="18"/>
                                <w:szCs w:val="18"/>
                              </w:rPr>
                            </w:pPr>
                          </w:p>
                          <w:p w14:paraId="00BEA3F1" w14:textId="77777777" w:rsidR="00C0576D" w:rsidRDefault="00C0576D">
                            <w:pPr>
                              <w:pStyle w:val="FrameContents"/>
                              <w:spacing w:after="0"/>
                              <w:jc w:val="center"/>
                              <w:rPr>
                                <w:rFonts w:cstheme="minorHAnsi"/>
                                <w:b/>
                                <w:caps/>
                                <w:color w:val="FFFFFF" w:themeColor="background1"/>
                                <w:sz w:val="18"/>
                                <w:szCs w:val="18"/>
                              </w:rPr>
                            </w:pPr>
                            <w:r>
                              <w:rPr>
                                <w:rFonts w:cstheme="minorHAnsi"/>
                                <w:b/>
                                <w:caps/>
                                <w:color w:val="FFFFFF" w:themeColor="background1"/>
                                <w:sz w:val="18"/>
                                <w:szCs w:val="18"/>
                              </w:rPr>
                              <w:t>International Food policy research institute</w:t>
                            </w:r>
                          </w:p>
                          <w:p w14:paraId="236E721F" w14:textId="77777777" w:rsidR="00C0576D" w:rsidRDefault="00C0576D">
                            <w:pPr>
                              <w:pStyle w:val="FrameContents"/>
                              <w:spacing w:after="0"/>
                              <w:jc w:val="center"/>
                              <w:rPr>
                                <w:rFonts w:cstheme="minorHAnsi"/>
                                <w:b/>
                                <w:color w:val="FFFFFF" w:themeColor="background1"/>
                                <w:sz w:val="18"/>
                                <w:szCs w:val="18"/>
                              </w:rPr>
                            </w:pPr>
                            <w:r>
                              <w:rPr>
                                <w:rFonts w:cstheme="minorHAnsi"/>
                                <w:b/>
                                <w:color w:val="FFFFFF" w:themeColor="background1"/>
                                <w:sz w:val="18"/>
                                <w:szCs w:val="18"/>
                              </w:rPr>
                              <w:t>A world free of hunger and malnutrition</w:t>
                            </w:r>
                          </w:p>
                          <w:p w14:paraId="3FB67AEA" w14:textId="77777777" w:rsidR="00C0576D" w:rsidRDefault="00C0576D">
                            <w:pPr>
                              <w:pStyle w:val="tableheading"/>
                              <w:spacing w:before="0" w:after="0"/>
                              <w:ind w:left="-288"/>
                              <w:rPr>
                                <w:rFonts w:cstheme="minorHAnsi"/>
                              </w:rPr>
                            </w:pPr>
                            <w:r>
                              <w:rPr>
                                <w:rFonts w:cstheme="minorHAnsi"/>
                              </w:rPr>
                              <w:t>1201 Eye Street, NW | Washington, DC 20005-3915 USA</w:t>
                            </w:r>
                            <w:r>
                              <w:rPr>
                                <w:rFonts w:cstheme="minorHAnsi"/>
                              </w:rPr>
                              <w:br/>
                              <w:t>T: +1.202.862.5600 | F: +1.202.862.5606</w:t>
                            </w:r>
                            <w:r>
                              <w:rPr>
                                <w:rFonts w:cstheme="minorHAnsi"/>
                              </w:rPr>
                              <w:br/>
                              <w:t>Email: ifpri@cgiar.org | www.ifpri.org</w:t>
                            </w:r>
                          </w:p>
                          <w:p w14:paraId="5DAB6C7B" w14:textId="77777777" w:rsidR="00C0576D" w:rsidRDefault="00C0576D">
                            <w:pPr>
                              <w:pStyle w:val="tableheading"/>
                              <w:spacing w:before="0" w:after="0"/>
                              <w:ind w:left="-288"/>
                              <w:rPr>
                                <w:rFonts w:cstheme="minorHAnsi"/>
                              </w:rPr>
                            </w:pPr>
                          </w:p>
                          <w:p w14:paraId="02EB378F" w14:textId="77777777" w:rsidR="00C0576D" w:rsidRDefault="00C0576D">
                            <w:pPr>
                              <w:pStyle w:val="tableheading"/>
                              <w:spacing w:before="0" w:after="0"/>
                              <w:ind w:left="-288"/>
                              <w:rPr>
                                <w:rFonts w:cstheme="minorHAnsi"/>
                              </w:rPr>
                            </w:pPr>
                          </w:p>
                          <w:p w14:paraId="009F3F38" w14:textId="77777777" w:rsidR="00C0576D" w:rsidRDefault="00C0576D">
                            <w:pPr>
                              <w:pStyle w:val="FrameContents"/>
                              <w:jc w:val="center"/>
                              <w:rPr>
                                <w:color w:val="FFFFFF" w:themeColor="background1"/>
                                <w:sz w:val="16"/>
                                <w:szCs w:val="16"/>
                              </w:rPr>
                            </w:pPr>
                            <w:r>
                              <w:rPr>
                                <w:rFonts w:eastAsia="Times New Roman" w:cstheme="minorHAnsi"/>
                                <w:color w:val="FFFFFF" w:themeColor="background1"/>
                                <w:sz w:val="16"/>
                                <w:szCs w:val="16"/>
                              </w:rPr>
                              <w:t>This paper was prepared as an output for the Towards Inclusive Economic Development in Southern Africa (SA-TIED) project</w:t>
                            </w:r>
                            <w:r>
                              <w:rPr>
                                <w:rFonts w:eastAsia="Times New Roman" w:cstheme="minorHAnsi"/>
                                <w:color w:val="FFFFFF" w:themeColor="background1"/>
                                <w:sz w:val="16"/>
                                <w:szCs w:val="16"/>
                              </w:rPr>
                              <w:br/>
                              <w:t xml:space="preserve"> and has not been peer reviewed. Any opinions stated herein are those of the authors and not necessarily representative of or endorsed by IFPRI. </w:t>
                            </w:r>
                            <w:r>
                              <w:rPr>
                                <w:rFonts w:eastAsia="Times New Roman" w:cstheme="minorHAnsi"/>
                                <w:color w:val="FFFFFF" w:themeColor="background1"/>
                                <w:sz w:val="16"/>
                                <w:szCs w:val="16"/>
                              </w:rPr>
                              <w:br/>
                              <w:t xml:space="preserve">The boundaries, names, and designations used in this publication do not imply official endorsement or acceptance by the authors, the </w:t>
                            </w:r>
                            <w:r>
                              <w:rPr>
                                <w:rFonts w:eastAsia="Times New Roman" w:cstheme="minorHAnsi"/>
                                <w:color w:val="FFFFFF" w:themeColor="background1"/>
                                <w:sz w:val="16"/>
                                <w:szCs w:val="16"/>
                              </w:rPr>
                              <w:br/>
                              <w:t>International Food Policy Research Institute (IFPRI), or its partners and donors.</w:t>
                            </w:r>
                            <w:r>
                              <w:rPr>
                                <w:color w:val="FFFFFF" w:themeColor="background1"/>
                                <w:sz w:val="16"/>
                                <w:szCs w:val="16"/>
                              </w:rPr>
                              <w:br/>
                            </w:r>
                            <w:r>
                              <w:rPr>
                                <w:color w:val="FFFFFF" w:themeColor="background1"/>
                                <w:sz w:val="16"/>
                                <w:szCs w:val="16"/>
                              </w:rPr>
                              <w:br/>
                              <w:t xml:space="preserve">Copyright </w:t>
                            </w:r>
                            <w:r>
                              <w:rPr>
                                <w:rFonts w:ascii="Symbol" w:eastAsia="Symbol" w:hAnsi="Symbol" w:cs="Symbol"/>
                                <w:color w:val="FFFFFF" w:themeColor="background1"/>
                                <w:sz w:val="16"/>
                                <w:szCs w:val="16"/>
                              </w:rPr>
                              <w:t></w:t>
                            </w:r>
                            <w:r>
                              <w:rPr>
                                <w:color w:val="FFFFFF" w:themeColor="background1"/>
                                <w:sz w:val="16"/>
                                <w:szCs w:val="16"/>
                              </w:rPr>
                              <w:t xml:space="preserve"> 2018. Remains with author(s). All rights reserved.</w:t>
                            </w:r>
                          </w:p>
                          <w:p w14:paraId="6A05A809" w14:textId="77777777" w:rsidR="00C0576D" w:rsidRDefault="00C0576D">
                            <w:pPr>
                              <w:pStyle w:val="tableheading"/>
                              <w:spacing w:before="0" w:after="0"/>
                              <w:ind w:left="-288"/>
                              <w:rPr>
                                <w:rFonts w:cstheme="minorHAnsi"/>
                              </w:rPr>
                            </w:pPr>
                          </w:p>
                          <w:p w14:paraId="5A39BBE3" w14:textId="77777777" w:rsidR="00C0576D" w:rsidRDefault="00C0576D">
                            <w:pPr>
                              <w:pStyle w:val="FrameContents"/>
                            </w:pPr>
                          </w:p>
                        </w:txbxContent>
                      </wps:txbx>
                      <wps:bodyPr>
                        <a:noAutofit/>
                      </wps:bodyPr>
                    </wps:wsp>
                  </a:graphicData>
                </a:graphic>
              </wp:anchor>
            </w:drawing>
          </mc:Choice>
          <mc:Fallback>
            <w:pict>
              <v:rect w14:anchorId="6D4D4F18" id="Rectangle 9" o:spid="_x0000_s1026" style="position:absolute;left:0;text-align:left;margin-left:-71.65pt;margin-top:661.5pt;width:616.8pt;height:181.55pt;z-index:7;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" fillcolor="#789b48" stroked="f">
                <v:textbox>
                  <w:txbxContent>
                    <w:p w14:paraId="0A37501D" w14:textId="77777777" w:rsidR="00C0576D" w:rsidRDefault="00C0576D">
                      <w:pPr>
                        <w:pStyle w:val="FrameContents"/>
                        <w:spacing w:after="0"/>
                        <w:jc w:val="center"/>
                        <w:rPr>
                          <w:rFonts w:cstheme="minorHAnsi"/>
                          <w:b/>
                          <w:caps/>
                          <w:color w:val="FFFFFF" w:themeColor="background1"/>
                          <w:sz w:val="18"/>
                          <w:szCs w:val="18"/>
                        </w:rPr>
                      </w:pPr>
                    </w:p>
                    <w:p w14:paraId="00BEA3F1" w14:textId="77777777" w:rsidR="00C0576D" w:rsidRDefault="00C0576D">
                      <w:pPr>
                        <w:pStyle w:val="FrameContents"/>
                        <w:spacing w:after="0"/>
                        <w:jc w:val="center"/>
                        <w:rPr>
                          <w:rFonts w:cstheme="minorHAnsi"/>
                          <w:b/>
                          <w:caps/>
                          <w:color w:val="FFFFFF" w:themeColor="background1"/>
                          <w:sz w:val="18"/>
                          <w:szCs w:val="18"/>
                        </w:rPr>
                      </w:pPr>
                      <w:r>
                        <w:rPr>
                          <w:rFonts w:cstheme="minorHAnsi"/>
                          <w:b/>
                          <w:caps/>
                          <w:color w:val="FFFFFF" w:themeColor="background1"/>
                          <w:sz w:val="18"/>
                          <w:szCs w:val="18"/>
                        </w:rPr>
                        <w:t>International Food policy research institute</w:t>
                      </w:r>
                    </w:p>
                    <w:p w14:paraId="236E721F" w14:textId="77777777" w:rsidR="00C0576D" w:rsidRDefault="00C0576D">
                      <w:pPr>
                        <w:pStyle w:val="FrameContents"/>
                        <w:spacing w:after="0"/>
                        <w:jc w:val="center"/>
                        <w:rPr>
                          <w:rFonts w:cstheme="minorHAnsi"/>
                          <w:b/>
                          <w:color w:val="FFFFFF" w:themeColor="background1"/>
                          <w:sz w:val="18"/>
                          <w:szCs w:val="18"/>
                        </w:rPr>
                      </w:pPr>
                      <w:r>
                        <w:rPr>
                          <w:rFonts w:cstheme="minorHAnsi"/>
                          <w:b/>
                          <w:color w:val="FFFFFF" w:themeColor="background1"/>
                          <w:sz w:val="18"/>
                          <w:szCs w:val="18"/>
                        </w:rPr>
                        <w:t>A world free of hunger and malnutrition</w:t>
                      </w:r>
                    </w:p>
                    <w:p w14:paraId="3FB67AEA" w14:textId="77777777" w:rsidR="00C0576D" w:rsidRDefault="00C0576D">
                      <w:pPr>
                        <w:pStyle w:val="tableheading"/>
                        <w:spacing w:before="0" w:after="0"/>
                        <w:ind w:left="-288"/>
                        <w:rPr>
                          <w:rFonts w:cstheme="minorHAnsi"/>
                        </w:rPr>
                      </w:pPr>
                      <w:r>
                        <w:rPr>
                          <w:rFonts w:cstheme="minorHAnsi"/>
                        </w:rPr>
                        <w:t>1201 Eye Street, NW | Washington, DC 20005-3915 USA</w:t>
                      </w:r>
                      <w:r>
                        <w:rPr>
                          <w:rFonts w:cstheme="minorHAnsi"/>
                        </w:rPr>
                        <w:br/>
                        <w:t>T: +1.202.862.5600 | F: +1.202.862.5606</w:t>
                      </w:r>
                      <w:r>
                        <w:rPr>
                          <w:rFonts w:cstheme="minorHAnsi"/>
                        </w:rPr>
                        <w:br/>
                        <w:t>Email: ifpri@cgiar.org | www.ifpri.org</w:t>
                      </w:r>
                    </w:p>
                    <w:p w14:paraId="5DAB6C7B" w14:textId="77777777" w:rsidR="00C0576D" w:rsidRDefault="00C0576D">
                      <w:pPr>
                        <w:pStyle w:val="tableheading"/>
                        <w:spacing w:before="0" w:after="0"/>
                        <w:ind w:left="-288"/>
                        <w:rPr>
                          <w:rFonts w:cstheme="minorHAnsi"/>
                        </w:rPr>
                      </w:pPr>
                    </w:p>
                    <w:p w14:paraId="02EB378F" w14:textId="77777777" w:rsidR="00C0576D" w:rsidRDefault="00C0576D">
                      <w:pPr>
                        <w:pStyle w:val="tableheading"/>
                        <w:spacing w:before="0" w:after="0"/>
                        <w:ind w:left="-288"/>
                        <w:rPr>
                          <w:rFonts w:cstheme="minorHAnsi"/>
                        </w:rPr>
                      </w:pPr>
                    </w:p>
                    <w:p w14:paraId="009F3F38" w14:textId="77777777" w:rsidR="00C0576D" w:rsidRDefault="00C0576D">
                      <w:pPr>
                        <w:pStyle w:val="FrameContents"/>
                        <w:jc w:val="center"/>
                        <w:rPr>
                          <w:color w:val="FFFFFF" w:themeColor="background1"/>
                          <w:sz w:val="16"/>
                          <w:szCs w:val="16"/>
                        </w:rPr>
                      </w:pPr>
                      <w:r>
                        <w:rPr>
                          <w:rFonts w:eastAsia="Times New Roman" w:cstheme="minorHAnsi"/>
                          <w:color w:val="FFFFFF" w:themeColor="background1"/>
                          <w:sz w:val="16"/>
                          <w:szCs w:val="16"/>
                        </w:rPr>
                        <w:t>This paper was prepared as an output for the Towards Inclusive Economic Development in Southern Africa (SA-TIED) project</w:t>
                      </w:r>
                      <w:r>
                        <w:rPr>
                          <w:rFonts w:eastAsia="Times New Roman" w:cstheme="minorHAnsi"/>
                          <w:color w:val="FFFFFF" w:themeColor="background1"/>
                          <w:sz w:val="16"/>
                          <w:szCs w:val="16"/>
                        </w:rPr>
                        <w:br/>
                        <w:t xml:space="preserve"> and has not been peer reviewed. Any opinions stated herein are those of the authors and not necessarily representative of or endorsed by IFPRI. </w:t>
                      </w:r>
                      <w:r>
                        <w:rPr>
                          <w:rFonts w:eastAsia="Times New Roman" w:cstheme="minorHAnsi"/>
                          <w:color w:val="FFFFFF" w:themeColor="background1"/>
                          <w:sz w:val="16"/>
                          <w:szCs w:val="16"/>
                        </w:rPr>
                        <w:br/>
                        <w:t xml:space="preserve">The boundaries, names, and designations used in this publication do not imply official endorsement or acceptance by the authors, the </w:t>
                      </w:r>
                      <w:r>
                        <w:rPr>
                          <w:rFonts w:eastAsia="Times New Roman" w:cstheme="minorHAnsi"/>
                          <w:color w:val="FFFFFF" w:themeColor="background1"/>
                          <w:sz w:val="16"/>
                          <w:szCs w:val="16"/>
                        </w:rPr>
                        <w:br/>
                        <w:t>International Food Policy Research Institute (IFPRI), or its partners and donors.</w:t>
                      </w:r>
                      <w:r>
                        <w:rPr>
                          <w:color w:val="FFFFFF" w:themeColor="background1"/>
                          <w:sz w:val="16"/>
                          <w:szCs w:val="16"/>
                        </w:rPr>
                        <w:br/>
                      </w:r>
                      <w:r>
                        <w:rPr>
                          <w:color w:val="FFFFFF" w:themeColor="background1"/>
                          <w:sz w:val="16"/>
                          <w:szCs w:val="16"/>
                        </w:rPr>
                        <w:br/>
                        <w:t xml:space="preserve">Copyright </w:t>
                      </w:r>
                      <w:r>
                        <w:rPr>
                          <w:rFonts w:ascii="Symbol" w:eastAsia="Symbol" w:hAnsi="Symbol" w:cs="Symbol"/>
                          <w:color w:val="FFFFFF" w:themeColor="background1"/>
                          <w:sz w:val="16"/>
                          <w:szCs w:val="16"/>
                        </w:rPr>
                        <w:t></w:t>
                      </w:r>
                      <w:r>
                        <w:rPr>
                          <w:color w:val="FFFFFF" w:themeColor="background1"/>
                          <w:sz w:val="16"/>
                          <w:szCs w:val="16"/>
                        </w:rPr>
                        <w:t xml:space="preserve"> 2018. Remains with author(s). All rights reserved.</w:t>
                      </w:r>
                    </w:p>
                    <w:p w14:paraId="6A05A809" w14:textId="77777777" w:rsidR="00C0576D" w:rsidRDefault="00C0576D">
                      <w:pPr>
                        <w:pStyle w:val="tableheading"/>
                        <w:spacing w:before="0" w:after="0"/>
                        <w:ind w:left="-288"/>
                        <w:rPr>
                          <w:rFonts w:cstheme="minorHAnsi"/>
                        </w:rPr>
                      </w:pPr>
                    </w:p>
                    <w:p w14:paraId="5A39BBE3" w14:textId="77777777" w:rsidR="00C0576D" w:rsidRDefault="00C0576D">
                      <w:pPr>
                        <w:pStyle w:val="FrameContents"/>
                      </w:pPr>
                    </w:p>
                  </w:txbxContent>
                </v:textbox>
                <w10:wrap anchory="page"/>
              </v:rect>
            </w:pict>
          </mc:Fallback>
        </mc:AlternateContent>
      </w:r>
    </w:p>
    <w:sectPr w:rsidR="00F0156B" w:rsidRPr="00A91D7D">
      <w:headerReference w:type="default" r:id="rId23"/>
      <w:footerReference w:type="default" r:id="rId24"/>
      <w:pgSz w:w="11906" w:h="16838"/>
      <w:pgMar w:top="1701" w:right="1418" w:bottom="1440" w:left="1418"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48265" w14:textId="77777777" w:rsidR="00AD3ADB" w:rsidRDefault="00AD3ADB">
      <w:pPr>
        <w:spacing w:after="0"/>
      </w:pPr>
      <w:r>
        <w:separator/>
      </w:r>
    </w:p>
  </w:endnote>
  <w:endnote w:type="continuationSeparator" w:id="0">
    <w:p w14:paraId="248CD421" w14:textId="77777777" w:rsidR="00AD3ADB" w:rsidRDefault="00AD3A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BryantPro-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3"/>
      <w:gridCol w:w="3023"/>
      <w:gridCol w:w="3023"/>
    </w:tblGrid>
    <w:tr w:rsidR="00C0576D" w14:paraId="0F33C626" w14:textId="77777777" w:rsidTr="78E5F4A3">
      <w:tc>
        <w:tcPr>
          <w:tcW w:w="3023" w:type="dxa"/>
        </w:tcPr>
        <w:p w14:paraId="6BD12F64" w14:textId="4008894A" w:rsidR="00C0576D" w:rsidRDefault="00C0576D" w:rsidP="78E5F4A3">
          <w:pPr>
            <w:pStyle w:val="Header"/>
            <w:ind w:left="-115"/>
            <w:jc w:val="left"/>
          </w:pPr>
        </w:p>
      </w:tc>
      <w:tc>
        <w:tcPr>
          <w:tcW w:w="3023" w:type="dxa"/>
        </w:tcPr>
        <w:p w14:paraId="051BD7E7" w14:textId="55C20BC3" w:rsidR="00C0576D" w:rsidRDefault="00C0576D" w:rsidP="78E5F4A3">
          <w:pPr>
            <w:pStyle w:val="Header"/>
            <w:jc w:val="center"/>
          </w:pPr>
          <w:r>
            <w:fldChar w:fldCharType="begin"/>
          </w:r>
          <w:r>
            <w:instrText>PAGE</w:instrText>
          </w:r>
          <w:r>
            <w:fldChar w:fldCharType="separate"/>
          </w:r>
          <w:r>
            <w:rPr>
              <w:noProof/>
            </w:rPr>
            <w:t>1</w:t>
          </w:r>
          <w:r>
            <w:fldChar w:fldCharType="end"/>
          </w:r>
        </w:p>
      </w:tc>
      <w:tc>
        <w:tcPr>
          <w:tcW w:w="3023" w:type="dxa"/>
        </w:tcPr>
        <w:p w14:paraId="1765EC2B" w14:textId="278072A1" w:rsidR="00C0576D" w:rsidRDefault="00C0576D" w:rsidP="78E5F4A3">
          <w:pPr>
            <w:pStyle w:val="Header"/>
            <w:ind w:right="-115"/>
            <w:jc w:val="right"/>
          </w:pPr>
        </w:p>
      </w:tc>
    </w:tr>
  </w:tbl>
  <w:p w14:paraId="3377322D" w14:textId="52574049" w:rsidR="00C0576D" w:rsidRDefault="00C0576D" w:rsidP="78E5F4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olor w:val="5A344D"/>
      </w:rPr>
      <w:id w:val="1658677923"/>
      <w:docPartObj>
        <w:docPartGallery w:val="Page Numbers (Bottom of Page)"/>
        <w:docPartUnique/>
      </w:docPartObj>
    </w:sdtPr>
    <w:sdtContent>
      <w:p w14:paraId="3E36255A" w14:textId="06979ABD" w:rsidR="00C0576D" w:rsidRDefault="00C0576D" w:rsidP="78E5F4A3">
        <w:pPr>
          <w:pStyle w:val="Footer"/>
          <w:jc w:val="center"/>
        </w:pPr>
        <w:r>
          <w:fldChar w:fldCharType="begin"/>
        </w:r>
        <w:r>
          <w:instrText>PAGE</w:instrText>
        </w:r>
        <w:r>
          <w:fldChar w:fldCharType="separate"/>
        </w:r>
        <w:r>
          <w:rPr>
            <w:noProof/>
          </w:rPr>
          <w:t>2</w:t>
        </w:r>
        <w:r>
          <w:fldChar w:fldCharType="end"/>
        </w:r>
      </w:p>
      <w:p w14:paraId="4DDBEF00" w14:textId="77777777" w:rsidR="00C0576D" w:rsidRDefault="00C0576D">
        <w:pPr>
          <w:pStyle w:val="WorkingPaper-Datebox"/>
          <w:jc w:val="center"/>
          <w:rPr>
            <w:rFonts w:cstheme="majorHAnsi"/>
          </w:rPr>
        </w:pPr>
      </w:p>
    </w:sdtContent>
  </w:sdt>
  <w:p w14:paraId="3461D779" w14:textId="77777777" w:rsidR="00C0576D" w:rsidRDefault="00C0576D">
    <w:pPr>
      <w:pStyle w:val="WorkingPaper-Datebox"/>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FA86F" w14:textId="77777777" w:rsidR="00AD3ADB" w:rsidRDefault="00AD3ADB">
      <w:pPr>
        <w:spacing w:after="0"/>
      </w:pPr>
      <w:r>
        <w:separator/>
      </w:r>
    </w:p>
  </w:footnote>
  <w:footnote w:type="continuationSeparator" w:id="0">
    <w:p w14:paraId="34C78E4A" w14:textId="77777777" w:rsidR="00AD3ADB" w:rsidRDefault="00AD3ADB">
      <w:pPr>
        <w:spacing w:after="0"/>
      </w:pPr>
      <w:r>
        <w:continuationSeparator/>
      </w:r>
    </w:p>
  </w:footnote>
  <w:footnote w:id="1">
    <w:p w14:paraId="60C71B3F" w14:textId="77777777" w:rsidR="00C0576D" w:rsidRPr="007942F7" w:rsidRDefault="00C0576D" w:rsidP="00BC32A0">
      <w:pPr>
        <w:pStyle w:val="FootnoteText"/>
      </w:pPr>
      <w:r>
        <w:rPr>
          <w:rStyle w:val="FootnoteReference"/>
        </w:rPr>
        <w:footnoteRef/>
      </w:r>
      <w:r>
        <w:t xml:space="preserve"> </w:t>
      </w:r>
      <w:r w:rsidRPr="00C10756">
        <w:rPr>
          <w:rFonts w:ascii="Calibri" w:hAnsi="Calibri" w:cs="Calibri"/>
          <w:color w:val="000000"/>
        </w:rPr>
        <w:t>Linear Expansion System</w:t>
      </w:r>
      <w:r>
        <w:rPr>
          <w:rFonts w:ascii="Calibri" w:hAnsi="Calibri" w:cs="Calibri"/>
          <w:color w:val="000000"/>
        </w:rPr>
        <w:t>s</w:t>
      </w:r>
      <w:r w:rsidRPr="00C10756">
        <w:rPr>
          <w:rFonts w:ascii="Calibri" w:hAnsi="Calibri" w:cs="Calibri"/>
          <w:color w:val="000000"/>
        </w:rPr>
        <w:t xml:space="preserve"> use income and own price elasticit</w:t>
      </w:r>
      <w:r>
        <w:rPr>
          <w:rFonts w:ascii="Calibri" w:hAnsi="Calibri" w:cs="Calibri"/>
          <w:color w:val="000000"/>
        </w:rPr>
        <w:t>ies</w:t>
      </w:r>
      <w:r w:rsidRPr="00C10756">
        <w:rPr>
          <w:rFonts w:ascii="Calibri" w:hAnsi="Calibri" w:cs="Calibri"/>
          <w:color w:val="000000"/>
        </w:rPr>
        <w:t xml:space="preserve"> to </w:t>
      </w:r>
      <w:r>
        <w:rPr>
          <w:rFonts w:ascii="Calibri" w:hAnsi="Calibri" w:cs="Calibri"/>
          <w:color w:val="000000"/>
        </w:rPr>
        <w:t xml:space="preserve">model </w:t>
      </w:r>
      <w:r w:rsidRPr="00C10756">
        <w:rPr>
          <w:rFonts w:ascii="Calibri" w:hAnsi="Calibri" w:cs="Calibri"/>
          <w:color w:val="000000"/>
        </w:rPr>
        <w:t xml:space="preserve">shares </w:t>
      </w:r>
      <w:r>
        <w:rPr>
          <w:rFonts w:ascii="Calibri" w:hAnsi="Calibri" w:cs="Calibri"/>
          <w:color w:val="000000"/>
        </w:rPr>
        <w:t xml:space="preserve">of goods and services </w:t>
      </w:r>
      <w:r w:rsidRPr="00C10756">
        <w:rPr>
          <w:rFonts w:ascii="Calibri" w:hAnsi="Calibri" w:cs="Calibri"/>
          <w:color w:val="000000"/>
        </w:rPr>
        <w:t>within consumption or expenditure.</w:t>
      </w:r>
    </w:p>
  </w:footnote>
  <w:footnote w:id="2">
    <w:p w14:paraId="13EF7DA9" w14:textId="77777777" w:rsidR="00C0576D" w:rsidRPr="00EB58E6" w:rsidRDefault="00C0576D" w:rsidP="00796210">
      <w:pPr>
        <w:spacing w:after="0"/>
        <w:rPr>
          <w:rFonts w:ascii="Calibri" w:eastAsia="Times New Roman" w:hAnsi="Calibri" w:cs="Calibri"/>
          <w:color w:val="000000"/>
          <w:sz w:val="20"/>
          <w:szCs w:val="20"/>
          <w:lang w:eastAsia="en-ZA"/>
        </w:rPr>
      </w:pPr>
      <w:r w:rsidRPr="00EB58E6">
        <w:rPr>
          <w:rStyle w:val="FootnoteReference"/>
          <w:rFonts w:ascii="Calibri" w:hAnsi="Calibri" w:cs="Calibri"/>
          <w:sz w:val="20"/>
          <w:szCs w:val="20"/>
        </w:rPr>
        <w:footnoteRef/>
      </w:r>
      <w:r w:rsidRPr="00EB58E6">
        <w:rPr>
          <w:rFonts w:ascii="Calibri" w:hAnsi="Calibri" w:cs="Calibri"/>
          <w:sz w:val="20"/>
          <w:szCs w:val="20"/>
        </w:rPr>
        <w:t xml:space="preserve"> </w:t>
      </w:r>
      <w:r w:rsidRPr="00EB58E6">
        <w:rPr>
          <w:rFonts w:ascii="Calibri" w:hAnsi="Calibri" w:cs="Calibri"/>
          <w:color w:val="000000"/>
          <w:sz w:val="20"/>
          <w:szCs w:val="20"/>
        </w:rPr>
        <w:t xml:space="preserve">In one application </w:t>
      </w:r>
      <w:proofErr w:type="spellStart"/>
      <w:r w:rsidRPr="00EB58E6">
        <w:rPr>
          <w:rFonts w:ascii="Calibri" w:hAnsi="Calibri" w:cs="Calibri"/>
          <w:color w:val="000000"/>
          <w:sz w:val="20"/>
          <w:szCs w:val="20"/>
        </w:rPr>
        <w:t>Dervis</w:t>
      </w:r>
      <w:proofErr w:type="spellEnd"/>
      <w:r w:rsidRPr="00EB58E6">
        <w:rPr>
          <w:rFonts w:ascii="Calibri" w:hAnsi="Calibri" w:cs="Calibri"/>
          <w:color w:val="000000"/>
          <w:sz w:val="20"/>
          <w:szCs w:val="20"/>
        </w:rPr>
        <w:t xml:space="preserve"> et al. </w:t>
      </w:r>
      <w:r w:rsidRPr="00796210">
        <w:rPr>
          <w:rFonts w:ascii="Calibri" w:hAnsi="Calibri" w:cs="Calibri"/>
          <w:color w:val="000000"/>
          <w:sz w:val="20"/>
          <w:szCs w:val="20"/>
        </w:rPr>
        <w:t>(1982) propose the use of different income elasticities for different socio-economic groups in a developing economy. However, modelling changes in the number of people per socio-economic group might not be common or easy for CGE models and such groups might also become wealthier while maintaining other socio-economic characteristics.</w:t>
      </w:r>
    </w:p>
  </w:footnote>
  <w:footnote w:id="3">
    <w:p w14:paraId="00DA0FC6" w14:textId="77777777" w:rsidR="00D163DA" w:rsidRPr="00294A73" w:rsidRDefault="00D163DA" w:rsidP="00D163DA">
      <w:pPr>
        <w:spacing w:after="0"/>
        <w:rPr>
          <w:rFonts w:eastAsia="Times New Roman" w:cstheme="minorHAnsi"/>
          <w:color w:val="000000"/>
          <w:lang w:eastAsia="en-ZA"/>
        </w:rPr>
      </w:pPr>
      <w:r>
        <w:rPr>
          <w:rStyle w:val="FootnoteReference"/>
        </w:rPr>
        <w:footnoteRef/>
      </w:r>
      <w:r>
        <w:t xml:space="preserve"> </w:t>
      </w:r>
      <w:r w:rsidRPr="00796210">
        <w:rPr>
          <w:rFonts w:ascii="Calibri" w:hAnsi="Calibri" w:cs="Calibri"/>
          <w:color w:val="000000"/>
          <w:sz w:val="20"/>
          <w:szCs w:val="20"/>
        </w:rPr>
        <w:t xml:space="preserve">The same is true for price elasticities, that are also found not to be constant with the standard of living (Burger et al 2015, </w:t>
      </w:r>
      <w:proofErr w:type="spellStart"/>
      <w:r w:rsidRPr="00796210">
        <w:rPr>
          <w:rFonts w:ascii="Calibri" w:hAnsi="Calibri" w:cs="Calibri"/>
          <w:color w:val="000000"/>
          <w:sz w:val="20"/>
          <w:szCs w:val="20"/>
        </w:rPr>
        <w:t>Bagilet</w:t>
      </w:r>
      <w:proofErr w:type="spellEnd"/>
      <w:r w:rsidRPr="00796210">
        <w:rPr>
          <w:rFonts w:ascii="Calibri" w:hAnsi="Calibri" w:cs="Calibri"/>
          <w:color w:val="000000"/>
          <w:sz w:val="20"/>
          <w:szCs w:val="20"/>
        </w:rPr>
        <w:t>, 2017).</w:t>
      </w:r>
    </w:p>
  </w:footnote>
  <w:footnote w:id="4">
    <w:p w14:paraId="489BD3C1" w14:textId="77777777" w:rsidR="00D163DA" w:rsidRPr="00294A73" w:rsidRDefault="00D163DA" w:rsidP="00D163DA">
      <w:pPr>
        <w:pStyle w:val="FootnoteText"/>
        <w:ind w:left="0" w:firstLine="0"/>
        <w:rPr>
          <w:lang w:val="en-US"/>
        </w:rPr>
      </w:pPr>
      <w:r>
        <w:rPr>
          <w:rStyle w:val="FootnoteReference"/>
        </w:rPr>
        <w:footnoteRef/>
      </w:r>
      <w:r>
        <w:t xml:space="preserve"> </w:t>
      </w:r>
      <w:r w:rsidRPr="00796210">
        <w:rPr>
          <w:rFonts w:ascii="Calibri" w:hAnsi="Calibri" w:cs="Calibri"/>
          <w:color w:val="000000"/>
        </w:rPr>
        <w:t>Even for aggregate households the changes in welfare and consumption patterns can be very big within a few decades (</w:t>
      </w:r>
      <w:proofErr w:type="spellStart"/>
      <w:r w:rsidRPr="00796210">
        <w:rPr>
          <w:rFonts w:ascii="Calibri" w:hAnsi="Calibri" w:cs="Calibri"/>
          <w:color w:val="000000"/>
        </w:rPr>
        <w:t>Lahiri</w:t>
      </w:r>
      <w:proofErr w:type="spellEnd"/>
      <w:r w:rsidRPr="00796210">
        <w:rPr>
          <w:rFonts w:ascii="Calibri" w:hAnsi="Calibri" w:cs="Calibri"/>
          <w:color w:val="000000"/>
        </w:rPr>
        <w:t xml:space="preserve"> et al, 2000</w:t>
      </w:r>
      <w:r w:rsidRPr="00796210">
        <w:rPr>
          <w:color w:val="00000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0496C" w14:textId="6ABC357B" w:rsidR="00C0576D" w:rsidRDefault="00C0576D">
    <w:r>
      <w:rPr>
        <w:noProof/>
      </w:rPr>
      <mc:AlternateContent>
        <mc:Choice Requires="wps">
          <w:drawing>
            <wp:anchor distT="0" distB="0" distL="114300" distR="112395" simplePos="0" relativeHeight="2" behindDoc="1" locked="0" layoutInCell="1" allowOverlap="1" wp14:anchorId="305048D4" wp14:editId="46485C6D">
              <wp:simplePos x="0" y="0"/>
              <wp:positionH relativeFrom="column">
                <wp:posOffset>-909955</wp:posOffset>
              </wp:positionH>
              <wp:positionV relativeFrom="paragraph">
                <wp:posOffset>-466725</wp:posOffset>
              </wp:positionV>
              <wp:extent cx="7593330" cy="2487930"/>
              <wp:effectExtent l="0" t="0" r="9525" b="9525"/>
              <wp:wrapNone/>
              <wp:docPr id="1" name="Rectangle 40"/>
              <wp:cNvGraphicFramePr/>
              <a:graphic xmlns:a="http://schemas.openxmlformats.org/drawingml/2006/main">
                <a:graphicData uri="http://schemas.microsoft.com/office/word/2010/wordprocessingShape">
                  <wps:wsp>
                    <wps:cNvSpPr/>
                    <wps:spPr>
                      <a:xfrm>
                        <a:off x="0" y="0"/>
                        <a:ext cx="7592760" cy="2487240"/>
                      </a:xfrm>
                      <a:prstGeom prst="rect">
                        <a:avLst/>
                      </a:prstGeom>
                      <a:solidFill>
                        <a:srgbClr val="789B48"/>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F22CEF8" id="Rectangle 40" o:spid="_x0000_s1026" style="position:absolute;margin-left:-71.65pt;margin-top:-36.75pt;width:597.9pt;height:195.9pt;z-index:-503316478;visibility:visible;mso-wrap-style:square;mso-wrap-distance-left:9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" fillcolor="#789b48" stroked="f"/>
          </w:pict>
        </mc:Fallback>
      </mc:AlternateContent>
    </w:r>
    <w:r>
      <w:rPr>
        <w:noProof/>
      </w:rPr>
      <mc:AlternateContent>
        <mc:Choice Requires="wps">
          <w:drawing>
            <wp:anchor distT="0" distB="0" distL="114300" distR="114300" simplePos="0" relativeHeight="5" behindDoc="1" locked="0" layoutInCell="1" allowOverlap="1" wp14:anchorId="03D14AB6" wp14:editId="07777777">
              <wp:simplePos x="0" y="0"/>
              <wp:positionH relativeFrom="column">
                <wp:posOffset>530225</wp:posOffset>
              </wp:positionH>
              <wp:positionV relativeFrom="paragraph">
                <wp:posOffset>111125</wp:posOffset>
              </wp:positionV>
              <wp:extent cx="4472940" cy="807720"/>
              <wp:effectExtent l="0" t="0" r="0" b="0"/>
              <wp:wrapNone/>
              <wp:docPr id="2" name="Text Box 8"/>
              <wp:cNvGraphicFramePr/>
              <a:graphic xmlns:a="http://schemas.openxmlformats.org/drawingml/2006/main">
                <a:graphicData uri="http://schemas.microsoft.com/office/word/2010/wordprocessingShape">
                  <wps:wsp>
                    <wps:cNvSpPr/>
                    <wps:spPr>
                      <a:xfrm>
                        <a:off x="0" y="0"/>
                        <a:ext cx="4472280" cy="807120"/>
                      </a:xfrm>
                      <a:prstGeom prst="rect">
                        <a:avLst/>
                      </a:prstGeom>
                      <a:noFill/>
                      <a:ln w="6480">
                        <a:noFill/>
                      </a:ln>
                    </wps:spPr>
                    <wps:style>
                      <a:lnRef idx="0">
                        <a:scrgbClr r="0" g="0" b="0"/>
                      </a:lnRef>
                      <a:fillRef idx="0">
                        <a:scrgbClr r="0" g="0" b="0"/>
                      </a:fillRef>
                      <a:effectRef idx="0">
                        <a:scrgbClr r="0" g="0" b="0"/>
                      </a:effectRef>
                      <a:fontRef idx="minor"/>
                    </wps:style>
                    <wps:txbx>
                      <w:txbxContent>
                        <w:p w14:paraId="70527CC8" w14:textId="77777777" w:rsidR="00C0576D" w:rsidRDefault="00C0576D">
                          <w:pPr>
                            <w:pStyle w:val="FrameContents"/>
                            <w:jc w:val="left"/>
                            <w:rPr>
                              <w:rFonts w:ascii="Cambria" w:hAnsi="Cambria"/>
                              <w:color w:val="FFFFFF" w:themeColor="background1"/>
                              <w:sz w:val="48"/>
                            </w:rPr>
                          </w:pPr>
                          <w:r>
                            <w:rPr>
                              <w:rFonts w:ascii="Cambria" w:hAnsi="Cambria"/>
                              <w:color w:val="FFFFFF" w:themeColor="background1"/>
                              <w:sz w:val="48"/>
                            </w:rPr>
                            <w:t>Towards Inclusive Economic Development in Southern Africa</w:t>
                          </w:r>
                        </w:p>
                      </w:txbxContent>
                    </wps:txbx>
                    <wps:bodyPr>
                      <a:prstTxWarp prst="textNoShape">
                        <a:avLst/>
                      </a:prstTxWarp>
                      <a:noAutofit/>
                    </wps:bodyPr>
                  </wps:wsp>
                </a:graphicData>
              </a:graphic>
            </wp:anchor>
          </w:drawing>
        </mc:Choice>
        <mc:Fallback>
          <w:pict>
            <v:rect w14:anchorId="03D14AB6" id="Text Box 8" o:spid="_x0000_s1027" style="position:absolute;left:0;text-align:left;margin-left:41.75pt;margin-top:8.75pt;width:352.2pt;height:63.6pt;z-index:-5033164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" filled="f" stroked="f" strokeweight=".18mm">
              <v:textbox>
                <w:txbxContent>
                  <w:p w14:paraId="70527CC8" w14:textId="77777777" w:rsidR="00C0576D" w:rsidRDefault="00C0576D">
                    <w:pPr>
                      <w:pStyle w:val="FrameContents"/>
                      <w:jc w:val="left"/>
                      <w:rPr>
                        <w:rFonts w:ascii="Cambria" w:hAnsi="Cambria"/>
                        <w:color w:val="FFFFFF" w:themeColor="background1"/>
                        <w:sz w:val="48"/>
                      </w:rPr>
                    </w:pPr>
                    <w:r>
                      <w:rPr>
                        <w:rFonts w:ascii="Cambria" w:hAnsi="Cambria"/>
                        <w:color w:val="FFFFFF" w:themeColor="background1"/>
                        <w:sz w:val="48"/>
                      </w:rPr>
                      <w:t>Towards Inclusive Economic Development in Southern Africa</w:t>
                    </w:r>
                  </w:p>
                </w:txbxContent>
              </v:textbox>
            </v:rect>
          </w:pict>
        </mc:Fallback>
      </mc:AlternateContent>
    </w:r>
    <w:r>
      <w:rPr>
        <w:noProof/>
      </w:rPr>
      <w:drawing>
        <wp:anchor distT="0" distB="0" distL="114300" distR="114300" simplePos="0" relativeHeight="6" behindDoc="0" locked="0" layoutInCell="1" allowOverlap="1" wp14:anchorId="0518073E" wp14:editId="07777777">
          <wp:simplePos x="0" y="0"/>
          <wp:positionH relativeFrom="column">
            <wp:posOffset>-231775</wp:posOffset>
          </wp:positionH>
          <wp:positionV relativeFrom="paragraph">
            <wp:posOffset>144145</wp:posOffset>
          </wp:positionV>
          <wp:extent cx="582295" cy="955675"/>
          <wp:effectExtent l="0" t="0" r="0" b="0"/>
          <wp:wrapTight wrapText="bothSides">
            <wp:wrapPolygon edited="0">
              <wp:start x="1768" y="276"/>
              <wp:lineTo x="1297" y="1136"/>
              <wp:lineTo x="1297" y="20841"/>
              <wp:lineTo x="19767" y="20841"/>
              <wp:lineTo x="19767" y="1422"/>
              <wp:lineTo x="19295" y="276"/>
              <wp:lineTo x="1768" y="276"/>
            </wp:wrapPolygon>
          </wp:wrapTight>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pic:cNvPicPr>
                    <a:picLocks noChangeAspect="1" noChangeArrowheads="1"/>
                  </pic:cNvPicPr>
                </pic:nvPicPr>
                <pic:blipFill>
                  <a:blip r:embed="rId1"/>
                  <a:stretch>
                    <a:fillRect/>
                  </a:stretch>
                </pic:blipFill>
                <pic:spPr bwMode="auto">
                  <a:xfrm>
                    <a:off x="0" y="0"/>
                    <a:ext cx="582295" cy="955675"/>
                  </a:xfrm>
                  <a:prstGeom prst="rect">
                    <a:avLst/>
                  </a:prstGeom>
                </pic:spPr>
              </pic:pic>
            </a:graphicData>
          </a:graphic>
        </wp:anchor>
      </w:drawing>
    </w:r>
  </w:p>
  <w:p w14:paraId="44EAFD9C" w14:textId="114F91EB" w:rsidR="00C0576D" w:rsidRDefault="00C0576D"/>
  <w:p w14:paraId="4B94D5A5" w14:textId="77777777" w:rsidR="00C0576D" w:rsidRDefault="00C0576D">
    <w:r>
      <w:tab/>
    </w:r>
  </w:p>
  <w:p w14:paraId="3DEEC669" w14:textId="77777777" w:rsidR="00C0576D" w:rsidRDefault="00C0576D"/>
  <w:p w14:paraId="3656B9AB" w14:textId="77777777" w:rsidR="00C0576D" w:rsidRDefault="00C0576D"/>
  <w:p w14:paraId="45FB0818" w14:textId="32CF761B" w:rsidR="00C0576D" w:rsidRDefault="00C0576D"/>
  <w:p w14:paraId="5E5C47F0" w14:textId="515CAC70" w:rsidR="00C0576D" w:rsidRDefault="00C0576D">
    <w:r>
      <w:rPr>
        <w:noProof/>
        <w:lang w:val="en-GB" w:eastAsia="en-GB"/>
      </w:rPr>
      <mc:AlternateContent>
        <mc:Choice Requires="wps">
          <w:drawing>
            <wp:anchor distT="0" distB="0" distL="114300" distR="114300" simplePos="0" relativeHeight="251659264" behindDoc="0" locked="0" layoutInCell="1" allowOverlap="1" wp14:anchorId="4EB7A6CF" wp14:editId="68B9C00A">
              <wp:simplePos x="0" y="0"/>
              <wp:positionH relativeFrom="column">
                <wp:posOffset>3509819</wp:posOffset>
              </wp:positionH>
              <wp:positionV relativeFrom="paragraph">
                <wp:posOffset>64596</wp:posOffset>
              </wp:positionV>
              <wp:extent cx="2811780" cy="288290"/>
              <wp:effectExtent l="0" t="0" r="0" b="0"/>
              <wp:wrapNone/>
              <wp:docPr id="2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E8CCA" w14:textId="28A1A0AE" w:rsidR="00C0576D" w:rsidRPr="00A20AF8" w:rsidRDefault="00C0576D" w:rsidP="00EA50D3">
                          <w:pPr>
                            <w:rPr>
                              <w:rFonts w:ascii="Arial" w:hAnsi="Arial" w:cs="Arial"/>
                              <w:sz w:val="20"/>
                            </w:rPr>
                          </w:pPr>
                          <w:r>
                            <w:rPr>
                              <w:rFonts w:ascii="Arial" w:hAnsi="Arial" w:cs="Arial"/>
                              <w:sz w:val="20"/>
                            </w:rPr>
                            <w:t>SA-TIED | Working Paper # | February 2020</w:t>
                          </w:r>
                        </w:p>
                        <w:p w14:paraId="581BED95" w14:textId="77777777" w:rsidR="00C0576D" w:rsidRPr="008C7E01" w:rsidRDefault="00C0576D" w:rsidP="00EA50D3">
                          <w:pPr>
                            <w:rPr>
                              <w:color w:val="FFFFFF" w:themeColor="background1"/>
                            </w:rPr>
                          </w:pPr>
                          <w:sdt>
                            <w:sdtPr>
                              <w:rPr>
                                <w:rFonts w:ascii="Cambria Math" w:hAnsi="Cambria Math"/>
                                <w:i/>
                                <w:color w:val="FFFFFF" w:themeColor="background1"/>
                              </w:rPr>
                              <w:id w:val="580263417"/>
                              <w:temporary/>
                              <w:showingPlcHdr/>
                              <w:equation/>
                            </w:sdtPr>
                            <w:sdtContent>
                              <m:oMathPara>
                                <m:oMathParaPr>
                                  <m:jc m:val="left"/>
                                </m:oMathParaPr>
                                <m:oMath>
                                  <m:r>
                                    <m:rPr>
                                      <m:sty m:val="p"/>
                                    </m:rPr>
                                    <w:rPr>
                                      <w:rFonts w:ascii="Cambria Math" w:hAnsi="Cambria Math"/>
                                    </w:rPr>
                                    <m:t>Type equation here.</m:t>
                                  </m:r>
                                </m:oMath>
                              </m:oMathPara>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B7A6CF" id="_x0000_t202" coordsize="21600,21600" o:spt="202" path="m,l,21600r21600,l21600,xe">
              <v:stroke joinstyle="miter"/>
              <v:path gradientshapeok="t" o:connecttype="rect"/>
            </v:shapetype>
            <v:shape id="Text Box 44" o:spid="_x0000_s1028" type="#_x0000_t202" style="position:absolute;left:0;text-align:left;margin-left:276.35pt;margin-top:5.1pt;width:221.4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" filled="f" stroked="f">
              <v:textbox>
                <w:txbxContent>
                  <w:p w14:paraId="1C6E8CCA" w14:textId="28A1A0AE" w:rsidR="00C0576D" w:rsidRPr="00A20AF8" w:rsidRDefault="00C0576D" w:rsidP="00EA50D3">
                    <w:pPr>
                      <w:rPr>
                        <w:rFonts w:ascii="Arial" w:hAnsi="Arial" w:cs="Arial"/>
                        <w:sz w:val="20"/>
                      </w:rPr>
                    </w:pPr>
                    <w:r>
                      <w:rPr>
                        <w:rFonts w:ascii="Arial" w:hAnsi="Arial" w:cs="Arial"/>
                        <w:sz w:val="20"/>
                      </w:rPr>
                      <w:t>SA-TIED | Working Paper # | February 2020</w:t>
                    </w:r>
                  </w:p>
                  <w:p w14:paraId="581BED95" w14:textId="77777777" w:rsidR="00C0576D" w:rsidRPr="008C7E01" w:rsidRDefault="00C0576D" w:rsidP="00EA50D3">
                    <w:pPr>
                      <w:rPr>
                        <w:color w:val="FFFFFF" w:themeColor="background1"/>
                      </w:rPr>
                    </w:pPr>
                    <w:sdt>
                      <w:sdtPr>
                        <w:rPr>
                          <w:rFonts w:ascii="Cambria Math" w:hAnsi="Cambria Math"/>
                          <w:i/>
                          <w:color w:val="FFFFFF" w:themeColor="background1"/>
                        </w:rPr>
                        <w:id w:val="580263417"/>
                        <w:temporary/>
                        <w:showingPlcHdr/>
                        <w:equation/>
                      </w:sdtPr>
                      <w:sdtContent>
                        <m:oMathPara>
                          <m:oMathParaPr>
                            <m:jc m:val="left"/>
                          </m:oMathParaPr>
                          <m:oMath>
                            <m:r>
                              <m:rPr>
                                <m:sty m:val="p"/>
                              </m:rPr>
                              <w:rPr>
                                <w:rFonts w:ascii="Cambria Math" w:hAnsi="Cambria Math"/>
                              </w:rPr>
                              <m:t>Type equation here.</m:t>
                            </m:r>
                          </m:oMath>
                        </m:oMathPara>
                      </w:sdtContent>
                    </w:sdt>
                  </w:p>
                </w:txbxContent>
              </v:textbox>
            </v:shape>
          </w:pict>
        </mc:Fallback>
      </mc:AlternateContent>
    </w:r>
    <w:r>
      <w:rPr>
        <w:noProof/>
      </w:rPr>
      <mc:AlternateContent>
        <mc:Choice Requires="wps">
          <w:drawing>
            <wp:anchor distT="0" distB="0" distL="114300" distR="114300" simplePos="0" relativeHeight="3" behindDoc="1" locked="0" layoutInCell="1" allowOverlap="1" wp14:anchorId="01D36530" wp14:editId="5955C3E5">
              <wp:simplePos x="0" y="0"/>
              <wp:positionH relativeFrom="column">
                <wp:posOffset>3552190</wp:posOffset>
              </wp:positionH>
              <wp:positionV relativeFrom="paragraph">
                <wp:posOffset>88900</wp:posOffset>
              </wp:positionV>
              <wp:extent cx="2813685" cy="290195"/>
              <wp:effectExtent l="0" t="0" r="0" b="0"/>
              <wp:wrapNone/>
              <wp:docPr id="5" name="Text Box 44"/>
              <wp:cNvGraphicFramePr/>
              <a:graphic xmlns:a="http://schemas.openxmlformats.org/drawingml/2006/main">
                <a:graphicData uri="http://schemas.microsoft.com/office/word/2010/wordprocessingShape">
                  <wps:wsp>
                    <wps:cNvSpPr/>
                    <wps:spPr>
                      <a:xfrm>
                        <a:off x="0" y="0"/>
                        <a:ext cx="2813040" cy="289440"/>
                      </a:xfrm>
                      <a:prstGeom prst="rect">
                        <a:avLst/>
                      </a:prstGeom>
                      <a:noFill/>
                      <a:ln>
                        <a:noFill/>
                      </a:ln>
                    </wps:spPr>
                    <wps:style>
                      <a:lnRef idx="0">
                        <a:scrgbClr r="0" g="0" b="0"/>
                      </a:lnRef>
                      <a:fillRef idx="0">
                        <a:scrgbClr r="0" g="0" b="0"/>
                      </a:fillRef>
                      <a:effectRef idx="0">
                        <a:scrgbClr r="0" g="0" b="0"/>
                      </a:effectRef>
                      <a:fontRef idx="minor"/>
                    </wps:style>
                    <wps:txbx>
                      <w:txbxContent>
                        <w:p w14:paraId="7142C697" w14:textId="77777777" w:rsidR="00C0576D" w:rsidRDefault="00C0576D">
                          <w:pPr>
                            <w:pStyle w:val="FrameContents"/>
                            <w:rPr>
                              <w:rFonts w:ascii="Arial" w:hAnsi="Arial" w:cs="Arial"/>
                              <w:sz w:val="20"/>
                            </w:rPr>
                          </w:pPr>
                          <w:r>
                            <w:rPr>
                              <w:rFonts w:ascii="Arial" w:hAnsi="Arial" w:cs="Arial"/>
                              <w:color w:val="000000"/>
                              <w:sz w:val="20"/>
                            </w:rPr>
                            <w:t>SA-TIED | Working Paper # | xxx 2020</w:t>
                          </w:r>
                        </w:p>
                        <w:sdt>
                          <w:sdtPr>
                            <w:id w:val="1447718276"/>
                            <w:temporary/>
                            <w:equation/>
                          </w:sdtPr>
                          <w:sdtContent>
                            <w:p w14:paraId="3CB92B69" w14:textId="77777777" w:rsidR="00C0576D" w:rsidRDefault="00C0576D">
                              <w:pPr>
                                <w:pStyle w:val="FrameContents"/>
                                <w:rPr>
                                  <w:color w:val="FFFFFF" w:themeColor="background1"/>
                                </w:rPr>
                              </w:pPr>
                              <m:oMath>
                                <m:r>
                                  <m:rPr>
                                    <m:sty m:val="p"/>
                                  </m:rPr>
                                  <w:rPr>
                                    <w:rFonts w:ascii="Cambria Math" w:hAnsi="Cambria Math"/>
                                  </w:rPr>
                                  <m:t>Typeequationhere.</m:t>
                                </m:r>
                              </m:oMath>
                            </w:p>
                          </w:sdtContent>
                        </w:sdt>
                      </w:txbxContent>
                    </wps:txbx>
                    <wps:bodyPr>
                      <a:noAutofit/>
                    </wps:bodyPr>
                  </wps:wsp>
                </a:graphicData>
              </a:graphic>
            </wp:anchor>
          </w:drawing>
        </mc:Choice>
        <mc:Fallback>
          <w:pict>
            <v:rect w14:anchorId="01D36530" id="_x0000_s1029" style="position:absolute;left:0;text-align:left;margin-left:279.7pt;margin-top:7pt;width:221.55pt;height:22.8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" filled="f" stroked="f">
              <v:textbox>
                <w:txbxContent>
                  <w:p w14:paraId="7142C697" w14:textId="77777777" w:rsidR="00C0576D" w:rsidRDefault="00C0576D">
                    <w:pPr>
                      <w:pStyle w:val="FrameContents"/>
                      <w:rPr>
                        <w:rFonts w:ascii="Arial" w:hAnsi="Arial" w:cs="Arial"/>
                        <w:sz w:val="20"/>
                      </w:rPr>
                    </w:pPr>
                    <w:r>
                      <w:rPr>
                        <w:rFonts w:ascii="Arial" w:hAnsi="Arial" w:cs="Arial"/>
                        <w:color w:val="000000"/>
                        <w:sz w:val="20"/>
                      </w:rPr>
                      <w:t>SA-TIED | Working Paper # | xxx 2020</w:t>
                    </w:r>
                  </w:p>
                  <w:sdt>
                    <w:sdtPr>
                      <w:id w:val="1447718276"/>
                      <w:temporary/>
                      <w:equation/>
                    </w:sdtPr>
                    <w:sdtContent>
                      <w:p w14:paraId="3CB92B69" w14:textId="77777777" w:rsidR="00C0576D" w:rsidRDefault="00C0576D">
                        <w:pPr>
                          <w:pStyle w:val="FrameContents"/>
                          <w:rPr>
                            <w:color w:val="FFFFFF" w:themeColor="background1"/>
                          </w:rPr>
                        </w:pPr>
                        <m:oMath>
                          <m:r>
                            <m:rPr>
                              <m:sty m:val="p"/>
                            </m:rPr>
                            <w:rPr>
                              <w:rFonts w:ascii="Cambria Math" w:hAnsi="Cambria Math"/>
                            </w:rPr>
                            <m:t>Typeequationhere.</m:t>
                          </m:r>
                        </m:oMath>
                      </w:p>
                    </w:sdtContent>
                  </w:sdt>
                </w:txbxContent>
              </v:textbox>
            </v:rect>
          </w:pict>
        </mc:Fallback>
      </mc:AlternateContent>
    </w:r>
    <w:r>
      <w:rPr>
        <w:noProof/>
      </w:rPr>
      <mc:AlternateContent>
        <mc:Choice Requires="wps">
          <w:drawing>
            <wp:anchor distT="0" distB="0" distL="114300" distR="112395" simplePos="0" relativeHeight="4" behindDoc="1" locked="0" layoutInCell="1" allowOverlap="1" wp14:anchorId="3E4C0086" wp14:editId="07777777">
              <wp:simplePos x="0" y="0"/>
              <wp:positionH relativeFrom="column">
                <wp:posOffset>-929005</wp:posOffset>
              </wp:positionH>
              <wp:positionV relativeFrom="paragraph">
                <wp:posOffset>34290</wp:posOffset>
              </wp:positionV>
              <wp:extent cx="7612380" cy="344805"/>
              <wp:effectExtent l="0" t="0" r="9525" b="0"/>
              <wp:wrapNone/>
              <wp:docPr id="7" name="Rectangle 42"/>
              <wp:cNvGraphicFramePr/>
              <a:graphic xmlns:a="http://schemas.openxmlformats.org/drawingml/2006/main">
                <a:graphicData uri="http://schemas.microsoft.com/office/word/2010/wordprocessingShape">
                  <wps:wsp>
                    <wps:cNvSpPr/>
                    <wps:spPr>
                      <a:xfrm>
                        <a:off x="0" y="0"/>
                        <a:ext cx="7611840" cy="344160"/>
                      </a:xfrm>
                      <a:prstGeom prst="rect">
                        <a:avLst/>
                      </a:prstGeom>
                      <a:solidFill>
                        <a:srgbClr val="435464"/>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8E9AC40" id="Rectangle 42" o:spid="_x0000_s1026" style="position:absolute;margin-left:-73.15pt;margin-top:2.7pt;width:599.4pt;height:27.15pt;z-index:-503316476;visibility:visible;mso-wrap-style:square;mso-wrap-distance-left:9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" fillcolor="#435464" stroked="f"/>
          </w:pict>
        </mc:Fallback>
      </mc:AlternateContent>
    </w:r>
  </w:p>
  <w:p w14:paraId="049F31CB" w14:textId="5FFEA1A0" w:rsidR="00C0576D" w:rsidRDefault="00C0576D"/>
  <w:p w14:paraId="53128261" w14:textId="63284E1E" w:rsidR="00C0576D" w:rsidRDefault="00C0576D">
    <w:r>
      <w:tab/>
    </w:r>
  </w:p>
  <w:p w14:paraId="62486C05" w14:textId="77777777" w:rsidR="00C0576D" w:rsidRDefault="00C0576D"/>
  <w:p w14:paraId="4101652C" w14:textId="77777777" w:rsidR="00C0576D" w:rsidRDefault="00C057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08D5F" w14:textId="6A1BC5B5" w:rsidR="00C0576D" w:rsidRDefault="00C0576D">
    <w:pPr>
      <w:pStyle w:val="Header"/>
    </w:pPr>
    <w:r>
      <w:rPr>
        <w:noProof/>
      </w:rPr>
      <mc:AlternateContent>
        <mc:Choice Requires="wps">
          <w:drawing>
            <wp:anchor distT="0" distB="0" distL="114300" distR="114300" simplePos="0" relativeHeight="10" behindDoc="1" locked="0" layoutInCell="1" allowOverlap="1" wp14:anchorId="5C769440" wp14:editId="07777777">
              <wp:simplePos x="0" y="0"/>
              <wp:positionH relativeFrom="column">
                <wp:posOffset>-1150620</wp:posOffset>
              </wp:positionH>
              <wp:positionV relativeFrom="paragraph">
                <wp:posOffset>-487680</wp:posOffset>
              </wp:positionV>
              <wp:extent cx="7832090" cy="901700"/>
              <wp:effectExtent l="0" t="0" r="0" b="0"/>
              <wp:wrapNone/>
              <wp:docPr id="10" name="Rectangle 40"/>
              <wp:cNvGraphicFramePr/>
              <a:graphic xmlns:a="http://schemas.openxmlformats.org/drawingml/2006/main">
                <a:graphicData uri="http://schemas.microsoft.com/office/word/2010/wordprocessingShape">
                  <wps:wsp>
                    <wps:cNvSpPr/>
                    <wps:spPr>
                      <a:xfrm>
                        <a:off x="0" y="0"/>
                        <a:ext cx="7831440" cy="901080"/>
                      </a:xfrm>
                      <a:prstGeom prst="rect">
                        <a:avLst/>
                      </a:prstGeom>
                      <a:solidFill>
                        <a:schemeClr val="accent6">
                          <a:lumMod val="60000"/>
                          <a:lumOff val="4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105BEE0" id="Rectangle 40" o:spid="_x0000_s1026" style="position:absolute;margin-left:-90.6pt;margin-top:-38.4pt;width:616.7pt;height:71pt;z-index:-5033164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" fillcolor="#a8d08d [1945]" stroked="f"/>
          </w:pict>
        </mc:Fallback>
      </mc:AlternateContent>
    </w:r>
    <w:r>
      <w:rPr>
        <w:noProof/>
      </w:rPr>
      <w:drawing>
        <wp:anchor distT="0" distB="2540" distL="114300" distR="114300" simplePos="0" relativeHeight="13" behindDoc="1" locked="0" layoutInCell="1" allowOverlap="1" wp14:anchorId="1991A0B1" wp14:editId="07777777">
          <wp:simplePos x="0" y="0"/>
          <wp:positionH relativeFrom="column">
            <wp:posOffset>-33655</wp:posOffset>
          </wp:positionH>
          <wp:positionV relativeFrom="paragraph">
            <wp:posOffset>-396240</wp:posOffset>
          </wp:positionV>
          <wp:extent cx="381000" cy="626110"/>
          <wp:effectExtent l="0" t="0" r="0" b="0"/>
          <wp:wrapNone/>
          <wp:docPr id="1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2"/>
                  <pic:cNvPicPr>
                    <a:picLocks noChangeAspect="1" noChangeArrowheads="1"/>
                  </pic:cNvPicPr>
                </pic:nvPicPr>
                <pic:blipFill>
                  <a:blip r:embed="rId1"/>
                  <a:stretch>
                    <a:fillRect/>
                  </a:stretch>
                </pic:blipFill>
                <pic:spPr bwMode="auto">
                  <a:xfrm>
                    <a:off x="0" y="0"/>
                    <a:ext cx="381000" cy="626110"/>
                  </a:xfrm>
                  <a:prstGeom prst="rect">
                    <a:avLst/>
                  </a:prstGeom>
                </pic:spPr>
              </pic:pic>
            </a:graphicData>
          </a:graphic>
        </wp:anchor>
      </w:drawing>
    </w:r>
    <w:r w:rsidRPr="00EA50D3">
      <w:t>Long term modelling of household demand and its implications for energy planning</w:t>
    </w:r>
  </w:p>
  <w:p w14:paraId="4B99056E" w14:textId="77777777" w:rsidR="00C0576D" w:rsidRDefault="00C0576D">
    <w:pPr>
      <w:tabs>
        <w:tab w:val="right" w:pos="9072"/>
      </w:tabs>
      <w:ind w:left="720" w:firstLine="720"/>
      <w:jc w:val="left"/>
    </w:pPr>
    <w:r>
      <w:rPr>
        <w:lang w:val="en-GB"/>
      </w:rPr>
      <w:tab/>
    </w:r>
  </w:p>
  <w:p w14:paraId="1299C43A" w14:textId="77777777" w:rsidR="00C0576D" w:rsidRDefault="00C05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534"/>
    <w:multiLevelType w:val="hybridMultilevel"/>
    <w:tmpl w:val="A1ACB3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F92929"/>
    <w:multiLevelType w:val="multilevel"/>
    <w:tmpl w:val="860CFBDE"/>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C07AE5"/>
    <w:multiLevelType w:val="hybridMultilevel"/>
    <w:tmpl w:val="E76CA2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B1939C6"/>
    <w:multiLevelType w:val="multilevel"/>
    <w:tmpl w:val="5AE8D4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none"/>
      <w:suff w:val="nothing"/>
      <w:lvlText w:val=""/>
      <w:lvlJc w:val="left"/>
      <w:pPr>
        <w:ind w:left="0" w:firstLine="0"/>
      </w:pPr>
    </w:lvl>
    <w:lvl w:ilvl="3">
      <w:start w:val="1"/>
      <w:numFmt w:val="decimal"/>
      <w:pStyle w:val="Heading4"/>
      <w:lvlText w:val="%1.%2.%4"/>
      <w:lvlJc w:val="left"/>
      <w:pPr>
        <w:ind w:left="864" w:hanging="864"/>
      </w:pPr>
    </w:lvl>
    <w:lvl w:ilvl="4">
      <w:start w:val="1"/>
      <w:numFmt w:val="decimal"/>
      <w:pStyle w:val="Heading5"/>
      <w:lvlText w:val="%1.%2.%4.%5"/>
      <w:lvlJc w:val="left"/>
      <w:pPr>
        <w:ind w:left="1008" w:hanging="1008"/>
      </w:pPr>
    </w:lvl>
    <w:lvl w:ilvl="5">
      <w:start w:val="1"/>
      <w:numFmt w:val="decimal"/>
      <w:pStyle w:val="Heading6"/>
      <w:lvlText w:val="%1.%2.%4.%5.%6"/>
      <w:lvlJc w:val="left"/>
      <w:pPr>
        <w:ind w:left="1152" w:hanging="1152"/>
      </w:pPr>
    </w:lvl>
    <w:lvl w:ilvl="6">
      <w:start w:val="1"/>
      <w:numFmt w:val="decimal"/>
      <w:pStyle w:val="Heading7"/>
      <w:lvlText w:val="%1.%2.%4.%5.%6.%7"/>
      <w:lvlJc w:val="left"/>
      <w:pPr>
        <w:ind w:left="1296" w:hanging="1296"/>
      </w:pPr>
    </w:lvl>
    <w:lvl w:ilvl="7">
      <w:start w:val="1"/>
      <w:numFmt w:val="none"/>
      <w:suff w:val="nothing"/>
      <w:lvlText w:val=""/>
      <w:lvlJc w:val="left"/>
      <w:pPr>
        <w:ind w:left="0" w:firstLine="0"/>
      </w:pPr>
    </w:lvl>
    <w:lvl w:ilvl="8">
      <w:start w:val="1"/>
      <w:numFmt w:val="decimal"/>
      <w:pStyle w:val="Heading9"/>
      <w:lvlText w:val="%1.%2.%4.%5.%6.%7.%9"/>
      <w:lvlJc w:val="left"/>
      <w:pPr>
        <w:ind w:left="1584" w:hanging="1584"/>
      </w:pPr>
    </w:lvl>
  </w:abstractNum>
  <w:abstractNum w:abstractNumId="4" w15:restartNumberingAfterBreak="0">
    <w:nsid w:val="3EC248F1"/>
    <w:multiLevelType w:val="hybridMultilevel"/>
    <w:tmpl w:val="487E65D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EE356AF"/>
    <w:multiLevelType w:val="hybridMultilevel"/>
    <w:tmpl w:val="6568D4EE"/>
    <w:lvl w:ilvl="0" w:tplc="1C090001">
      <w:start w:val="1"/>
      <w:numFmt w:val="bullet"/>
      <w:lvlText w:val=""/>
      <w:lvlJc w:val="left"/>
      <w:pPr>
        <w:ind w:left="720" w:hanging="360"/>
      </w:pPr>
      <w:rPr>
        <w:rFonts w:ascii="Symbol" w:hAnsi="Symbol" w:hint="default"/>
      </w:rPr>
    </w:lvl>
    <w:lvl w:ilvl="1" w:tplc="5F0826BE">
      <w:numFmt w:val="bullet"/>
      <w:lvlText w:val="-"/>
      <w:lvlJc w:val="left"/>
      <w:pPr>
        <w:ind w:left="1644" w:hanging="564"/>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A50697E"/>
    <w:multiLevelType w:val="multilevel"/>
    <w:tmpl w:val="B956BB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6"/>
  </w:num>
  <w:num w:numId="3">
    <w:abstractNumId w:val="2"/>
  </w:num>
  <w:num w:numId="4">
    <w:abstractNumId w:val="3"/>
  </w:num>
  <w:num w:numId="5">
    <w:abstractNumId w:val="3"/>
  </w:num>
  <w:num w:numId="6">
    <w:abstractNumId w:val="3"/>
  </w:num>
  <w:num w:numId="7">
    <w:abstractNumId w:val="3"/>
  </w:num>
  <w:num w:numId="8">
    <w:abstractNumId w:val="3"/>
  </w:num>
  <w:num w:numId="9">
    <w:abstractNumId w:val="5"/>
  </w:num>
  <w:num w:numId="10">
    <w:abstractNumId w:val="0"/>
  </w:num>
  <w:num w:numId="11">
    <w:abstractNumId w:val="4"/>
  </w:num>
  <w:num w:numId="12">
    <w:abstractNumId w:val="3"/>
  </w:num>
  <w:num w:numId="13">
    <w:abstractNumId w:val="3"/>
  </w:num>
  <w:num w:numId="14">
    <w:abstractNumId w:val="1"/>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BFDC72"/>
    <w:rsid w:val="000016A1"/>
    <w:rsid w:val="0001737F"/>
    <w:rsid w:val="0001748C"/>
    <w:rsid w:val="00022A06"/>
    <w:rsid w:val="0002682E"/>
    <w:rsid w:val="0003347E"/>
    <w:rsid w:val="00033859"/>
    <w:rsid w:val="00037AB4"/>
    <w:rsid w:val="00042239"/>
    <w:rsid w:val="00042B6D"/>
    <w:rsid w:val="00044D4B"/>
    <w:rsid w:val="000527A0"/>
    <w:rsid w:val="00057B66"/>
    <w:rsid w:val="00063C9A"/>
    <w:rsid w:val="00066AA5"/>
    <w:rsid w:val="00071262"/>
    <w:rsid w:val="00081AC5"/>
    <w:rsid w:val="00086A28"/>
    <w:rsid w:val="00093014"/>
    <w:rsid w:val="00094E1D"/>
    <w:rsid w:val="000A34FD"/>
    <w:rsid w:val="000A3905"/>
    <w:rsid w:val="000B06B1"/>
    <w:rsid w:val="000B089E"/>
    <w:rsid w:val="000D0087"/>
    <w:rsid w:val="000D0C8E"/>
    <w:rsid w:val="000D514A"/>
    <w:rsid w:val="000D5369"/>
    <w:rsid w:val="000D593E"/>
    <w:rsid w:val="000E01D8"/>
    <w:rsid w:val="000E31A1"/>
    <w:rsid w:val="000E370D"/>
    <w:rsid w:val="000F2CFC"/>
    <w:rsid w:val="00102C6D"/>
    <w:rsid w:val="00107E22"/>
    <w:rsid w:val="0011395E"/>
    <w:rsid w:val="00121C11"/>
    <w:rsid w:val="00122AC6"/>
    <w:rsid w:val="001246E6"/>
    <w:rsid w:val="00131A16"/>
    <w:rsid w:val="00132306"/>
    <w:rsid w:val="001350ED"/>
    <w:rsid w:val="00136029"/>
    <w:rsid w:val="00136D7A"/>
    <w:rsid w:val="0014243B"/>
    <w:rsid w:val="0014500A"/>
    <w:rsid w:val="0015657F"/>
    <w:rsid w:val="00166F5E"/>
    <w:rsid w:val="0017051E"/>
    <w:rsid w:val="00177390"/>
    <w:rsid w:val="00193652"/>
    <w:rsid w:val="00195AA0"/>
    <w:rsid w:val="00196113"/>
    <w:rsid w:val="001B4475"/>
    <w:rsid w:val="001B5F7B"/>
    <w:rsid w:val="001C30C6"/>
    <w:rsid w:val="001C39E4"/>
    <w:rsid w:val="001C4416"/>
    <w:rsid w:val="001C548B"/>
    <w:rsid w:val="001C6304"/>
    <w:rsid w:val="001D15AF"/>
    <w:rsid w:val="001D4331"/>
    <w:rsid w:val="001D7AFD"/>
    <w:rsid w:val="0020371E"/>
    <w:rsid w:val="00215F7E"/>
    <w:rsid w:val="00222400"/>
    <w:rsid w:val="00222EF1"/>
    <w:rsid w:val="002269F5"/>
    <w:rsid w:val="00237DA0"/>
    <w:rsid w:val="00243AC9"/>
    <w:rsid w:val="0024729D"/>
    <w:rsid w:val="0026679D"/>
    <w:rsid w:val="00267198"/>
    <w:rsid w:val="0028592A"/>
    <w:rsid w:val="002912A7"/>
    <w:rsid w:val="002A2ABA"/>
    <w:rsid w:val="002A488D"/>
    <w:rsid w:val="002A5157"/>
    <w:rsid w:val="002B014C"/>
    <w:rsid w:val="002B61D8"/>
    <w:rsid w:val="002C569E"/>
    <w:rsid w:val="002C7B94"/>
    <w:rsid w:val="002D59AB"/>
    <w:rsid w:val="002E075E"/>
    <w:rsid w:val="002E1999"/>
    <w:rsid w:val="002E6CF6"/>
    <w:rsid w:val="00311E05"/>
    <w:rsid w:val="003123AD"/>
    <w:rsid w:val="003157FE"/>
    <w:rsid w:val="00317678"/>
    <w:rsid w:val="0032018A"/>
    <w:rsid w:val="00321C5A"/>
    <w:rsid w:val="003320CC"/>
    <w:rsid w:val="00335D6C"/>
    <w:rsid w:val="003367CC"/>
    <w:rsid w:val="00341C44"/>
    <w:rsid w:val="00342C5E"/>
    <w:rsid w:val="00345740"/>
    <w:rsid w:val="00350E6E"/>
    <w:rsid w:val="003534D5"/>
    <w:rsid w:val="003635D8"/>
    <w:rsid w:val="00373A4D"/>
    <w:rsid w:val="003916C6"/>
    <w:rsid w:val="003A0CF2"/>
    <w:rsid w:val="003A15FA"/>
    <w:rsid w:val="003A1EA4"/>
    <w:rsid w:val="003B5114"/>
    <w:rsid w:val="003C6B7B"/>
    <w:rsid w:val="003D6A82"/>
    <w:rsid w:val="003E59CE"/>
    <w:rsid w:val="003F04D3"/>
    <w:rsid w:val="003F3106"/>
    <w:rsid w:val="003F400E"/>
    <w:rsid w:val="003F73C5"/>
    <w:rsid w:val="00405435"/>
    <w:rsid w:val="00412F00"/>
    <w:rsid w:val="00414E7D"/>
    <w:rsid w:val="004155C0"/>
    <w:rsid w:val="00424303"/>
    <w:rsid w:val="00426AAF"/>
    <w:rsid w:val="004322EE"/>
    <w:rsid w:val="00436747"/>
    <w:rsid w:val="00437DF0"/>
    <w:rsid w:val="00441FC4"/>
    <w:rsid w:val="00446453"/>
    <w:rsid w:val="0045354C"/>
    <w:rsid w:val="00454597"/>
    <w:rsid w:val="004677A6"/>
    <w:rsid w:val="004679B0"/>
    <w:rsid w:val="00471FBD"/>
    <w:rsid w:val="00472D48"/>
    <w:rsid w:val="00476528"/>
    <w:rsid w:val="00481F6A"/>
    <w:rsid w:val="004828F1"/>
    <w:rsid w:val="00486C5D"/>
    <w:rsid w:val="00496B65"/>
    <w:rsid w:val="004A4276"/>
    <w:rsid w:val="004A62E1"/>
    <w:rsid w:val="004A67F3"/>
    <w:rsid w:val="004B0FC5"/>
    <w:rsid w:val="004B7D47"/>
    <w:rsid w:val="004C6F28"/>
    <w:rsid w:val="004D3D80"/>
    <w:rsid w:val="004D594C"/>
    <w:rsid w:val="004E4230"/>
    <w:rsid w:val="004E7D90"/>
    <w:rsid w:val="004F439C"/>
    <w:rsid w:val="0051350D"/>
    <w:rsid w:val="005230B0"/>
    <w:rsid w:val="00527249"/>
    <w:rsid w:val="00530234"/>
    <w:rsid w:val="005377FB"/>
    <w:rsid w:val="005440CF"/>
    <w:rsid w:val="00553C8B"/>
    <w:rsid w:val="00553E08"/>
    <w:rsid w:val="005614CD"/>
    <w:rsid w:val="00562BC6"/>
    <w:rsid w:val="00566C8E"/>
    <w:rsid w:val="00572199"/>
    <w:rsid w:val="00574F79"/>
    <w:rsid w:val="00577933"/>
    <w:rsid w:val="005920EE"/>
    <w:rsid w:val="005A0C74"/>
    <w:rsid w:val="005B6B55"/>
    <w:rsid w:val="005C4ADF"/>
    <w:rsid w:val="005E4B19"/>
    <w:rsid w:val="005E5730"/>
    <w:rsid w:val="005F6142"/>
    <w:rsid w:val="005F7F9B"/>
    <w:rsid w:val="00605DF0"/>
    <w:rsid w:val="006130DB"/>
    <w:rsid w:val="00630F47"/>
    <w:rsid w:val="00632E06"/>
    <w:rsid w:val="00637976"/>
    <w:rsid w:val="0064077D"/>
    <w:rsid w:val="00640A43"/>
    <w:rsid w:val="00646AB8"/>
    <w:rsid w:val="00647212"/>
    <w:rsid w:val="00651243"/>
    <w:rsid w:val="00652404"/>
    <w:rsid w:val="006709CE"/>
    <w:rsid w:val="00672BE0"/>
    <w:rsid w:val="00676952"/>
    <w:rsid w:val="00685D31"/>
    <w:rsid w:val="0069329E"/>
    <w:rsid w:val="006A3D7B"/>
    <w:rsid w:val="006B62AD"/>
    <w:rsid w:val="006B6CC1"/>
    <w:rsid w:val="006B72EA"/>
    <w:rsid w:val="006C2188"/>
    <w:rsid w:val="006C2203"/>
    <w:rsid w:val="006C6212"/>
    <w:rsid w:val="006D076B"/>
    <w:rsid w:val="006D6B75"/>
    <w:rsid w:val="006E76DE"/>
    <w:rsid w:val="006F06AE"/>
    <w:rsid w:val="006F2CBC"/>
    <w:rsid w:val="007018E8"/>
    <w:rsid w:val="00704068"/>
    <w:rsid w:val="00706A5F"/>
    <w:rsid w:val="00710D3D"/>
    <w:rsid w:val="007159AB"/>
    <w:rsid w:val="00722643"/>
    <w:rsid w:val="007234C9"/>
    <w:rsid w:val="0073056B"/>
    <w:rsid w:val="007308C5"/>
    <w:rsid w:val="00732974"/>
    <w:rsid w:val="00734969"/>
    <w:rsid w:val="007353A8"/>
    <w:rsid w:val="00736AB8"/>
    <w:rsid w:val="00751B11"/>
    <w:rsid w:val="007556A4"/>
    <w:rsid w:val="00764D61"/>
    <w:rsid w:val="00770795"/>
    <w:rsid w:val="007769D4"/>
    <w:rsid w:val="0078063A"/>
    <w:rsid w:val="00781D19"/>
    <w:rsid w:val="007826E4"/>
    <w:rsid w:val="007878D8"/>
    <w:rsid w:val="0079212C"/>
    <w:rsid w:val="00793F0F"/>
    <w:rsid w:val="00794565"/>
    <w:rsid w:val="00796210"/>
    <w:rsid w:val="007A0279"/>
    <w:rsid w:val="007A26BD"/>
    <w:rsid w:val="007A4E38"/>
    <w:rsid w:val="007A5BBB"/>
    <w:rsid w:val="007C3F39"/>
    <w:rsid w:val="007C5AF4"/>
    <w:rsid w:val="007D043C"/>
    <w:rsid w:val="007E190B"/>
    <w:rsid w:val="007E46F4"/>
    <w:rsid w:val="007F1BD7"/>
    <w:rsid w:val="007F25D3"/>
    <w:rsid w:val="008059CF"/>
    <w:rsid w:val="008204C0"/>
    <w:rsid w:val="00822E8C"/>
    <w:rsid w:val="00823C3F"/>
    <w:rsid w:val="008271CB"/>
    <w:rsid w:val="00827845"/>
    <w:rsid w:val="008328A2"/>
    <w:rsid w:val="0083499B"/>
    <w:rsid w:val="00846F3E"/>
    <w:rsid w:val="00851012"/>
    <w:rsid w:val="00855560"/>
    <w:rsid w:val="00864C7A"/>
    <w:rsid w:val="00872396"/>
    <w:rsid w:val="00881349"/>
    <w:rsid w:val="00882A5A"/>
    <w:rsid w:val="00891752"/>
    <w:rsid w:val="0089646D"/>
    <w:rsid w:val="008A2823"/>
    <w:rsid w:val="008A3BBC"/>
    <w:rsid w:val="008B0595"/>
    <w:rsid w:val="008B0D7C"/>
    <w:rsid w:val="008B2748"/>
    <w:rsid w:val="008C560E"/>
    <w:rsid w:val="008D10F2"/>
    <w:rsid w:val="008D52FA"/>
    <w:rsid w:val="008F003C"/>
    <w:rsid w:val="008F3A96"/>
    <w:rsid w:val="008F3F2F"/>
    <w:rsid w:val="00904236"/>
    <w:rsid w:val="00911053"/>
    <w:rsid w:val="0091161D"/>
    <w:rsid w:val="009152A1"/>
    <w:rsid w:val="00927C9C"/>
    <w:rsid w:val="0093190E"/>
    <w:rsid w:val="00933FA2"/>
    <w:rsid w:val="009370BD"/>
    <w:rsid w:val="009372AF"/>
    <w:rsid w:val="00954F96"/>
    <w:rsid w:val="0096231D"/>
    <w:rsid w:val="009657E8"/>
    <w:rsid w:val="009719B7"/>
    <w:rsid w:val="009829EE"/>
    <w:rsid w:val="00996305"/>
    <w:rsid w:val="00996C09"/>
    <w:rsid w:val="009A0420"/>
    <w:rsid w:val="009A283F"/>
    <w:rsid w:val="009A6B72"/>
    <w:rsid w:val="009C7FE4"/>
    <w:rsid w:val="009D40F6"/>
    <w:rsid w:val="009D6C1C"/>
    <w:rsid w:val="009E081C"/>
    <w:rsid w:val="009E33B7"/>
    <w:rsid w:val="009E3610"/>
    <w:rsid w:val="009E657D"/>
    <w:rsid w:val="009F1573"/>
    <w:rsid w:val="00A124BA"/>
    <w:rsid w:val="00A12F4D"/>
    <w:rsid w:val="00A21E95"/>
    <w:rsid w:val="00A2671F"/>
    <w:rsid w:val="00A26BCF"/>
    <w:rsid w:val="00A35D18"/>
    <w:rsid w:val="00A465B7"/>
    <w:rsid w:val="00A5556D"/>
    <w:rsid w:val="00A572FD"/>
    <w:rsid w:val="00A62660"/>
    <w:rsid w:val="00A64C70"/>
    <w:rsid w:val="00A66052"/>
    <w:rsid w:val="00A666B4"/>
    <w:rsid w:val="00A71A15"/>
    <w:rsid w:val="00A754CC"/>
    <w:rsid w:val="00A763FC"/>
    <w:rsid w:val="00A77A22"/>
    <w:rsid w:val="00A81629"/>
    <w:rsid w:val="00A91D7D"/>
    <w:rsid w:val="00A91EB5"/>
    <w:rsid w:val="00A958CA"/>
    <w:rsid w:val="00A96166"/>
    <w:rsid w:val="00AA398E"/>
    <w:rsid w:val="00AA3AC4"/>
    <w:rsid w:val="00AA4B77"/>
    <w:rsid w:val="00AB42B0"/>
    <w:rsid w:val="00AC70AE"/>
    <w:rsid w:val="00AD3ADB"/>
    <w:rsid w:val="00AD410C"/>
    <w:rsid w:val="00AD6508"/>
    <w:rsid w:val="00AE6C9A"/>
    <w:rsid w:val="00AF21F4"/>
    <w:rsid w:val="00B01A5C"/>
    <w:rsid w:val="00B0237F"/>
    <w:rsid w:val="00B0407B"/>
    <w:rsid w:val="00B150B9"/>
    <w:rsid w:val="00B2104F"/>
    <w:rsid w:val="00B32E34"/>
    <w:rsid w:val="00B42C95"/>
    <w:rsid w:val="00B51C83"/>
    <w:rsid w:val="00B51F4D"/>
    <w:rsid w:val="00B6692D"/>
    <w:rsid w:val="00B73FA5"/>
    <w:rsid w:val="00B7776F"/>
    <w:rsid w:val="00B835DC"/>
    <w:rsid w:val="00B83AFC"/>
    <w:rsid w:val="00BA0505"/>
    <w:rsid w:val="00BB0AE5"/>
    <w:rsid w:val="00BB2B62"/>
    <w:rsid w:val="00BB4CE7"/>
    <w:rsid w:val="00BC24BF"/>
    <w:rsid w:val="00BC32A0"/>
    <w:rsid w:val="00BD3067"/>
    <w:rsid w:val="00BD4EA8"/>
    <w:rsid w:val="00BE5472"/>
    <w:rsid w:val="00BF40C9"/>
    <w:rsid w:val="00C022E2"/>
    <w:rsid w:val="00C04E0F"/>
    <w:rsid w:val="00C0576D"/>
    <w:rsid w:val="00C16CBE"/>
    <w:rsid w:val="00C30713"/>
    <w:rsid w:val="00C34DB1"/>
    <w:rsid w:val="00C4177E"/>
    <w:rsid w:val="00C43352"/>
    <w:rsid w:val="00C45636"/>
    <w:rsid w:val="00C50B84"/>
    <w:rsid w:val="00C5450F"/>
    <w:rsid w:val="00C56B15"/>
    <w:rsid w:val="00C56EFF"/>
    <w:rsid w:val="00C57872"/>
    <w:rsid w:val="00C63A12"/>
    <w:rsid w:val="00C70DAC"/>
    <w:rsid w:val="00C716D7"/>
    <w:rsid w:val="00C7551B"/>
    <w:rsid w:val="00C76BC6"/>
    <w:rsid w:val="00C76D19"/>
    <w:rsid w:val="00C836D5"/>
    <w:rsid w:val="00C83E9B"/>
    <w:rsid w:val="00C921E3"/>
    <w:rsid w:val="00CA0E8D"/>
    <w:rsid w:val="00CA2334"/>
    <w:rsid w:val="00CA5447"/>
    <w:rsid w:val="00CA7296"/>
    <w:rsid w:val="00CB1C18"/>
    <w:rsid w:val="00CB646E"/>
    <w:rsid w:val="00CB6FEC"/>
    <w:rsid w:val="00CC0F20"/>
    <w:rsid w:val="00CC2B44"/>
    <w:rsid w:val="00CC6CC4"/>
    <w:rsid w:val="00CC77C7"/>
    <w:rsid w:val="00CD701D"/>
    <w:rsid w:val="00CE435D"/>
    <w:rsid w:val="00CE62EA"/>
    <w:rsid w:val="00CF051B"/>
    <w:rsid w:val="00CF512D"/>
    <w:rsid w:val="00D163DA"/>
    <w:rsid w:val="00D31858"/>
    <w:rsid w:val="00D3490D"/>
    <w:rsid w:val="00D4790C"/>
    <w:rsid w:val="00D47B93"/>
    <w:rsid w:val="00D47E80"/>
    <w:rsid w:val="00D6017E"/>
    <w:rsid w:val="00D60FE6"/>
    <w:rsid w:val="00D644F3"/>
    <w:rsid w:val="00D70DE4"/>
    <w:rsid w:val="00D71A32"/>
    <w:rsid w:val="00D71F68"/>
    <w:rsid w:val="00D73DAC"/>
    <w:rsid w:val="00D76B0F"/>
    <w:rsid w:val="00D84885"/>
    <w:rsid w:val="00DA398D"/>
    <w:rsid w:val="00DA7912"/>
    <w:rsid w:val="00DB0A1F"/>
    <w:rsid w:val="00DB5E3A"/>
    <w:rsid w:val="00DB6283"/>
    <w:rsid w:val="00DC0B01"/>
    <w:rsid w:val="00DC5ECE"/>
    <w:rsid w:val="00DD0E80"/>
    <w:rsid w:val="00DD5A6E"/>
    <w:rsid w:val="00DE0500"/>
    <w:rsid w:val="00DE4A9A"/>
    <w:rsid w:val="00DE67BE"/>
    <w:rsid w:val="00DF1A5E"/>
    <w:rsid w:val="00DF512E"/>
    <w:rsid w:val="00DF5156"/>
    <w:rsid w:val="00E04094"/>
    <w:rsid w:val="00E04E7B"/>
    <w:rsid w:val="00E061E7"/>
    <w:rsid w:val="00E106BB"/>
    <w:rsid w:val="00E12504"/>
    <w:rsid w:val="00E1771A"/>
    <w:rsid w:val="00E237EB"/>
    <w:rsid w:val="00E274F4"/>
    <w:rsid w:val="00E37C47"/>
    <w:rsid w:val="00E413F8"/>
    <w:rsid w:val="00E4782E"/>
    <w:rsid w:val="00E479F6"/>
    <w:rsid w:val="00E51D60"/>
    <w:rsid w:val="00E6050F"/>
    <w:rsid w:val="00E6421B"/>
    <w:rsid w:val="00E647FF"/>
    <w:rsid w:val="00E6693A"/>
    <w:rsid w:val="00E70599"/>
    <w:rsid w:val="00E720FB"/>
    <w:rsid w:val="00E75718"/>
    <w:rsid w:val="00E80DA0"/>
    <w:rsid w:val="00E862D8"/>
    <w:rsid w:val="00E8640E"/>
    <w:rsid w:val="00E8740E"/>
    <w:rsid w:val="00E96BAB"/>
    <w:rsid w:val="00EA50D3"/>
    <w:rsid w:val="00EB3D1C"/>
    <w:rsid w:val="00EB58E6"/>
    <w:rsid w:val="00EC070A"/>
    <w:rsid w:val="00EC19A9"/>
    <w:rsid w:val="00EC216F"/>
    <w:rsid w:val="00EC25A7"/>
    <w:rsid w:val="00EC6072"/>
    <w:rsid w:val="00EF1FB8"/>
    <w:rsid w:val="00F0156B"/>
    <w:rsid w:val="00F1038C"/>
    <w:rsid w:val="00F22A98"/>
    <w:rsid w:val="00F22C33"/>
    <w:rsid w:val="00F236D9"/>
    <w:rsid w:val="00F308D5"/>
    <w:rsid w:val="00F31B71"/>
    <w:rsid w:val="00F32A6D"/>
    <w:rsid w:val="00F607FE"/>
    <w:rsid w:val="00F613C5"/>
    <w:rsid w:val="00F75D42"/>
    <w:rsid w:val="00F81D40"/>
    <w:rsid w:val="00F85F69"/>
    <w:rsid w:val="00F93C4A"/>
    <w:rsid w:val="00FA544B"/>
    <w:rsid w:val="00FA7193"/>
    <w:rsid w:val="00FB04F5"/>
    <w:rsid w:val="00FB2114"/>
    <w:rsid w:val="00FB40FD"/>
    <w:rsid w:val="00FC5A3C"/>
    <w:rsid w:val="00FC6272"/>
    <w:rsid w:val="00FC7A87"/>
    <w:rsid w:val="00FE0594"/>
    <w:rsid w:val="00FE5600"/>
    <w:rsid w:val="01814F30"/>
    <w:rsid w:val="12BFDC72"/>
    <w:rsid w:val="14C45E8B"/>
    <w:rsid w:val="19E0C40F"/>
    <w:rsid w:val="39DD7A4E"/>
    <w:rsid w:val="50F7CCC7"/>
    <w:rsid w:val="6FF44001"/>
    <w:rsid w:val="78E5F4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14F30"/>
  <w15:docId w15:val="{84ACF2A0-A5B7-4E8C-8A4F-41F00C71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46"/>
    <w:pPr>
      <w:spacing w:after="120"/>
      <w:jc w:val="both"/>
    </w:pPr>
    <w:rPr>
      <w:sz w:val="22"/>
      <w:lang w:val="en-ZA"/>
    </w:rPr>
  </w:style>
  <w:style w:type="paragraph" w:styleId="Heading1">
    <w:name w:val="heading 1"/>
    <w:basedOn w:val="Normal"/>
    <w:next w:val="Normal"/>
    <w:link w:val="Heading1Char"/>
    <w:uiPriority w:val="9"/>
    <w:qFormat/>
    <w:rsid w:val="00257172"/>
    <w:pPr>
      <w:keepNext/>
      <w:keepLines/>
      <w:numPr>
        <w:numId w:val="1"/>
      </w:numPr>
      <w:spacing w:before="360" w:after="0"/>
      <w:outlineLvl w:val="0"/>
    </w:pPr>
    <w:rPr>
      <w:rFonts w:eastAsia="Times New Roman" w:cs="Times New Roman"/>
      <w:b/>
      <w:bCs/>
      <w:caps/>
      <w:color w:val="538135" w:themeColor="accent6" w:themeShade="BF"/>
      <w:sz w:val="28"/>
      <w:szCs w:val="28"/>
    </w:rPr>
  </w:style>
  <w:style w:type="paragraph" w:styleId="Heading2">
    <w:name w:val="heading 2"/>
    <w:basedOn w:val="Normal"/>
    <w:next w:val="Normal"/>
    <w:link w:val="Heading2Char"/>
    <w:uiPriority w:val="9"/>
    <w:unhideWhenUsed/>
    <w:qFormat/>
    <w:rsid w:val="00D85951"/>
    <w:pPr>
      <w:keepNext/>
      <w:keepLines/>
      <w:numPr>
        <w:ilvl w:val="1"/>
        <w:numId w:val="1"/>
      </w:numPr>
      <w:spacing w:before="240" w:after="0"/>
      <w:jc w:val="left"/>
      <w:outlineLvl w:val="1"/>
    </w:pPr>
    <w:rPr>
      <w:rFonts w:eastAsia="Times New Roman" w:cs="Times New Roman"/>
      <w:b/>
      <w:bCs/>
      <w:iCs/>
      <w:color w:val="538135" w:themeColor="accent6" w:themeShade="BF"/>
      <w:sz w:val="24"/>
      <w:szCs w:val="24"/>
    </w:rPr>
  </w:style>
  <w:style w:type="paragraph" w:styleId="Heading3">
    <w:name w:val="heading 3"/>
    <w:basedOn w:val="Normal"/>
    <w:next w:val="Normal"/>
    <w:link w:val="Heading3Char"/>
    <w:uiPriority w:val="9"/>
    <w:unhideWhenUsed/>
    <w:qFormat/>
    <w:rsid w:val="004F239C"/>
    <w:pPr>
      <w:keepNext/>
      <w:keepLines/>
      <w:spacing w:before="40" w:after="0"/>
      <w:outlineLvl w:val="2"/>
    </w:pPr>
    <w:rPr>
      <w:rFonts w:eastAsia="Times New Roman" w:cstheme="majorBidi"/>
      <w:b/>
      <w:i/>
    </w:rPr>
  </w:style>
  <w:style w:type="paragraph" w:styleId="Heading4">
    <w:name w:val="heading 4"/>
    <w:basedOn w:val="Normal"/>
    <w:next w:val="Normal"/>
    <w:link w:val="Heading4Char"/>
    <w:uiPriority w:val="9"/>
    <w:unhideWhenUsed/>
    <w:qFormat/>
    <w:rsid w:val="00A60DE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B5C9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B5C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B5C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85951"/>
    <w:pPr>
      <w:keepNext/>
      <w:keepLines/>
      <w:spacing w:before="40" w:after="0"/>
      <w:outlineLvl w:val="7"/>
    </w:pPr>
    <w:rPr>
      <w:rFonts w:eastAsiaTheme="majorEastAsia" w:cstheme="majorBidi"/>
      <w:i/>
      <w:color w:val="272727" w:themeColor="text1" w:themeTint="D8"/>
      <w:szCs w:val="21"/>
    </w:rPr>
  </w:style>
  <w:style w:type="paragraph" w:styleId="Heading9">
    <w:name w:val="heading 9"/>
    <w:basedOn w:val="Normal"/>
    <w:next w:val="Normal"/>
    <w:link w:val="Heading9Char"/>
    <w:uiPriority w:val="9"/>
    <w:unhideWhenUsed/>
    <w:qFormat/>
    <w:rsid w:val="00AB5C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57172"/>
    <w:rPr>
      <w:rFonts w:eastAsia="Times New Roman" w:cs="Times New Roman"/>
      <w:b/>
      <w:bCs/>
      <w:caps/>
      <w:color w:val="538135" w:themeColor="accent6" w:themeShade="BF"/>
      <w:sz w:val="28"/>
      <w:szCs w:val="28"/>
      <w:lang w:val="en-ZA"/>
    </w:rPr>
  </w:style>
  <w:style w:type="character" w:customStyle="1" w:styleId="Heading2Char">
    <w:name w:val="Heading 2 Char"/>
    <w:basedOn w:val="DefaultParagraphFont"/>
    <w:link w:val="Heading2"/>
    <w:uiPriority w:val="9"/>
    <w:qFormat/>
    <w:rsid w:val="00D85951"/>
    <w:rPr>
      <w:rFonts w:eastAsia="Times New Roman" w:cs="Times New Roman"/>
      <w:b/>
      <w:bCs/>
      <w:iCs/>
      <w:color w:val="538135" w:themeColor="accent6" w:themeShade="BF"/>
      <w:sz w:val="24"/>
      <w:szCs w:val="24"/>
      <w:lang w:val="en-ZA"/>
    </w:rPr>
  </w:style>
  <w:style w:type="character" w:customStyle="1" w:styleId="Heading3Char">
    <w:name w:val="Heading 3 Char"/>
    <w:basedOn w:val="DefaultParagraphFont"/>
    <w:link w:val="Heading3"/>
    <w:uiPriority w:val="9"/>
    <w:qFormat/>
    <w:rsid w:val="004F239C"/>
    <w:rPr>
      <w:rFonts w:eastAsia="Times New Roman" w:cstheme="majorBidi"/>
      <w:b/>
      <w:i/>
    </w:rPr>
  </w:style>
  <w:style w:type="character" w:customStyle="1" w:styleId="Heading4Char">
    <w:name w:val="Heading 4 Char"/>
    <w:basedOn w:val="DefaultParagraphFont"/>
    <w:link w:val="Heading4"/>
    <w:uiPriority w:val="9"/>
    <w:qFormat/>
    <w:rsid w:val="00A60DE5"/>
    <w:rPr>
      <w:rFonts w:asciiTheme="majorHAnsi" w:eastAsiaTheme="majorEastAsia" w:hAnsiTheme="majorHAnsi" w:cstheme="majorBidi"/>
      <w:i/>
      <w:iCs/>
      <w:color w:val="2E74B5" w:themeColor="accent1" w:themeShade="BF"/>
      <w:lang w:val="en-ZA"/>
    </w:rPr>
  </w:style>
  <w:style w:type="character" w:customStyle="1" w:styleId="Heading5Char">
    <w:name w:val="Heading 5 Char"/>
    <w:basedOn w:val="DefaultParagraphFont"/>
    <w:link w:val="Heading5"/>
    <w:uiPriority w:val="9"/>
    <w:qFormat/>
    <w:rsid w:val="00AB5C9D"/>
    <w:rPr>
      <w:rFonts w:asciiTheme="majorHAnsi" w:eastAsiaTheme="majorEastAsia" w:hAnsiTheme="majorHAnsi" w:cstheme="majorBidi"/>
      <w:color w:val="2E74B5" w:themeColor="accent1" w:themeShade="BF"/>
      <w:lang w:val="en-ZA"/>
    </w:rPr>
  </w:style>
  <w:style w:type="character" w:customStyle="1" w:styleId="Heading6Char">
    <w:name w:val="Heading 6 Char"/>
    <w:basedOn w:val="DefaultParagraphFont"/>
    <w:link w:val="Heading6"/>
    <w:uiPriority w:val="9"/>
    <w:qFormat/>
    <w:rsid w:val="00AB5C9D"/>
    <w:rPr>
      <w:rFonts w:asciiTheme="majorHAnsi" w:eastAsiaTheme="majorEastAsia" w:hAnsiTheme="majorHAnsi" w:cstheme="majorBidi"/>
      <w:color w:val="1F4D78" w:themeColor="accent1" w:themeShade="7F"/>
      <w:lang w:val="en-ZA"/>
    </w:rPr>
  </w:style>
  <w:style w:type="character" w:customStyle="1" w:styleId="Heading7Char">
    <w:name w:val="Heading 7 Char"/>
    <w:basedOn w:val="DefaultParagraphFont"/>
    <w:link w:val="Heading7"/>
    <w:uiPriority w:val="9"/>
    <w:qFormat/>
    <w:rsid w:val="00AB5C9D"/>
    <w:rPr>
      <w:rFonts w:asciiTheme="majorHAnsi" w:eastAsiaTheme="majorEastAsia" w:hAnsiTheme="majorHAnsi" w:cstheme="majorBidi"/>
      <w:i/>
      <w:iCs/>
      <w:color w:val="1F4D78" w:themeColor="accent1" w:themeShade="7F"/>
      <w:lang w:val="en-ZA"/>
    </w:rPr>
  </w:style>
  <w:style w:type="character" w:customStyle="1" w:styleId="Heading8Char">
    <w:name w:val="Heading 8 Char"/>
    <w:basedOn w:val="DefaultParagraphFont"/>
    <w:link w:val="Heading8"/>
    <w:uiPriority w:val="9"/>
    <w:qFormat/>
    <w:rsid w:val="00D85951"/>
    <w:rPr>
      <w:rFonts w:eastAsiaTheme="majorEastAsia" w:cstheme="majorBidi"/>
      <w:i/>
      <w:color w:val="272727" w:themeColor="text1" w:themeTint="D8"/>
      <w:szCs w:val="21"/>
    </w:rPr>
  </w:style>
  <w:style w:type="character" w:customStyle="1" w:styleId="Heading9Char">
    <w:name w:val="Heading 9 Char"/>
    <w:basedOn w:val="DefaultParagraphFont"/>
    <w:link w:val="Heading9"/>
    <w:uiPriority w:val="9"/>
    <w:qFormat/>
    <w:rsid w:val="00AB5C9D"/>
    <w:rPr>
      <w:rFonts w:asciiTheme="majorHAnsi" w:eastAsiaTheme="majorEastAsia" w:hAnsiTheme="majorHAnsi" w:cstheme="majorBidi"/>
      <w:i/>
      <w:iCs/>
      <w:color w:val="272727" w:themeColor="text1" w:themeTint="D8"/>
      <w:sz w:val="21"/>
      <w:szCs w:val="21"/>
      <w:lang w:val="en-ZA"/>
    </w:rPr>
  </w:style>
  <w:style w:type="character" w:customStyle="1" w:styleId="HeaderChar">
    <w:name w:val="Header Char"/>
    <w:basedOn w:val="DefaultParagraphFont"/>
    <w:link w:val="Header"/>
    <w:uiPriority w:val="99"/>
    <w:qFormat/>
    <w:rsid w:val="00C2149D"/>
    <w:rPr>
      <w:b/>
      <w:color w:val="FFFFFF" w:themeColor="background1"/>
      <w:lang w:val="en-GB"/>
    </w:rPr>
  </w:style>
  <w:style w:type="character" w:customStyle="1" w:styleId="FooterChar">
    <w:name w:val="Footer Char"/>
    <w:basedOn w:val="DefaultParagraphFont"/>
    <w:link w:val="Footer"/>
    <w:uiPriority w:val="99"/>
    <w:qFormat/>
    <w:rsid w:val="00B83BFB"/>
  </w:style>
  <w:style w:type="character" w:customStyle="1" w:styleId="TitleChar">
    <w:name w:val="Title Char"/>
    <w:basedOn w:val="DefaultParagraphFont"/>
    <w:link w:val="Title"/>
    <w:uiPriority w:val="10"/>
    <w:qFormat/>
    <w:rsid w:val="0022732C"/>
    <w:rPr>
      <w:rFonts w:ascii="Cambria" w:eastAsia="Times New Roman" w:hAnsi="Cambria" w:cs="Times New Roman"/>
      <w:b/>
      <w:color w:val="538135" w:themeColor="accent6" w:themeShade="BF"/>
      <w:sz w:val="72"/>
      <w:szCs w:val="68"/>
      <w:lang w:eastAsia="ja-JP"/>
    </w:rPr>
  </w:style>
  <w:style w:type="character" w:customStyle="1" w:styleId="SubtitleChar">
    <w:name w:val="Subtitle Char"/>
    <w:basedOn w:val="DefaultParagraphFont"/>
    <w:link w:val="Subtitle"/>
    <w:uiPriority w:val="11"/>
    <w:qFormat/>
    <w:rsid w:val="001255FD"/>
    <w:rPr>
      <w:rFonts w:ascii="Cambria" w:hAnsi="Cambria"/>
      <w:b/>
      <w:color w:val="538135" w:themeColor="accent6" w:themeShade="BF"/>
      <w:w w:val="90"/>
      <w:sz w:val="48"/>
      <w:szCs w:val="48"/>
      <w:lang w:val="en-GB"/>
    </w:rPr>
  </w:style>
  <w:style w:type="character" w:styleId="PlaceholderText">
    <w:name w:val="Placeholder Text"/>
    <w:basedOn w:val="DefaultParagraphFont"/>
    <w:uiPriority w:val="99"/>
    <w:semiHidden/>
    <w:qFormat/>
    <w:rsid w:val="008C7E01"/>
    <w:rPr>
      <w:color w:val="808080"/>
    </w:rPr>
  </w:style>
  <w:style w:type="character" w:customStyle="1" w:styleId="FootnoteTextChar">
    <w:name w:val="Footnote Text Char"/>
    <w:basedOn w:val="DefaultParagraphFont"/>
    <w:link w:val="FootnoteText"/>
    <w:uiPriority w:val="99"/>
    <w:qFormat/>
    <w:rsid w:val="00155AF5"/>
    <w:rPr>
      <w:sz w:val="20"/>
      <w:szCs w:val="20"/>
    </w:rPr>
  </w:style>
  <w:style w:type="character" w:customStyle="1" w:styleId="CommentTextChar">
    <w:name w:val="Comment Text Char"/>
    <w:basedOn w:val="DefaultParagraphFont"/>
    <w:link w:val="CommentText"/>
    <w:uiPriority w:val="99"/>
    <w:qFormat/>
    <w:rsid w:val="00792546"/>
    <w:rPr>
      <w:sz w:val="20"/>
      <w:szCs w:val="20"/>
      <w:lang w:val="en-ZA"/>
    </w:rPr>
  </w:style>
  <w:style w:type="character" w:customStyle="1" w:styleId="BalloonTextChar">
    <w:name w:val="Balloon Text Char"/>
    <w:basedOn w:val="DefaultParagraphFont"/>
    <w:link w:val="BalloonText"/>
    <w:uiPriority w:val="99"/>
    <w:semiHidden/>
    <w:qFormat/>
    <w:rsid w:val="00653728"/>
    <w:rPr>
      <w:rFonts w:ascii="Segoe UI" w:hAnsi="Segoe UI" w:cs="Segoe UI"/>
      <w:sz w:val="18"/>
      <w:szCs w:val="18"/>
    </w:rPr>
  </w:style>
  <w:style w:type="character" w:customStyle="1" w:styleId="InternetLink">
    <w:name w:val="Internet Link"/>
    <w:uiPriority w:val="99"/>
    <w:unhideWhenUsed/>
    <w:rsid w:val="003B3AB4"/>
    <w:rPr>
      <w:color w:val="0000FF"/>
      <w:u w:val="single"/>
    </w:rPr>
  </w:style>
  <w:style w:type="character" w:customStyle="1" w:styleId="AcknowledgementsheadingChar">
    <w:name w:val="Acknowledgements heading Char"/>
    <w:basedOn w:val="DefaultParagraphFont"/>
    <w:link w:val="Acknowledgementsheading"/>
    <w:qFormat/>
    <w:rsid w:val="00827CB1"/>
    <w:rPr>
      <w:rFonts w:cs="Arial"/>
      <w:b/>
      <w:color w:val="538135" w:themeColor="accent6" w:themeShade="BF"/>
    </w:rPr>
  </w:style>
  <w:style w:type="character" w:customStyle="1" w:styleId="CaptionChar">
    <w:name w:val="Caption Char"/>
    <w:basedOn w:val="DefaultParagraphFont"/>
    <w:link w:val="Caption"/>
    <w:uiPriority w:val="35"/>
    <w:qFormat/>
    <w:rsid w:val="00376097"/>
    <w:rPr>
      <w:b/>
      <w:i/>
      <w:iCs/>
      <w:color w:val="44546A" w:themeColor="text2"/>
      <w:szCs w:val="18"/>
      <w:lang w:val="en-ZA"/>
    </w:rPr>
  </w:style>
  <w:style w:type="character" w:styleId="CommentReference">
    <w:name w:val="annotation reference"/>
    <w:basedOn w:val="DefaultParagraphFont"/>
    <w:uiPriority w:val="99"/>
    <w:semiHidden/>
    <w:unhideWhenUsed/>
    <w:qFormat/>
    <w:rsid w:val="00203371"/>
    <w:rPr>
      <w:sz w:val="16"/>
      <w:szCs w:val="16"/>
    </w:rPr>
  </w:style>
  <w:style w:type="character" w:customStyle="1" w:styleId="CommentSubjectChar">
    <w:name w:val="Comment Subject Char"/>
    <w:basedOn w:val="DefaultParagraphFont"/>
    <w:link w:val="CommentSubject"/>
    <w:uiPriority w:val="99"/>
    <w:semiHidden/>
    <w:qFormat/>
    <w:rsid w:val="00792546"/>
    <w:rPr>
      <w:b/>
      <w:bCs/>
      <w:sz w:val="20"/>
      <w:szCs w:val="20"/>
      <w:lang w:val="en-ZA"/>
    </w:rPr>
  </w:style>
  <w:style w:type="character" w:customStyle="1" w:styleId="UnresolvedMention1">
    <w:name w:val="Unresolved Mention1"/>
    <w:basedOn w:val="DefaultParagraphFont"/>
    <w:uiPriority w:val="99"/>
    <w:semiHidden/>
    <w:unhideWhenUsed/>
    <w:qFormat/>
    <w:rsid w:val="00203371"/>
    <w:rPr>
      <w:color w:val="808080"/>
      <w:shd w:val="clear" w:color="auto" w:fill="E6E6E6"/>
    </w:rPr>
  </w:style>
  <w:style w:type="character" w:styleId="FollowedHyperlink">
    <w:name w:val="FollowedHyperlink"/>
    <w:basedOn w:val="DefaultParagraphFont"/>
    <w:uiPriority w:val="99"/>
    <w:semiHidden/>
    <w:unhideWhenUsed/>
    <w:qFormat/>
    <w:rsid w:val="00203371"/>
    <w:rPr>
      <w:color w:val="954F72" w:themeColor="followedHyperlink"/>
      <w:u w:val="single"/>
    </w:rPr>
  </w:style>
  <w:style w:type="character" w:customStyle="1" w:styleId="EndnoteTextChar">
    <w:name w:val="Endnote Text Char"/>
    <w:basedOn w:val="DefaultParagraphFont"/>
    <w:link w:val="EndnoteText"/>
    <w:uiPriority w:val="99"/>
    <w:semiHidden/>
    <w:qFormat/>
    <w:rsid w:val="00203371"/>
    <w:rPr>
      <w:sz w:val="20"/>
      <w:szCs w:val="20"/>
      <w:lang w:val="en-ZA"/>
    </w:rPr>
  </w:style>
  <w:style w:type="character" w:customStyle="1" w:styleId="EndnoteCharacters">
    <w:name w:val="Endnote Characters"/>
    <w:basedOn w:val="DefaultParagraphFont"/>
    <w:uiPriority w:val="99"/>
    <w:semiHidden/>
    <w:unhideWhenUsed/>
    <w:qFormat/>
    <w:rsid w:val="00203371"/>
    <w:rPr>
      <w:vertAlign w:val="superscript"/>
    </w:rPr>
  </w:style>
  <w:style w:type="character" w:customStyle="1" w:styleId="EndnoteAnchor">
    <w:name w:val="Endnote Anchor"/>
    <w:rPr>
      <w:vertAlign w:val="superscript"/>
    </w:rPr>
  </w:style>
  <w:style w:type="character" w:customStyle="1" w:styleId="NoSpacingChar">
    <w:name w:val="No Spacing Char"/>
    <w:basedOn w:val="DefaultParagraphFont"/>
    <w:link w:val="NoSpacing"/>
    <w:uiPriority w:val="1"/>
    <w:qFormat/>
    <w:rsid w:val="001255FD"/>
    <w:rPr>
      <w:rFonts w:eastAsiaTheme="minorEastAsia"/>
      <w:lang w:eastAsia="zh-CN"/>
    </w:rPr>
  </w:style>
  <w:style w:type="character" w:customStyle="1" w:styleId="ReferencesChar">
    <w:name w:val="References Char"/>
    <w:basedOn w:val="DefaultParagraphFont"/>
    <w:link w:val="References"/>
    <w:qFormat/>
    <w:rsid w:val="0001174F"/>
  </w:style>
  <w:style w:type="character" w:customStyle="1" w:styleId="UnresolvedMention2">
    <w:name w:val="Unresolved Mention2"/>
    <w:basedOn w:val="DefaultParagraphFont"/>
    <w:uiPriority w:val="99"/>
    <w:semiHidden/>
    <w:unhideWhenUsed/>
    <w:qFormat/>
    <w:rsid w:val="00276C58"/>
    <w:rPr>
      <w:color w:val="605E5C"/>
      <w:shd w:val="clear" w:color="auto" w:fill="E1DFDD"/>
    </w:rPr>
  </w:style>
  <w:style w:type="character" w:customStyle="1" w:styleId="SourceChar">
    <w:name w:val="Source Char"/>
    <w:basedOn w:val="DefaultParagraphFont"/>
    <w:link w:val="Source"/>
    <w:qFormat/>
    <w:rsid w:val="003A402F"/>
    <w:rPr>
      <w:i/>
      <w:sz w:val="18"/>
      <w:szCs w:val="20"/>
      <w:lang w:val="en-GB"/>
    </w:rPr>
  </w:style>
  <w:style w:type="character" w:customStyle="1" w:styleId="Caption-figureChar">
    <w:name w:val="Caption - figure Char"/>
    <w:basedOn w:val="CaptionChar"/>
    <w:qFormat/>
    <w:rsid w:val="00792546"/>
    <w:rPr>
      <w:b/>
      <w:i/>
      <w:iCs/>
      <w:color w:val="44546A" w:themeColor="text2"/>
      <w:szCs w:val="18"/>
      <w:lang w:val="en-ZA"/>
    </w:rPr>
  </w:style>
  <w:style w:type="character" w:customStyle="1" w:styleId="FootnoteCharacters">
    <w:name w:val="Footnote Characters"/>
    <w:basedOn w:val="DefaultParagraphFont"/>
    <w:uiPriority w:val="99"/>
    <w:semiHidden/>
    <w:unhideWhenUsed/>
    <w:qFormat/>
    <w:rsid w:val="001C244E"/>
    <w:rPr>
      <w:vertAlign w:val="superscript"/>
    </w:rPr>
  </w:style>
  <w:style w:type="character" w:customStyle="1" w:styleId="FootnoteAnchor">
    <w:name w:val="Footnote Anchor"/>
    <w:rPr>
      <w:vertAlign w:val="superscript"/>
    </w:rPr>
  </w:style>
  <w:style w:type="character" w:styleId="UnresolvedMention">
    <w:name w:val="Unresolved Mention"/>
    <w:basedOn w:val="DefaultParagraphFont"/>
    <w:uiPriority w:val="99"/>
    <w:semiHidden/>
    <w:unhideWhenUsed/>
    <w:qFormat/>
    <w:rsid w:val="00F34D7B"/>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paragraph" w:customStyle="1" w:styleId="Heading">
    <w:name w:val="Heading"/>
    <w:basedOn w:val="Normal"/>
    <w:next w:val="BodyText"/>
    <w:qFormat/>
    <w:pPr>
      <w:keepNext/>
      <w:spacing w:before="240"/>
    </w:pPr>
    <w:rPr>
      <w:rFonts w:ascii="Times New Roman" w:eastAsia="AR PL SungtiL GB" w:hAnsi="Times New Roman"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Lohit Devanagari"/>
    </w:rPr>
  </w:style>
  <w:style w:type="paragraph" w:styleId="Caption">
    <w:name w:val="caption"/>
    <w:basedOn w:val="Normal"/>
    <w:next w:val="Normal"/>
    <w:link w:val="CaptionChar"/>
    <w:uiPriority w:val="35"/>
    <w:unhideWhenUsed/>
    <w:qFormat/>
    <w:rsid w:val="00376097"/>
    <w:pPr>
      <w:spacing w:before="240"/>
      <w:jc w:val="left"/>
    </w:pPr>
    <w:rPr>
      <w:b/>
      <w:i/>
      <w:iCs/>
      <w:color w:val="44546A" w:themeColor="text2"/>
      <w:szCs w:val="18"/>
    </w:rPr>
  </w:style>
  <w:style w:type="paragraph" w:customStyle="1" w:styleId="Index">
    <w:name w:val="Index"/>
    <w:basedOn w:val="Normal"/>
    <w:qFormat/>
    <w:pPr>
      <w:suppressLineNumbers/>
    </w:pPr>
    <w:rPr>
      <w:rFonts w:ascii="Times New Roman" w:hAnsi="Times New Roman" w:cs="Lohit Devanagari"/>
    </w:rPr>
  </w:style>
  <w:style w:type="paragraph" w:styleId="Header">
    <w:name w:val="header"/>
    <w:basedOn w:val="Normal"/>
    <w:link w:val="HeaderChar"/>
    <w:uiPriority w:val="99"/>
    <w:unhideWhenUsed/>
    <w:rsid w:val="00C2149D"/>
    <w:pPr>
      <w:tabs>
        <w:tab w:val="left" w:pos="851"/>
        <w:tab w:val="right" w:pos="9781"/>
      </w:tabs>
      <w:spacing w:after="0"/>
      <w:ind w:firstLine="720"/>
    </w:pPr>
    <w:rPr>
      <w:b/>
      <w:color w:val="FFFFFF" w:themeColor="background1"/>
      <w:lang w:val="en-GB"/>
    </w:rPr>
  </w:style>
  <w:style w:type="paragraph" w:styleId="Footer">
    <w:name w:val="footer"/>
    <w:basedOn w:val="Normal"/>
    <w:link w:val="FooterChar"/>
    <w:uiPriority w:val="99"/>
    <w:unhideWhenUsed/>
    <w:rsid w:val="00B83BFB"/>
    <w:pPr>
      <w:tabs>
        <w:tab w:val="center" w:pos="4680"/>
        <w:tab w:val="right" w:pos="9360"/>
      </w:tabs>
      <w:spacing w:after="0"/>
    </w:pPr>
  </w:style>
  <w:style w:type="paragraph" w:styleId="Title">
    <w:name w:val="Title"/>
    <w:basedOn w:val="Normal"/>
    <w:next w:val="Normal"/>
    <w:link w:val="TitleChar"/>
    <w:uiPriority w:val="10"/>
    <w:qFormat/>
    <w:rsid w:val="0022732C"/>
    <w:pPr>
      <w:pBdr>
        <w:bottom w:val="single" w:sz="4" w:space="1" w:color="000000"/>
      </w:pBdr>
      <w:spacing w:before="1440"/>
      <w:jc w:val="left"/>
    </w:pPr>
    <w:rPr>
      <w:rFonts w:ascii="Cambria" w:eastAsia="Times New Roman" w:hAnsi="Cambria" w:cs="Times New Roman"/>
      <w:b/>
      <w:color w:val="538135" w:themeColor="accent6" w:themeShade="BF"/>
      <w:sz w:val="72"/>
      <w:szCs w:val="68"/>
      <w:lang w:eastAsia="ja-JP"/>
    </w:rPr>
  </w:style>
  <w:style w:type="paragraph" w:styleId="Subtitle">
    <w:name w:val="Subtitle"/>
    <w:basedOn w:val="Normal"/>
    <w:next w:val="Normal"/>
    <w:link w:val="SubtitleChar"/>
    <w:uiPriority w:val="11"/>
    <w:qFormat/>
    <w:rsid w:val="001255FD"/>
    <w:pPr>
      <w:widowControl w:val="0"/>
      <w:jc w:val="left"/>
    </w:pPr>
    <w:rPr>
      <w:rFonts w:ascii="Cambria" w:eastAsia="Calibri" w:hAnsi="Cambria"/>
      <w:b/>
      <w:color w:val="538135" w:themeColor="accent6" w:themeShade="BF"/>
      <w:w w:val="90"/>
      <w:sz w:val="48"/>
      <w:szCs w:val="48"/>
      <w:lang w:val="en-GB"/>
    </w:rPr>
  </w:style>
  <w:style w:type="paragraph" w:customStyle="1" w:styleId="AuthorNames">
    <w:name w:val="Author Names"/>
    <w:basedOn w:val="Normal"/>
    <w:qFormat/>
    <w:rsid w:val="0022732C"/>
    <w:pPr>
      <w:tabs>
        <w:tab w:val="center" w:pos="5040"/>
      </w:tabs>
      <w:jc w:val="left"/>
    </w:pPr>
    <w:rPr>
      <w:color w:val="435464"/>
      <w:sz w:val="28"/>
    </w:rPr>
  </w:style>
  <w:style w:type="paragraph" w:customStyle="1" w:styleId="WorkingPaper-Datebox">
    <w:name w:val="Working Paper - Date box"/>
    <w:basedOn w:val="Normal"/>
    <w:qFormat/>
    <w:rsid w:val="008C7E01"/>
    <w:pPr>
      <w:spacing w:after="200" w:line="276" w:lineRule="auto"/>
      <w:ind w:right="-105"/>
      <w:jc w:val="right"/>
    </w:pPr>
    <w:rPr>
      <w:rFonts w:eastAsiaTheme="minorEastAsia"/>
      <w:color w:val="5A344D"/>
    </w:rPr>
  </w:style>
  <w:style w:type="paragraph" w:styleId="FootnoteText">
    <w:name w:val="footnote text"/>
    <w:basedOn w:val="Normal"/>
    <w:link w:val="FootnoteTextChar"/>
    <w:uiPriority w:val="99"/>
    <w:unhideWhenUsed/>
    <w:rsid w:val="00155AF5"/>
    <w:pPr>
      <w:spacing w:after="40"/>
      <w:ind w:left="397" w:hanging="397"/>
    </w:pPr>
    <w:rPr>
      <w:sz w:val="20"/>
      <w:szCs w:val="20"/>
    </w:rPr>
  </w:style>
  <w:style w:type="paragraph" w:styleId="CommentText">
    <w:name w:val="annotation text"/>
    <w:basedOn w:val="Normal"/>
    <w:link w:val="CommentTextChar"/>
    <w:uiPriority w:val="99"/>
    <w:unhideWhenUsed/>
    <w:qFormat/>
    <w:rsid w:val="00792546"/>
    <w:rPr>
      <w:sz w:val="20"/>
      <w:szCs w:val="20"/>
    </w:rPr>
  </w:style>
  <w:style w:type="paragraph" w:customStyle="1" w:styleId="bullets">
    <w:name w:val="bullets"/>
    <w:basedOn w:val="Normal"/>
    <w:qFormat/>
    <w:rsid w:val="00D42472"/>
    <w:pPr>
      <w:spacing w:line="276" w:lineRule="auto"/>
      <w:ind w:left="576" w:hanging="288"/>
    </w:pPr>
    <w:rPr>
      <w:rFonts w:ascii="Calibri" w:eastAsiaTheme="minorEastAsia" w:hAnsi="Calibri"/>
      <w:sz w:val="20"/>
      <w:szCs w:val="20"/>
    </w:rPr>
  </w:style>
  <w:style w:type="paragraph" w:customStyle="1" w:styleId="boxbullets">
    <w:name w:val="box bullets"/>
    <w:basedOn w:val="bullets"/>
    <w:qFormat/>
    <w:rsid w:val="00D42472"/>
    <w:pPr>
      <w:spacing w:before="120"/>
      <w:ind w:left="547" w:right="432"/>
    </w:pPr>
    <w:rPr>
      <w:sz w:val="18"/>
      <w:szCs w:val="18"/>
    </w:rPr>
  </w:style>
  <w:style w:type="paragraph" w:customStyle="1" w:styleId="boxtitle">
    <w:name w:val="box title"/>
    <w:basedOn w:val="Heading3"/>
    <w:qFormat/>
    <w:rsid w:val="00201E66"/>
    <w:pPr>
      <w:spacing w:before="160" w:after="40"/>
    </w:pPr>
    <w:rPr>
      <w:rFonts w:ascii="Arial" w:hAnsi="Arial"/>
      <w:b w:val="0"/>
      <w:bCs/>
      <w:color w:val="5A344D"/>
      <w:sz w:val="20"/>
    </w:rPr>
  </w:style>
  <w:style w:type="paragraph" w:customStyle="1" w:styleId="TableText">
    <w:name w:val="Table Text"/>
    <w:basedOn w:val="Normal"/>
    <w:qFormat/>
    <w:rsid w:val="00EB7CF9"/>
    <w:pPr>
      <w:spacing w:before="40" w:after="40"/>
      <w:jc w:val="left"/>
    </w:pPr>
    <w:rPr>
      <w:rFonts w:cs="BryantPro-Regular"/>
      <w:color w:val="000000"/>
      <w:w w:val="90"/>
      <w:szCs w:val="20"/>
    </w:rPr>
  </w:style>
  <w:style w:type="paragraph" w:customStyle="1" w:styleId="tableheading">
    <w:name w:val="table heading"/>
    <w:basedOn w:val="Normal"/>
    <w:qFormat/>
    <w:rsid w:val="009732D3"/>
    <w:pPr>
      <w:spacing w:before="40" w:after="40"/>
      <w:jc w:val="center"/>
    </w:pPr>
    <w:rPr>
      <w:rFonts w:eastAsia="Calibri" w:cs="BryantPro-Regular"/>
      <w:b/>
      <w:color w:val="FFFFFF" w:themeColor="background1"/>
      <w:w w:val="90"/>
      <w:sz w:val="20"/>
      <w:szCs w:val="20"/>
    </w:rPr>
  </w:style>
  <w:style w:type="paragraph" w:customStyle="1" w:styleId="TableTitle">
    <w:name w:val="Table Title"/>
    <w:basedOn w:val="boxtitle"/>
    <w:qFormat/>
    <w:rsid w:val="0001174F"/>
    <w:pPr>
      <w:spacing w:before="240"/>
      <w:jc w:val="left"/>
    </w:pPr>
    <w:rPr>
      <w:rFonts w:asciiTheme="minorHAnsi" w:hAnsiTheme="minorHAnsi" w:cs="Arial"/>
      <w:b/>
      <w:color w:val="385623" w:themeColor="accent6" w:themeShade="80"/>
      <w:sz w:val="22"/>
    </w:rPr>
  </w:style>
  <w:style w:type="paragraph" w:styleId="BalloonText">
    <w:name w:val="Balloon Text"/>
    <w:basedOn w:val="Normal"/>
    <w:link w:val="BalloonTextChar"/>
    <w:uiPriority w:val="99"/>
    <w:semiHidden/>
    <w:unhideWhenUsed/>
    <w:qFormat/>
    <w:rsid w:val="00653728"/>
    <w:pPr>
      <w:spacing w:after="0"/>
    </w:pPr>
    <w:rPr>
      <w:rFonts w:ascii="Segoe UI" w:hAnsi="Segoe UI" w:cs="Segoe UI"/>
      <w:sz w:val="18"/>
      <w:szCs w:val="18"/>
    </w:rPr>
  </w:style>
  <w:style w:type="paragraph" w:styleId="TOC1">
    <w:name w:val="toc 1"/>
    <w:basedOn w:val="Normal"/>
    <w:next w:val="Normal"/>
    <w:autoRedefine/>
    <w:uiPriority w:val="39"/>
    <w:unhideWhenUsed/>
    <w:qFormat/>
    <w:rsid w:val="00E53BBB"/>
    <w:pPr>
      <w:tabs>
        <w:tab w:val="left" w:pos="440"/>
        <w:tab w:val="right" w:leader="dot" w:pos="9781"/>
      </w:tabs>
      <w:spacing w:before="120" w:after="0"/>
    </w:pPr>
    <w:rPr>
      <w:rFonts w:eastAsiaTheme="majorEastAsia" w:cs="Arial"/>
    </w:rPr>
  </w:style>
  <w:style w:type="paragraph" w:customStyle="1" w:styleId="Acknowledgementsheading">
    <w:name w:val="Acknowledgements heading"/>
    <w:basedOn w:val="Normal"/>
    <w:link w:val="AcknowledgementsheadingChar"/>
    <w:qFormat/>
    <w:rsid w:val="00827CB1"/>
    <w:pPr>
      <w:pBdr>
        <w:bottom w:val="single" w:sz="4" w:space="1" w:color="000000"/>
      </w:pBdr>
      <w:tabs>
        <w:tab w:val="left" w:pos="1095"/>
      </w:tabs>
      <w:spacing w:before="240"/>
    </w:pPr>
    <w:rPr>
      <w:rFonts w:cs="Arial"/>
      <w:b/>
      <w:color w:val="538135" w:themeColor="accent6" w:themeShade="BF"/>
    </w:rPr>
  </w:style>
  <w:style w:type="paragraph" w:styleId="ListParagraph">
    <w:name w:val="List Paragraph"/>
    <w:basedOn w:val="Normal"/>
    <w:uiPriority w:val="34"/>
    <w:qFormat/>
    <w:rsid w:val="00203371"/>
    <w:pPr>
      <w:ind w:left="720"/>
      <w:contextualSpacing/>
    </w:pPr>
  </w:style>
  <w:style w:type="paragraph" w:styleId="CommentSubject">
    <w:name w:val="annotation subject"/>
    <w:basedOn w:val="Normal"/>
    <w:next w:val="Normal"/>
    <w:link w:val="CommentSubjectChar"/>
    <w:uiPriority w:val="99"/>
    <w:semiHidden/>
    <w:unhideWhenUsed/>
    <w:qFormat/>
    <w:rsid w:val="00792546"/>
    <w:rPr>
      <w:b/>
      <w:bCs/>
    </w:rPr>
  </w:style>
  <w:style w:type="paragraph" w:styleId="TOCHeading">
    <w:name w:val="TOC Heading"/>
    <w:basedOn w:val="Heading1"/>
    <w:next w:val="Normal"/>
    <w:uiPriority w:val="39"/>
    <w:unhideWhenUsed/>
    <w:qFormat/>
    <w:rsid w:val="00203371"/>
    <w:pPr>
      <w:numPr>
        <w:numId w:val="0"/>
      </w:numPr>
    </w:pPr>
    <w:rPr>
      <w:rFonts w:asciiTheme="majorHAnsi" w:eastAsiaTheme="majorEastAsia" w:hAnsiTheme="majorHAnsi" w:cstheme="majorBidi"/>
      <w:bCs w:val="0"/>
      <w:caps w:val="0"/>
      <w:color w:val="auto"/>
      <w:sz w:val="32"/>
      <w:szCs w:val="32"/>
    </w:rPr>
  </w:style>
  <w:style w:type="paragraph" w:styleId="TOC2">
    <w:name w:val="toc 2"/>
    <w:basedOn w:val="Normal"/>
    <w:next w:val="Normal"/>
    <w:autoRedefine/>
    <w:uiPriority w:val="39"/>
    <w:unhideWhenUsed/>
    <w:rsid w:val="00203371"/>
    <w:pPr>
      <w:tabs>
        <w:tab w:val="left" w:pos="880"/>
        <w:tab w:val="right" w:leader="dot" w:pos="9016"/>
      </w:tabs>
      <w:spacing w:after="100"/>
      <w:ind w:left="220"/>
    </w:pPr>
  </w:style>
  <w:style w:type="paragraph" w:styleId="TOC3">
    <w:name w:val="toc 3"/>
    <w:basedOn w:val="Normal"/>
    <w:next w:val="Normal"/>
    <w:autoRedefine/>
    <w:uiPriority w:val="39"/>
    <w:unhideWhenUsed/>
    <w:rsid w:val="00203371"/>
    <w:pPr>
      <w:spacing w:after="100"/>
      <w:ind w:left="440"/>
    </w:pPr>
  </w:style>
  <w:style w:type="paragraph" w:styleId="Revision">
    <w:name w:val="Revision"/>
    <w:uiPriority w:val="99"/>
    <w:semiHidden/>
    <w:qFormat/>
    <w:rsid w:val="00203371"/>
    <w:rPr>
      <w:sz w:val="22"/>
      <w:lang w:val="en-ZA"/>
    </w:rPr>
  </w:style>
  <w:style w:type="paragraph" w:styleId="EndnoteText">
    <w:name w:val="endnote text"/>
    <w:basedOn w:val="Normal"/>
    <w:link w:val="EndnoteTextChar"/>
    <w:uiPriority w:val="99"/>
    <w:semiHidden/>
    <w:unhideWhenUsed/>
    <w:rsid w:val="00203371"/>
    <w:pPr>
      <w:spacing w:after="0"/>
    </w:pPr>
    <w:rPr>
      <w:sz w:val="20"/>
      <w:szCs w:val="20"/>
    </w:rPr>
  </w:style>
  <w:style w:type="paragraph" w:styleId="NoSpacing">
    <w:name w:val="No Spacing"/>
    <w:link w:val="NoSpacingChar"/>
    <w:uiPriority w:val="1"/>
    <w:qFormat/>
    <w:rsid w:val="001255FD"/>
    <w:rPr>
      <w:rFonts w:ascii="Calibri" w:eastAsiaTheme="minorEastAsia" w:hAnsi="Calibri"/>
      <w:sz w:val="22"/>
      <w:lang w:eastAsia="zh-CN"/>
    </w:rPr>
  </w:style>
  <w:style w:type="paragraph" w:customStyle="1" w:styleId="References">
    <w:name w:val="References"/>
    <w:basedOn w:val="Normal"/>
    <w:link w:val="ReferencesChar"/>
    <w:qFormat/>
    <w:rsid w:val="0001174F"/>
    <w:pPr>
      <w:ind w:left="567" w:hanging="567"/>
      <w:jc w:val="left"/>
    </w:pPr>
  </w:style>
  <w:style w:type="paragraph" w:styleId="NormalWeb">
    <w:name w:val="Normal (Web)"/>
    <w:basedOn w:val="Normal"/>
    <w:uiPriority w:val="99"/>
    <w:semiHidden/>
    <w:unhideWhenUsed/>
    <w:qFormat/>
    <w:rsid w:val="00CC25B2"/>
    <w:pPr>
      <w:spacing w:beforeAutospacing="1" w:afterAutospacing="1"/>
    </w:pPr>
    <w:rPr>
      <w:rFonts w:ascii="Times New Roman" w:eastAsiaTheme="minorEastAsia" w:hAnsi="Times New Roman" w:cs="Times New Roman"/>
      <w:sz w:val="24"/>
      <w:szCs w:val="24"/>
      <w:lang w:eastAsia="en-ZA"/>
    </w:rPr>
  </w:style>
  <w:style w:type="paragraph" w:customStyle="1" w:styleId="NoSpacing1">
    <w:name w:val="No Spacing1"/>
    <w:uiPriority w:val="1"/>
    <w:qFormat/>
    <w:rsid w:val="0022732C"/>
    <w:rPr>
      <w:sz w:val="22"/>
      <w:lang w:val="en-ZA"/>
    </w:rPr>
  </w:style>
  <w:style w:type="paragraph" w:customStyle="1" w:styleId="Source">
    <w:name w:val="Source"/>
    <w:basedOn w:val="Normal"/>
    <w:link w:val="SourceChar"/>
    <w:qFormat/>
    <w:rsid w:val="003A402F"/>
    <w:pPr>
      <w:spacing w:after="240" w:line="276" w:lineRule="auto"/>
    </w:pPr>
    <w:rPr>
      <w:i/>
      <w:sz w:val="18"/>
      <w:szCs w:val="20"/>
      <w:lang w:val="en-GB"/>
    </w:rPr>
  </w:style>
  <w:style w:type="paragraph" w:customStyle="1" w:styleId="Caption-figure">
    <w:name w:val="Caption - figure"/>
    <w:basedOn w:val="Caption"/>
    <w:qFormat/>
    <w:rsid w:val="00792546"/>
    <w:pPr>
      <w:spacing w:before="120" w:after="240"/>
    </w:pPr>
  </w:style>
  <w:style w:type="paragraph" w:customStyle="1" w:styleId="FrameContents">
    <w:name w:val="Frame Contents"/>
    <w:basedOn w:val="Normal"/>
    <w:qFormat/>
  </w:style>
  <w:style w:type="table" w:customStyle="1" w:styleId="GridTable4-Accent61">
    <w:name w:val="Grid Table 4 - Accent 61"/>
    <w:basedOn w:val="TableNormal"/>
    <w:uiPriority w:val="49"/>
    <w:rsid w:val="00045CC5"/>
    <w:pPr>
      <w:spacing w:before="40" w:after="40"/>
    </w:pPr>
    <w:tblPr>
      <w:tblStyleRowBandSize w:val="1"/>
      <w:tblStyleColBandSize w:val="1"/>
    </w:tblPr>
    <w:tblStylePr w:type="firstRow">
      <w:rPr>
        <w:b/>
        <w:bCs/>
        <w:color w:val="FFFFFF" w:themeColor="background1"/>
      </w:rPr>
      <w:tblPr/>
      <w:tcPr>
        <w:shd w:val="clear" w:color="auto" w:fill="435464"/>
      </w:tcPr>
    </w:tblStylePr>
    <w:tblStylePr w:type="lastRow">
      <w:rPr>
        <w:b/>
        <w:bCs/>
      </w:rPr>
      <w:tblPr/>
      <w:tcPr>
        <w:tcBorders>
          <w:top w:val="double" w:sz="4" w:space="0" w:color="70AD47" w:themeColor="accent6"/>
        </w:tcBorders>
      </w:tcPr>
    </w:tblStylePr>
    <w:tblStylePr w:type="firstCol">
      <w:pPr>
        <w:wordWrap/>
        <w:spacing w:beforeLines="40" w:before="40" w:afterLines="40" w:after="40"/>
        <w:ind w:rightChars="0" w:right="0"/>
        <w:jc w:val="left"/>
      </w:pPr>
      <w:rPr>
        <w:rFonts w:asciiTheme="minorHAnsi" w:hAnsiTheme="minorHAnsi"/>
        <w:b w:val="0"/>
        <w:bCs/>
        <w:sz w:val="20"/>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59"/>
    <w:rsid w:val="00A60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203371"/>
    <w:pPr>
      <w:spacing w:before="120"/>
      <w:jc w:val="both"/>
    </w:pPr>
    <w:rPr>
      <w:lang w:val="en-Z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GridTable6Colorful-Accent51">
    <w:name w:val="Grid Table 6 Colorful - Accent 51"/>
    <w:basedOn w:val="TableNormal"/>
    <w:uiPriority w:val="51"/>
    <w:rsid w:val="001255FD"/>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Style1">
    <w:name w:val="Style1"/>
    <w:basedOn w:val="TableNormal"/>
    <w:uiPriority w:val="99"/>
    <w:rsid w:val="00C1557E"/>
    <w:tblPr/>
  </w:style>
  <w:style w:type="table" w:customStyle="1" w:styleId="GridTable1Light-Accent11">
    <w:name w:val="Grid Table 1 Light - Accent 11"/>
    <w:basedOn w:val="TableNormal"/>
    <w:uiPriority w:val="46"/>
    <w:rsid w:val="00436503"/>
    <w:rPr>
      <w:lang w:val="en-Z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Style2">
    <w:name w:val="Style2"/>
    <w:basedOn w:val="TableNormal"/>
    <w:uiPriority w:val="99"/>
    <w:rsid w:val="00D85951"/>
    <w:tblPr/>
  </w:style>
  <w:style w:type="table" w:styleId="GridTable3-Accent6">
    <w:name w:val="Grid Table 3 Accent 6"/>
    <w:basedOn w:val="TableNormal"/>
    <w:uiPriority w:val="48"/>
    <w:rsid w:val="003245F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70AD47" w:themeColor="accent6"/>
        </w:tcBorders>
      </w:tcPr>
    </w:tblStylePr>
    <w:tblStylePr w:type="nwCell">
      <w:tblPr/>
      <w:tcPr>
        <w:tcBorders>
          <w:bottom w:val="single" w:sz="4" w:space="0" w:color="70AD47" w:themeColor="accent6"/>
        </w:tcBorders>
      </w:tcPr>
    </w:tblStylePr>
    <w:tblStylePr w:type="seCell">
      <w:tblPr/>
      <w:tcPr>
        <w:tcBorders>
          <w:top w:val="single" w:sz="4" w:space="0" w:color="70AD47" w:themeColor="accent6"/>
        </w:tcBorders>
      </w:tcPr>
    </w:tblStylePr>
    <w:tblStylePr w:type="swCell">
      <w:tblPr/>
      <w:tcPr>
        <w:tcBorders>
          <w:top w:val="single" w:sz="4" w:space="0" w:color="70AD47" w:themeColor="accent6"/>
        </w:tcBorders>
      </w:tcPr>
    </w:tblStylePr>
  </w:style>
  <w:style w:type="table" w:styleId="GridTable1Light-Accent6">
    <w:name w:val="Grid Table 1 Light Accent 6"/>
    <w:basedOn w:val="TableNormal"/>
    <w:uiPriority w:val="46"/>
    <w:rsid w:val="002677C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customStyle="1" w:styleId="Style3">
    <w:name w:val="Style3"/>
    <w:basedOn w:val="TableNormal"/>
    <w:uiPriority w:val="99"/>
    <w:rsid w:val="006C6A7A"/>
    <w:tblPr/>
  </w:style>
  <w:style w:type="character" w:styleId="FootnoteReference">
    <w:name w:val="footnote reference"/>
    <w:basedOn w:val="DefaultParagraphFont"/>
    <w:uiPriority w:val="99"/>
    <w:semiHidden/>
    <w:unhideWhenUsed/>
    <w:rPr>
      <w:vertAlign w:val="superscript"/>
    </w:rPr>
  </w:style>
  <w:style w:type="table" w:styleId="GridTable5Dark-Accent1">
    <w:name w:val="Grid Table 5 Dark Accent 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50041">
      <w:bodyDiv w:val="1"/>
      <w:marLeft w:val="0"/>
      <w:marRight w:val="0"/>
      <w:marTop w:val="0"/>
      <w:marBottom w:val="0"/>
      <w:divBdr>
        <w:top w:val="none" w:sz="0" w:space="0" w:color="auto"/>
        <w:left w:val="none" w:sz="0" w:space="0" w:color="auto"/>
        <w:bottom w:val="none" w:sz="0" w:space="0" w:color="auto"/>
        <w:right w:val="none" w:sz="0" w:space="0" w:color="auto"/>
      </w:divBdr>
    </w:div>
    <w:div w:id="321396516">
      <w:bodyDiv w:val="1"/>
      <w:marLeft w:val="0"/>
      <w:marRight w:val="0"/>
      <w:marTop w:val="0"/>
      <w:marBottom w:val="0"/>
      <w:divBdr>
        <w:top w:val="none" w:sz="0" w:space="0" w:color="auto"/>
        <w:left w:val="none" w:sz="0" w:space="0" w:color="auto"/>
        <w:bottom w:val="none" w:sz="0" w:space="0" w:color="auto"/>
        <w:right w:val="none" w:sz="0" w:space="0" w:color="auto"/>
      </w:divBdr>
    </w:div>
    <w:div w:id="610940037">
      <w:bodyDiv w:val="1"/>
      <w:marLeft w:val="0"/>
      <w:marRight w:val="0"/>
      <w:marTop w:val="0"/>
      <w:marBottom w:val="0"/>
      <w:divBdr>
        <w:top w:val="none" w:sz="0" w:space="0" w:color="auto"/>
        <w:left w:val="none" w:sz="0" w:space="0" w:color="auto"/>
        <w:bottom w:val="none" w:sz="0" w:space="0" w:color="auto"/>
        <w:right w:val="none" w:sz="0" w:space="0" w:color="auto"/>
      </w:divBdr>
    </w:div>
    <w:div w:id="894926460">
      <w:bodyDiv w:val="1"/>
      <w:marLeft w:val="0"/>
      <w:marRight w:val="0"/>
      <w:marTop w:val="0"/>
      <w:marBottom w:val="0"/>
      <w:divBdr>
        <w:top w:val="none" w:sz="0" w:space="0" w:color="auto"/>
        <w:left w:val="none" w:sz="0" w:space="0" w:color="auto"/>
        <w:bottom w:val="none" w:sz="0" w:space="0" w:color="auto"/>
        <w:right w:val="none" w:sz="0" w:space="0" w:color="auto"/>
      </w:divBdr>
    </w:div>
    <w:div w:id="1016809989">
      <w:bodyDiv w:val="1"/>
      <w:marLeft w:val="0"/>
      <w:marRight w:val="0"/>
      <w:marTop w:val="0"/>
      <w:marBottom w:val="0"/>
      <w:divBdr>
        <w:top w:val="none" w:sz="0" w:space="0" w:color="auto"/>
        <w:left w:val="none" w:sz="0" w:space="0" w:color="auto"/>
        <w:bottom w:val="none" w:sz="0" w:space="0" w:color="auto"/>
        <w:right w:val="none" w:sz="0" w:space="0" w:color="auto"/>
      </w:divBdr>
    </w:div>
    <w:div w:id="1609584515">
      <w:bodyDiv w:val="1"/>
      <w:marLeft w:val="0"/>
      <w:marRight w:val="0"/>
      <w:marTop w:val="0"/>
      <w:marBottom w:val="0"/>
      <w:divBdr>
        <w:top w:val="none" w:sz="0" w:space="0" w:color="auto"/>
        <w:left w:val="none" w:sz="0" w:space="0" w:color="auto"/>
        <w:bottom w:val="none" w:sz="0" w:space="0" w:color="auto"/>
        <w:right w:val="none" w:sz="0" w:space="0" w:color="auto"/>
      </w:divBdr>
    </w:div>
    <w:div w:id="1853644637">
      <w:bodyDiv w:val="1"/>
      <w:marLeft w:val="0"/>
      <w:marRight w:val="0"/>
      <w:marTop w:val="0"/>
      <w:marBottom w:val="0"/>
      <w:divBdr>
        <w:top w:val="none" w:sz="0" w:space="0" w:color="auto"/>
        <w:left w:val="none" w:sz="0" w:space="0" w:color="auto"/>
        <w:bottom w:val="none" w:sz="0" w:space="0" w:color="auto"/>
        <w:right w:val="none" w:sz="0" w:space="0" w:color="auto"/>
      </w:divBdr>
    </w:div>
    <w:div w:id="1959677922">
      <w:bodyDiv w:val="1"/>
      <w:marLeft w:val="0"/>
      <w:marRight w:val="0"/>
      <w:marTop w:val="0"/>
      <w:marBottom w:val="0"/>
      <w:divBdr>
        <w:top w:val="none" w:sz="0" w:space="0" w:color="auto"/>
        <w:left w:val="none" w:sz="0" w:space="0" w:color="auto"/>
        <w:bottom w:val="none" w:sz="0" w:space="0" w:color="auto"/>
        <w:right w:val="none" w:sz="0" w:space="0" w:color="auto"/>
      </w:divBdr>
    </w:div>
    <w:div w:id="2097480783">
      <w:bodyDiv w:val="1"/>
      <w:marLeft w:val="0"/>
      <w:marRight w:val="0"/>
      <w:marTop w:val="0"/>
      <w:marBottom w:val="0"/>
      <w:divBdr>
        <w:top w:val="none" w:sz="0" w:space="0" w:color="auto"/>
        <w:left w:val="none" w:sz="0" w:space="0" w:color="auto"/>
        <w:bottom w:val="none" w:sz="0" w:space="0" w:color="auto"/>
        <w:right w:val="none" w:sz="0" w:space="0" w:color="auto"/>
      </w:divBdr>
    </w:div>
    <w:div w:id="2119181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perweb.statssa.gov.z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hyperlink" Target="http://www.statssa.gov.za/?page_id=1854&amp;PPN=P0441&amp;SCH=595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faaiq\Documents\HHbands\Results_3.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faaiq\Documents\HHbands\Results_3.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faaiq\Documents\HHbands\Results_3.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faaiq\Documents\HHbands\Results_3.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faaiq\Documents\HHbands\Results_3.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faaiq\Documents\HHbands\Results_3.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faaiq\Documents\Results_2.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faaiq\Documents\HHbands\Results_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116695170545799"/>
          <c:y val="3.3424491036159222E-2"/>
          <c:w val="0.85457725998142187"/>
          <c:h val="0.76808379809406235"/>
        </c:manualLayout>
      </c:layout>
      <c:barChart>
        <c:barDir val="col"/>
        <c:grouping val="stacked"/>
        <c:varyColors val="0"/>
        <c:ser>
          <c:idx val="2"/>
          <c:order val="0"/>
          <c:tx>
            <c:strRef>
              <c:f>AggHHcons!$H$67</c:f>
              <c:strCache>
                <c:ptCount val="1"/>
                <c:pt idx="0">
                  <c:v>Food</c:v>
                </c:pt>
              </c:strCache>
            </c:strRef>
          </c:tx>
          <c:spPr>
            <a:solidFill>
              <a:srgbClr val="E7E6E6">
                <a:lumMod val="50000"/>
              </a:srgbClr>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AggHHcons!$I$65:$W$65</c:f>
              <c:strCache>
                <c:ptCount val="15"/>
                <c:pt idx="0">
                  <c:v>1</c:v>
                </c:pt>
                <c:pt idx="1">
                  <c:v>2</c:v>
                </c:pt>
                <c:pt idx="2">
                  <c:v>3</c:v>
                </c:pt>
                <c:pt idx="3">
                  <c:v>4</c:v>
                </c:pt>
                <c:pt idx="4">
                  <c:v>5</c:v>
                </c:pt>
                <c:pt idx="5">
                  <c:v>6</c:v>
                </c:pt>
                <c:pt idx="6">
                  <c:v>7</c:v>
                </c:pt>
                <c:pt idx="7">
                  <c:v>8</c:v>
                </c:pt>
                <c:pt idx="8">
                  <c:v>9</c:v>
                </c:pt>
                <c:pt idx="9">
                  <c:v>10</c:v>
                </c:pt>
                <c:pt idx="11">
                  <c:v>Low</c:v>
                </c:pt>
                <c:pt idx="12">
                  <c:v>Middle</c:v>
                </c:pt>
                <c:pt idx="13">
                  <c:v>High</c:v>
                </c:pt>
                <c:pt idx="14">
                  <c:v>All</c:v>
                </c:pt>
              </c:strCache>
            </c:strRef>
          </c:cat>
          <c:val>
            <c:numRef>
              <c:f>AggHHcons!$I$67:$W$67</c:f>
              <c:numCache>
                <c:formatCode>0%</c:formatCode>
                <c:ptCount val="15"/>
                <c:pt idx="0">
                  <c:v>0.5455700294865109</c:v>
                </c:pt>
                <c:pt idx="1">
                  <c:v>0.50119498307587473</c:v>
                </c:pt>
                <c:pt idx="2">
                  <c:v>0.47770393013089824</c:v>
                </c:pt>
                <c:pt idx="3">
                  <c:v>0.44964306867247722</c:v>
                </c:pt>
                <c:pt idx="4">
                  <c:v>0.40544348957206533</c:v>
                </c:pt>
                <c:pt idx="5">
                  <c:v>0.3781379559703863</c:v>
                </c:pt>
                <c:pt idx="6">
                  <c:v>0.32345516912010153</c:v>
                </c:pt>
                <c:pt idx="7">
                  <c:v>0.2476832436592899</c:v>
                </c:pt>
                <c:pt idx="8">
                  <c:v>0.1923744205674128</c:v>
                </c:pt>
                <c:pt idx="9">
                  <c:v>0.13451883191629455</c:v>
                </c:pt>
                <c:pt idx="11">
                  <c:v>0.46382944119451647</c:v>
                </c:pt>
                <c:pt idx="12">
                  <c:v>0.30453702144235706</c:v>
                </c:pt>
                <c:pt idx="13">
                  <c:v>0.15285802329318326</c:v>
                </c:pt>
                <c:pt idx="14">
                  <c:v>0.24536944160018218</c:v>
                </c:pt>
              </c:numCache>
            </c:numRef>
          </c:val>
          <c:extLst>
            <c:ext xmlns:c16="http://schemas.microsoft.com/office/drawing/2014/chart" uri="{C3380CC4-5D6E-409C-BE32-E72D297353CC}">
              <c16:uniqueId val="{00000000-6396-4F16-BBB2-74902CEA5E84}"/>
            </c:ext>
          </c:extLst>
        </c:ser>
        <c:ser>
          <c:idx val="5"/>
          <c:order val="1"/>
          <c:tx>
            <c:strRef>
              <c:f>AggHHcons!$H$66</c:f>
              <c:strCache>
                <c:ptCount val="1"/>
                <c:pt idx="0">
                  <c:v>Clothing</c:v>
                </c:pt>
              </c:strCache>
            </c:strRef>
          </c:tx>
          <c:spPr>
            <a:solidFill>
              <a:srgbClr val="E7E6E6">
                <a:lumMod val="75000"/>
              </a:srgbClr>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AggHHcons!$I$65:$W$65</c:f>
              <c:strCache>
                <c:ptCount val="15"/>
                <c:pt idx="0">
                  <c:v>1</c:v>
                </c:pt>
                <c:pt idx="1">
                  <c:v>2</c:v>
                </c:pt>
                <c:pt idx="2">
                  <c:v>3</c:v>
                </c:pt>
                <c:pt idx="3">
                  <c:v>4</c:v>
                </c:pt>
                <c:pt idx="4">
                  <c:v>5</c:v>
                </c:pt>
                <c:pt idx="5">
                  <c:v>6</c:v>
                </c:pt>
                <c:pt idx="6">
                  <c:v>7</c:v>
                </c:pt>
                <c:pt idx="7">
                  <c:v>8</c:v>
                </c:pt>
                <c:pt idx="8">
                  <c:v>9</c:v>
                </c:pt>
                <c:pt idx="9">
                  <c:v>10</c:v>
                </c:pt>
                <c:pt idx="11">
                  <c:v>Low</c:v>
                </c:pt>
                <c:pt idx="12">
                  <c:v>Middle</c:v>
                </c:pt>
                <c:pt idx="13">
                  <c:v>High</c:v>
                </c:pt>
                <c:pt idx="14">
                  <c:v>All</c:v>
                </c:pt>
              </c:strCache>
            </c:strRef>
          </c:cat>
          <c:val>
            <c:numRef>
              <c:f>AggHHcons!$I$66:$W$66</c:f>
              <c:numCache>
                <c:formatCode>0%</c:formatCode>
                <c:ptCount val="15"/>
                <c:pt idx="0">
                  <c:v>7.7873353240120985E-2</c:v>
                </c:pt>
                <c:pt idx="1">
                  <c:v>7.889901940389217E-2</c:v>
                </c:pt>
                <c:pt idx="2">
                  <c:v>8.0847337908998257E-2</c:v>
                </c:pt>
                <c:pt idx="3">
                  <c:v>8.4041310532139313E-2</c:v>
                </c:pt>
                <c:pt idx="4">
                  <c:v>8.0957544286191035E-2</c:v>
                </c:pt>
                <c:pt idx="5">
                  <c:v>7.6473605312494669E-2</c:v>
                </c:pt>
                <c:pt idx="6">
                  <c:v>7.5537200116686049E-2</c:v>
                </c:pt>
                <c:pt idx="7">
                  <c:v>6.8617101672756017E-2</c:v>
                </c:pt>
                <c:pt idx="8">
                  <c:v>5.1280600971002094E-2</c:v>
                </c:pt>
                <c:pt idx="9">
                  <c:v>3.4730227075660772E-2</c:v>
                </c:pt>
                <c:pt idx="11">
                  <c:v>8.0946215315149173E-2</c:v>
                </c:pt>
                <c:pt idx="12">
                  <c:v>7.2783890990398406E-2</c:v>
                </c:pt>
                <c:pt idx="13">
                  <c:v>3.9976400890536661E-2</c:v>
                </c:pt>
                <c:pt idx="14">
                  <c:v>5.5170379050691568E-2</c:v>
                </c:pt>
              </c:numCache>
            </c:numRef>
          </c:val>
          <c:extLst>
            <c:ext xmlns:c16="http://schemas.microsoft.com/office/drawing/2014/chart" uri="{C3380CC4-5D6E-409C-BE32-E72D297353CC}">
              <c16:uniqueId val="{00000001-6396-4F16-BBB2-74902CEA5E84}"/>
            </c:ext>
          </c:extLst>
        </c:ser>
        <c:ser>
          <c:idx val="6"/>
          <c:order val="2"/>
          <c:tx>
            <c:strRef>
              <c:f>AggHHcons!$H$68</c:f>
              <c:strCache>
                <c:ptCount val="1"/>
                <c:pt idx="0">
                  <c:v>Vehicles and parts</c:v>
                </c:pt>
              </c:strCache>
            </c:strRef>
          </c:tx>
          <c:spPr>
            <a:solidFill>
              <a:schemeClr val="bg2">
                <a:lumMod val="90000"/>
              </a:schemeClr>
            </a:solidFill>
            <a:ln>
              <a:solidFill>
                <a:schemeClr val="tx1"/>
              </a:solidFill>
            </a:ln>
            <a:effectLst/>
          </c:spPr>
          <c:invertIfNegative val="0"/>
          <c:dLbls>
            <c:dLbl>
              <c:idx val="8"/>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396-4F16-BBB2-74902CEA5E84}"/>
                </c:ext>
              </c:extLst>
            </c:dLbl>
            <c:dLbl>
              <c:idx val="9"/>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396-4F16-BBB2-74902CEA5E84}"/>
                </c:ext>
              </c:extLst>
            </c:dLbl>
            <c:dLbl>
              <c:idx val="13"/>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396-4F16-BBB2-74902CEA5E84}"/>
                </c:ext>
              </c:extLst>
            </c:dLbl>
            <c:dLbl>
              <c:idx val="14"/>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396-4F16-BBB2-74902CEA5E8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AggHHcons!$I$65:$W$65</c:f>
              <c:strCache>
                <c:ptCount val="15"/>
                <c:pt idx="0">
                  <c:v>1</c:v>
                </c:pt>
                <c:pt idx="1">
                  <c:v>2</c:v>
                </c:pt>
                <c:pt idx="2">
                  <c:v>3</c:v>
                </c:pt>
                <c:pt idx="3">
                  <c:v>4</c:v>
                </c:pt>
                <c:pt idx="4">
                  <c:v>5</c:v>
                </c:pt>
                <c:pt idx="5">
                  <c:v>6</c:v>
                </c:pt>
                <c:pt idx="6">
                  <c:v>7</c:v>
                </c:pt>
                <c:pt idx="7">
                  <c:v>8</c:v>
                </c:pt>
                <c:pt idx="8">
                  <c:v>9</c:v>
                </c:pt>
                <c:pt idx="9">
                  <c:v>10</c:v>
                </c:pt>
                <c:pt idx="11">
                  <c:v>Low</c:v>
                </c:pt>
                <c:pt idx="12">
                  <c:v>Middle</c:v>
                </c:pt>
                <c:pt idx="13">
                  <c:v>High</c:v>
                </c:pt>
                <c:pt idx="14">
                  <c:v>All</c:v>
                </c:pt>
              </c:strCache>
            </c:strRef>
          </c:cat>
          <c:val>
            <c:numRef>
              <c:f>AggHHcons!$I$68:$W$68</c:f>
              <c:numCache>
                <c:formatCode>0%</c:formatCode>
                <c:ptCount val="15"/>
                <c:pt idx="0">
                  <c:v>2.8444106290037774E-3</c:v>
                </c:pt>
                <c:pt idx="1">
                  <c:v>1.8348506541629437E-3</c:v>
                </c:pt>
                <c:pt idx="2">
                  <c:v>2.1411206695606429E-3</c:v>
                </c:pt>
                <c:pt idx="3">
                  <c:v>1.0882609861233245E-3</c:v>
                </c:pt>
                <c:pt idx="4">
                  <c:v>2.8038560617884723E-3</c:v>
                </c:pt>
                <c:pt idx="5">
                  <c:v>2.8221918411705854E-3</c:v>
                </c:pt>
                <c:pt idx="6">
                  <c:v>4.4924977473670353E-3</c:v>
                </c:pt>
                <c:pt idx="7">
                  <c:v>1.4811013415157752E-2</c:v>
                </c:pt>
                <c:pt idx="8">
                  <c:v>2.8672615520050786E-2</c:v>
                </c:pt>
                <c:pt idx="9">
                  <c:v>0.12139585405985132</c:v>
                </c:pt>
                <c:pt idx="11">
                  <c:v>2.104325157367587E-3</c:v>
                </c:pt>
                <c:pt idx="12">
                  <c:v>8.5286782315024748E-3</c:v>
                </c:pt>
                <c:pt idx="13">
                  <c:v>9.2004238551097267E-2</c:v>
                </c:pt>
                <c:pt idx="14">
                  <c:v>5.5971936521522207E-2</c:v>
                </c:pt>
              </c:numCache>
            </c:numRef>
          </c:val>
          <c:extLst>
            <c:ext xmlns:c16="http://schemas.microsoft.com/office/drawing/2014/chart" uri="{C3380CC4-5D6E-409C-BE32-E72D297353CC}">
              <c16:uniqueId val="{00000006-6396-4F16-BBB2-74902CEA5E84}"/>
            </c:ext>
          </c:extLst>
        </c:ser>
        <c:ser>
          <c:idx val="7"/>
          <c:order val="3"/>
          <c:tx>
            <c:strRef>
              <c:f>AggHHcons!$H$71</c:f>
              <c:strCache>
                <c:ptCount val="1"/>
                <c:pt idx="0">
                  <c:v>Other manufacturing</c:v>
                </c:pt>
              </c:strCache>
            </c:strRef>
          </c:tx>
          <c:spPr>
            <a:solidFill>
              <a:schemeClr val="accent5">
                <a:lumMod val="75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AggHHcons!$I$65:$W$65</c:f>
              <c:strCache>
                <c:ptCount val="15"/>
                <c:pt idx="0">
                  <c:v>1</c:v>
                </c:pt>
                <c:pt idx="1">
                  <c:v>2</c:v>
                </c:pt>
                <c:pt idx="2">
                  <c:v>3</c:v>
                </c:pt>
                <c:pt idx="3">
                  <c:v>4</c:v>
                </c:pt>
                <c:pt idx="4">
                  <c:v>5</c:v>
                </c:pt>
                <c:pt idx="5">
                  <c:v>6</c:v>
                </c:pt>
                <c:pt idx="6">
                  <c:v>7</c:v>
                </c:pt>
                <c:pt idx="7">
                  <c:v>8</c:v>
                </c:pt>
                <c:pt idx="8">
                  <c:v>9</c:v>
                </c:pt>
                <c:pt idx="9">
                  <c:v>10</c:v>
                </c:pt>
                <c:pt idx="11">
                  <c:v>Low</c:v>
                </c:pt>
                <c:pt idx="12">
                  <c:v>Middle</c:v>
                </c:pt>
                <c:pt idx="13">
                  <c:v>High</c:v>
                </c:pt>
                <c:pt idx="14">
                  <c:v>All</c:v>
                </c:pt>
              </c:strCache>
            </c:strRef>
          </c:cat>
          <c:val>
            <c:numRef>
              <c:f>AggHHcons!$I$71:$W$71</c:f>
              <c:numCache>
                <c:formatCode>0%</c:formatCode>
                <c:ptCount val="15"/>
                <c:pt idx="0">
                  <c:v>0.102255495892386</c:v>
                </c:pt>
                <c:pt idx="1">
                  <c:v>0.10435709901107473</c:v>
                </c:pt>
                <c:pt idx="2">
                  <c:v>0.11214803044720525</c:v>
                </c:pt>
                <c:pt idx="3">
                  <c:v>0.11136872291913955</c:v>
                </c:pt>
                <c:pt idx="4">
                  <c:v>0.1151922317641407</c:v>
                </c:pt>
                <c:pt idx="5">
                  <c:v>0.11542660319083635</c:v>
                </c:pt>
                <c:pt idx="6">
                  <c:v>0.11354249863022045</c:v>
                </c:pt>
                <c:pt idx="7">
                  <c:v>0.11735777768704062</c:v>
                </c:pt>
                <c:pt idx="8">
                  <c:v>0.11660193330477774</c:v>
                </c:pt>
                <c:pt idx="9">
                  <c:v>0.11346476256296466</c:v>
                </c:pt>
                <c:pt idx="11">
                  <c:v>0.11027687621946128</c:v>
                </c:pt>
                <c:pt idx="12">
                  <c:v>0.11566717083573709</c:v>
                </c:pt>
                <c:pt idx="13">
                  <c:v>0.1144591898250054</c:v>
                </c:pt>
                <c:pt idx="14">
                  <c:v>0.11397625966931302</c:v>
                </c:pt>
              </c:numCache>
            </c:numRef>
          </c:val>
          <c:extLst>
            <c:ext xmlns:c16="http://schemas.microsoft.com/office/drawing/2014/chart" uri="{C3380CC4-5D6E-409C-BE32-E72D297353CC}">
              <c16:uniqueId val="{00000007-6396-4F16-BBB2-74902CEA5E84}"/>
            </c:ext>
          </c:extLst>
        </c:ser>
        <c:ser>
          <c:idx val="3"/>
          <c:order val="4"/>
          <c:tx>
            <c:strRef>
              <c:f>AggHHcons!$H$69</c:f>
              <c:strCache>
                <c:ptCount val="1"/>
                <c:pt idx="0">
                  <c:v>Electricity</c:v>
                </c:pt>
              </c:strCache>
            </c:strRef>
          </c:tx>
          <c:spPr>
            <a:solidFill>
              <a:schemeClr val="accent5">
                <a:lumMod val="60000"/>
                <a:lumOff val="40000"/>
              </a:schemeClr>
            </a:solidFill>
            <a:ln>
              <a:solidFill>
                <a:schemeClr val="tx1"/>
              </a:solidFill>
            </a:ln>
            <a:effectLst/>
          </c:spPr>
          <c:invertIfNegative val="0"/>
          <c:dLbls>
            <c:delete val="1"/>
          </c:dLbls>
          <c:cat>
            <c:strRef>
              <c:f>AggHHcons!$I$65:$W$65</c:f>
              <c:strCache>
                <c:ptCount val="15"/>
                <c:pt idx="0">
                  <c:v>1</c:v>
                </c:pt>
                <c:pt idx="1">
                  <c:v>2</c:v>
                </c:pt>
                <c:pt idx="2">
                  <c:v>3</c:v>
                </c:pt>
                <c:pt idx="3">
                  <c:v>4</c:v>
                </c:pt>
                <c:pt idx="4">
                  <c:v>5</c:v>
                </c:pt>
                <c:pt idx="5">
                  <c:v>6</c:v>
                </c:pt>
                <c:pt idx="6">
                  <c:v>7</c:v>
                </c:pt>
                <c:pt idx="7">
                  <c:v>8</c:v>
                </c:pt>
                <c:pt idx="8">
                  <c:v>9</c:v>
                </c:pt>
                <c:pt idx="9">
                  <c:v>10</c:v>
                </c:pt>
                <c:pt idx="11">
                  <c:v>Low</c:v>
                </c:pt>
                <c:pt idx="12">
                  <c:v>Middle</c:v>
                </c:pt>
                <c:pt idx="13">
                  <c:v>High</c:v>
                </c:pt>
                <c:pt idx="14">
                  <c:v>All</c:v>
                </c:pt>
              </c:strCache>
            </c:strRef>
          </c:cat>
          <c:val>
            <c:numRef>
              <c:f>AggHHcons!$I$69:$W$69</c:f>
              <c:numCache>
                <c:formatCode>0%</c:formatCode>
                <c:ptCount val="15"/>
                <c:pt idx="0">
                  <c:v>1.4458264833924928E-2</c:v>
                </c:pt>
                <c:pt idx="1">
                  <c:v>1.5963549029288246E-2</c:v>
                </c:pt>
                <c:pt idx="2">
                  <c:v>1.5659563773369734E-2</c:v>
                </c:pt>
                <c:pt idx="3">
                  <c:v>1.6203596661115184E-2</c:v>
                </c:pt>
                <c:pt idx="4">
                  <c:v>1.7277793801874046E-2</c:v>
                </c:pt>
                <c:pt idx="5">
                  <c:v>1.7027474683256487E-2</c:v>
                </c:pt>
                <c:pt idx="6">
                  <c:v>1.7291435896398755E-2</c:v>
                </c:pt>
                <c:pt idx="7">
                  <c:v>2.0616684036975131E-2</c:v>
                </c:pt>
                <c:pt idx="8">
                  <c:v>1.7154088190508017E-2</c:v>
                </c:pt>
                <c:pt idx="9">
                  <c:v>1.1825273596312144E-2</c:v>
                </c:pt>
                <c:pt idx="11">
                  <c:v>1.6127565680032062E-2</c:v>
                </c:pt>
                <c:pt idx="12">
                  <c:v>1.8661467588661124E-2</c:v>
                </c:pt>
                <c:pt idx="13">
                  <c:v>1.3514412933295222E-2</c:v>
                </c:pt>
                <c:pt idx="14">
                  <c:v>1.5199458178239077E-2</c:v>
                </c:pt>
              </c:numCache>
            </c:numRef>
          </c:val>
          <c:extLst>
            <c:ext xmlns:c16="http://schemas.microsoft.com/office/drawing/2014/chart" uri="{C3380CC4-5D6E-409C-BE32-E72D297353CC}">
              <c16:uniqueId val="{00000008-6396-4F16-BBB2-74902CEA5E84}"/>
            </c:ext>
          </c:extLst>
        </c:ser>
        <c:ser>
          <c:idx val="4"/>
          <c:order val="5"/>
          <c:tx>
            <c:strRef>
              <c:f>AggHHcons!$H$75</c:f>
              <c:strCache>
                <c:ptCount val="1"/>
                <c:pt idx="0">
                  <c:v>Petrol/diesel</c:v>
                </c:pt>
              </c:strCache>
            </c:strRef>
          </c:tx>
          <c:spPr>
            <a:solidFill>
              <a:srgbClr val="00B0F0"/>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AggHHcons!$I$65:$W$65</c:f>
              <c:strCache>
                <c:ptCount val="15"/>
                <c:pt idx="0">
                  <c:v>1</c:v>
                </c:pt>
                <c:pt idx="1">
                  <c:v>2</c:v>
                </c:pt>
                <c:pt idx="2">
                  <c:v>3</c:v>
                </c:pt>
                <c:pt idx="3">
                  <c:v>4</c:v>
                </c:pt>
                <c:pt idx="4">
                  <c:v>5</c:v>
                </c:pt>
                <c:pt idx="5">
                  <c:v>6</c:v>
                </c:pt>
                <c:pt idx="6">
                  <c:v>7</c:v>
                </c:pt>
                <c:pt idx="7">
                  <c:v>8</c:v>
                </c:pt>
                <c:pt idx="8">
                  <c:v>9</c:v>
                </c:pt>
                <c:pt idx="9">
                  <c:v>10</c:v>
                </c:pt>
                <c:pt idx="11">
                  <c:v>Low</c:v>
                </c:pt>
                <c:pt idx="12">
                  <c:v>Middle</c:v>
                </c:pt>
                <c:pt idx="13">
                  <c:v>High</c:v>
                </c:pt>
                <c:pt idx="14">
                  <c:v>All</c:v>
                </c:pt>
              </c:strCache>
            </c:strRef>
          </c:cat>
          <c:val>
            <c:numRef>
              <c:f>AggHHcons!$I$75:$W$75</c:f>
              <c:numCache>
                <c:formatCode>0%</c:formatCode>
                <c:ptCount val="15"/>
                <c:pt idx="0">
                  <c:v>2.0520763255842248E-2</c:v>
                </c:pt>
                <c:pt idx="1">
                  <c:v>2.3459119764385115E-2</c:v>
                </c:pt>
                <c:pt idx="2">
                  <c:v>2.9397395864372632E-2</c:v>
                </c:pt>
                <c:pt idx="3">
                  <c:v>3.0578709869717748E-2</c:v>
                </c:pt>
                <c:pt idx="4">
                  <c:v>4.7125981840545374E-2</c:v>
                </c:pt>
                <c:pt idx="5">
                  <c:v>4.0194503025065068E-2</c:v>
                </c:pt>
                <c:pt idx="6">
                  <c:v>4.9740478359812761E-2</c:v>
                </c:pt>
                <c:pt idx="7">
                  <c:v>6.1973387613017614E-2</c:v>
                </c:pt>
                <c:pt idx="8">
                  <c:v>3.7699830928950129E-2</c:v>
                </c:pt>
                <c:pt idx="9">
                  <c:v>3.0193833476896994E-2</c:v>
                </c:pt>
                <c:pt idx="11">
                  <c:v>3.2368000001622113E-2</c:v>
                </c:pt>
                <c:pt idx="12">
                  <c:v>5.2613282152270881E-2</c:v>
                </c:pt>
                <c:pt idx="13">
                  <c:v>3.2573101011062526E-2</c:v>
                </c:pt>
                <c:pt idx="14">
                  <c:v>3.7232681208156558E-2</c:v>
                </c:pt>
              </c:numCache>
            </c:numRef>
          </c:val>
          <c:extLst>
            <c:ext xmlns:c16="http://schemas.microsoft.com/office/drawing/2014/chart" uri="{C3380CC4-5D6E-409C-BE32-E72D297353CC}">
              <c16:uniqueId val="{00000009-6396-4F16-BBB2-74902CEA5E84}"/>
            </c:ext>
          </c:extLst>
        </c:ser>
        <c:ser>
          <c:idx val="9"/>
          <c:order val="6"/>
          <c:tx>
            <c:strRef>
              <c:f>AggHHcons!$H$76</c:f>
              <c:strCache>
                <c:ptCount val="1"/>
                <c:pt idx="0">
                  <c:v>Other liquid fuels</c:v>
                </c:pt>
              </c:strCache>
            </c:strRef>
          </c:tx>
          <c:spPr>
            <a:solidFill>
              <a:srgbClr val="5B9BD5">
                <a:lumMod val="40000"/>
                <a:lumOff val="60000"/>
              </a:srgbClr>
            </a:solidFill>
            <a:ln>
              <a:solidFill>
                <a:sysClr val="windowText" lastClr="000000"/>
              </a:solidFill>
            </a:ln>
            <a:effectLst/>
          </c:spPr>
          <c:invertIfNegative val="0"/>
          <c:dLbls>
            <c:delete val="1"/>
          </c:dLbls>
          <c:cat>
            <c:strRef>
              <c:f>AggHHcons!$I$65:$W$65</c:f>
              <c:strCache>
                <c:ptCount val="15"/>
                <c:pt idx="0">
                  <c:v>1</c:v>
                </c:pt>
                <c:pt idx="1">
                  <c:v>2</c:v>
                </c:pt>
                <c:pt idx="2">
                  <c:v>3</c:v>
                </c:pt>
                <c:pt idx="3">
                  <c:v>4</c:v>
                </c:pt>
                <c:pt idx="4">
                  <c:v>5</c:v>
                </c:pt>
                <c:pt idx="5">
                  <c:v>6</c:v>
                </c:pt>
                <c:pt idx="6">
                  <c:v>7</c:v>
                </c:pt>
                <c:pt idx="7">
                  <c:v>8</c:v>
                </c:pt>
                <c:pt idx="8">
                  <c:v>9</c:v>
                </c:pt>
                <c:pt idx="9">
                  <c:v>10</c:v>
                </c:pt>
                <c:pt idx="11">
                  <c:v>Low</c:v>
                </c:pt>
                <c:pt idx="12">
                  <c:v>Middle</c:v>
                </c:pt>
                <c:pt idx="13">
                  <c:v>High</c:v>
                </c:pt>
                <c:pt idx="14">
                  <c:v>All</c:v>
                </c:pt>
              </c:strCache>
            </c:strRef>
          </c:cat>
          <c:val>
            <c:numRef>
              <c:f>AggHHcons!$I$76:$W$76</c:f>
              <c:numCache>
                <c:formatCode>0%</c:formatCode>
                <c:ptCount val="15"/>
                <c:pt idx="0">
                  <c:v>4.9678000344772783E-3</c:v>
                </c:pt>
                <c:pt idx="1">
                  <c:v>5.6791365175532316E-3</c:v>
                </c:pt>
                <c:pt idx="2">
                  <c:v>7.1167130758157436E-3</c:v>
                </c:pt>
                <c:pt idx="3">
                  <c:v>7.4026932649206151E-3</c:v>
                </c:pt>
                <c:pt idx="4">
                  <c:v>1.1408564647106151E-2</c:v>
                </c:pt>
                <c:pt idx="5">
                  <c:v>2.4546076993233632E-3</c:v>
                </c:pt>
                <c:pt idx="6">
                  <c:v>3.0375636458022486E-3</c:v>
                </c:pt>
                <c:pt idx="7">
                  <c:v>3.7846059271638057E-3</c:v>
                </c:pt>
                <c:pt idx="8">
                  <c:v>9.2606429863828602E-5</c:v>
                </c:pt>
                <c:pt idx="9">
                  <c:v>7.4168585197857185E-5</c:v>
                </c:pt>
                <c:pt idx="11">
                  <c:v>7.8358562748994925E-3</c:v>
                </c:pt>
                <c:pt idx="12">
                  <c:v>3.2130007274154774E-3</c:v>
                </c:pt>
                <c:pt idx="13">
                  <c:v>8.0013053637122841E-5</c:v>
                </c:pt>
                <c:pt idx="14">
                  <c:v>2.2349627647328001E-3</c:v>
                </c:pt>
              </c:numCache>
            </c:numRef>
          </c:val>
          <c:extLst>
            <c:ext xmlns:c16="http://schemas.microsoft.com/office/drawing/2014/chart" uri="{C3380CC4-5D6E-409C-BE32-E72D297353CC}">
              <c16:uniqueId val="{0000000A-6396-4F16-BBB2-74902CEA5E84}"/>
            </c:ext>
          </c:extLst>
        </c:ser>
        <c:ser>
          <c:idx val="0"/>
          <c:order val="7"/>
          <c:tx>
            <c:strRef>
              <c:f>AggHHcons!$H$74</c:f>
              <c:strCache>
                <c:ptCount val="1"/>
                <c:pt idx="0">
                  <c:v>Other energy</c:v>
                </c:pt>
              </c:strCache>
            </c:strRef>
          </c:tx>
          <c:spPr>
            <a:solidFill>
              <a:srgbClr val="5B9BD5">
                <a:lumMod val="20000"/>
                <a:lumOff val="80000"/>
              </a:srgbClr>
            </a:solidFill>
            <a:ln>
              <a:solidFill>
                <a:sysClr val="windowText" lastClr="000000"/>
              </a:solidFill>
            </a:ln>
            <a:effectLst/>
          </c:spPr>
          <c:invertIfNegative val="0"/>
          <c:dLbls>
            <c:delete val="1"/>
          </c:dLbls>
          <c:cat>
            <c:strRef>
              <c:f>AggHHcons!$I$65:$W$65</c:f>
              <c:strCache>
                <c:ptCount val="15"/>
                <c:pt idx="0">
                  <c:v>1</c:v>
                </c:pt>
                <c:pt idx="1">
                  <c:v>2</c:v>
                </c:pt>
                <c:pt idx="2">
                  <c:v>3</c:v>
                </c:pt>
                <c:pt idx="3">
                  <c:v>4</c:v>
                </c:pt>
                <c:pt idx="4">
                  <c:v>5</c:v>
                </c:pt>
                <c:pt idx="5">
                  <c:v>6</c:v>
                </c:pt>
                <c:pt idx="6">
                  <c:v>7</c:v>
                </c:pt>
                <c:pt idx="7">
                  <c:v>8</c:v>
                </c:pt>
                <c:pt idx="8">
                  <c:v>9</c:v>
                </c:pt>
                <c:pt idx="9">
                  <c:v>10</c:v>
                </c:pt>
                <c:pt idx="11">
                  <c:v>Low</c:v>
                </c:pt>
                <c:pt idx="12">
                  <c:v>Middle</c:v>
                </c:pt>
                <c:pt idx="13">
                  <c:v>High</c:v>
                </c:pt>
                <c:pt idx="14">
                  <c:v>All</c:v>
                </c:pt>
              </c:strCache>
            </c:strRef>
          </c:cat>
          <c:val>
            <c:numRef>
              <c:f>AggHHcons!$I$74:$W$74</c:f>
              <c:numCache>
                <c:formatCode>0%</c:formatCode>
                <c:ptCount val="15"/>
                <c:pt idx="0">
                  <c:v>2.7439214167272757E-4</c:v>
                </c:pt>
                <c:pt idx="1">
                  <c:v>3.3834903546366211E-4</c:v>
                </c:pt>
                <c:pt idx="2">
                  <c:v>7.3089288760999507E-4</c:v>
                </c:pt>
                <c:pt idx="3">
                  <c:v>5.8012549418961286E-4</c:v>
                </c:pt>
                <c:pt idx="4">
                  <c:v>4.9079102893959667E-4</c:v>
                </c:pt>
                <c:pt idx="5">
                  <c:v>1.014358567811634E-3</c:v>
                </c:pt>
                <c:pt idx="6">
                  <c:v>5.1705557676097859E-4</c:v>
                </c:pt>
                <c:pt idx="7">
                  <c:v>1.0204362348964548E-4</c:v>
                </c:pt>
                <c:pt idx="8">
                  <c:v>1.2396782385074239E-5</c:v>
                </c:pt>
                <c:pt idx="9">
                  <c:v>3.1113269357802141E-5</c:v>
                </c:pt>
                <c:pt idx="11">
                  <c:v>5.0961318419980625E-4</c:v>
                </c:pt>
                <c:pt idx="12">
                  <c:v>4.6343116947123499E-4</c:v>
                </c:pt>
                <c:pt idx="13">
                  <c:v>2.5180476269035142E-5</c:v>
                </c:pt>
                <c:pt idx="14">
                  <c:v>2.1663293234988647E-4</c:v>
                </c:pt>
              </c:numCache>
            </c:numRef>
          </c:val>
          <c:extLst>
            <c:ext xmlns:c16="http://schemas.microsoft.com/office/drawing/2014/chart" uri="{C3380CC4-5D6E-409C-BE32-E72D297353CC}">
              <c16:uniqueId val="{0000000B-6396-4F16-BBB2-74902CEA5E84}"/>
            </c:ext>
          </c:extLst>
        </c:ser>
        <c:ser>
          <c:idx val="1"/>
          <c:order val="8"/>
          <c:tx>
            <c:strRef>
              <c:f>AggHHcons!$H$72</c:f>
              <c:strCache>
                <c:ptCount val="1"/>
                <c:pt idx="0">
                  <c:v>Transport services</c:v>
                </c:pt>
              </c:strCache>
            </c:strRef>
          </c:tx>
          <c:spPr>
            <a:solidFill>
              <a:srgbClr val="70AD47">
                <a:lumMod val="75000"/>
              </a:srgbClr>
            </a:solidFill>
            <a:ln>
              <a:solidFill>
                <a:sysClr val="windowText" lastClr="0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AggHHcons!$I$65:$W$65</c:f>
              <c:strCache>
                <c:ptCount val="15"/>
                <c:pt idx="0">
                  <c:v>1</c:v>
                </c:pt>
                <c:pt idx="1">
                  <c:v>2</c:v>
                </c:pt>
                <c:pt idx="2">
                  <c:v>3</c:v>
                </c:pt>
                <c:pt idx="3">
                  <c:v>4</c:v>
                </c:pt>
                <c:pt idx="4">
                  <c:v>5</c:v>
                </c:pt>
                <c:pt idx="5">
                  <c:v>6</c:v>
                </c:pt>
                <c:pt idx="6">
                  <c:v>7</c:v>
                </c:pt>
                <c:pt idx="7">
                  <c:v>8</c:v>
                </c:pt>
                <c:pt idx="8">
                  <c:v>9</c:v>
                </c:pt>
                <c:pt idx="9">
                  <c:v>10</c:v>
                </c:pt>
                <c:pt idx="11">
                  <c:v>Low</c:v>
                </c:pt>
                <c:pt idx="12">
                  <c:v>Middle</c:v>
                </c:pt>
                <c:pt idx="13">
                  <c:v>High</c:v>
                </c:pt>
                <c:pt idx="14">
                  <c:v>All</c:v>
                </c:pt>
              </c:strCache>
            </c:strRef>
          </c:cat>
          <c:val>
            <c:numRef>
              <c:f>AggHHcons!$I$72:$W$72</c:f>
              <c:numCache>
                <c:formatCode>0%</c:formatCode>
                <c:ptCount val="15"/>
                <c:pt idx="0">
                  <c:v>5.6632748991330098E-2</c:v>
                </c:pt>
                <c:pt idx="1">
                  <c:v>6.451813325754624E-2</c:v>
                </c:pt>
                <c:pt idx="2">
                  <c:v>6.341911826314435E-2</c:v>
                </c:pt>
                <c:pt idx="3">
                  <c:v>7.1906219619315009E-2</c:v>
                </c:pt>
                <c:pt idx="4">
                  <c:v>6.098247186510429E-2</c:v>
                </c:pt>
                <c:pt idx="5">
                  <c:v>8.3171539772490935E-2</c:v>
                </c:pt>
                <c:pt idx="6">
                  <c:v>7.5819500710986074E-2</c:v>
                </c:pt>
                <c:pt idx="7">
                  <c:v>4.5881980096123411E-2</c:v>
                </c:pt>
                <c:pt idx="8">
                  <c:v>5.0552593643825861E-2</c:v>
                </c:pt>
                <c:pt idx="9">
                  <c:v>3.2430319329104056E-2</c:v>
                </c:pt>
                <c:pt idx="11">
                  <c:v>6.4131697508279753E-2</c:v>
                </c:pt>
                <c:pt idx="12">
                  <c:v>6.4742525546463356E-2</c:v>
                </c:pt>
                <c:pt idx="13">
                  <c:v>3.8174757586335997E-2</c:v>
                </c:pt>
                <c:pt idx="14">
                  <c:v>4.9156355938935969E-2</c:v>
                </c:pt>
              </c:numCache>
            </c:numRef>
          </c:val>
          <c:extLst>
            <c:ext xmlns:c16="http://schemas.microsoft.com/office/drawing/2014/chart" uri="{C3380CC4-5D6E-409C-BE32-E72D297353CC}">
              <c16:uniqueId val="{0000000C-6396-4F16-BBB2-74902CEA5E84}"/>
            </c:ext>
          </c:extLst>
        </c:ser>
        <c:ser>
          <c:idx val="8"/>
          <c:order val="9"/>
          <c:tx>
            <c:strRef>
              <c:f>AggHHcons!$H$70</c:f>
              <c:strCache>
                <c:ptCount val="1"/>
                <c:pt idx="0">
                  <c:v>Other services</c:v>
                </c:pt>
              </c:strCache>
            </c:strRef>
          </c:tx>
          <c:spPr>
            <a:solidFill>
              <a:srgbClr val="70AD47">
                <a:lumMod val="60000"/>
                <a:lumOff val="40000"/>
              </a:srgbClr>
            </a:solidFill>
            <a:ln>
              <a:solidFill>
                <a:sysClr val="windowText" lastClr="0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AggHHcons!$I$65:$W$65</c:f>
              <c:strCache>
                <c:ptCount val="15"/>
                <c:pt idx="0">
                  <c:v>1</c:v>
                </c:pt>
                <c:pt idx="1">
                  <c:v>2</c:v>
                </c:pt>
                <c:pt idx="2">
                  <c:v>3</c:v>
                </c:pt>
                <c:pt idx="3">
                  <c:v>4</c:v>
                </c:pt>
                <c:pt idx="4">
                  <c:v>5</c:v>
                </c:pt>
                <c:pt idx="5">
                  <c:v>6</c:v>
                </c:pt>
                <c:pt idx="6">
                  <c:v>7</c:v>
                </c:pt>
                <c:pt idx="7">
                  <c:v>8</c:v>
                </c:pt>
                <c:pt idx="8">
                  <c:v>9</c:v>
                </c:pt>
                <c:pt idx="9">
                  <c:v>10</c:v>
                </c:pt>
                <c:pt idx="11">
                  <c:v>Low</c:v>
                </c:pt>
                <c:pt idx="12">
                  <c:v>Middle</c:v>
                </c:pt>
                <c:pt idx="13">
                  <c:v>High</c:v>
                </c:pt>
                <c:pt idx="14">
                  <c:v>All</c:v>
                </c:pt>
              </c:strCache>
            </c:strRef>
          </c:cat>
          <c:val>
            <c:numRef>
              <c:f>AggHHcons!$I$70:$W$70</c:f>
              <c:numCache>
                <c:formatCode>0%</c:formatCode>
                <c:ptCount val="15"/>
                <c:pt idx="0">
                  <c:v>0.14880497543435495</c:v>
                </c:pt>
                <c:pt idx="1">
                  <c:v>0.1727552788594891</c:v>
                </c:pt>
                <c:pt idx="2">
                  <c:v>0.18869939337404112</c:v>
                </c:pt>
                <c:pt idx="3">
                  <c:v>0.20599303689550372</c:v>
                </c:pt>
                <c:pt idx="4">
                  <c:v>0.24036452431312069</c:v>
                </c:pt>
                <c:pt idx="5">
                  <c:v>0.26536615088228244</c:v>
                </c:pt>
                <c:pt idx="6">
                  <c:v>0.32098935524863864</c:v>
                </c:pt>
                <c:pt idx="7">
                  <c:v>0.40768845732260267</c:v>
                </c:pt>
                <c:pt idx="8">
                  <c:v>0.49407090148944166</c:v>
                </c:pt>
                <c:pt idx="9">
                  <c:v>0.51194562210412797</c:v>
                </c:pt>
                <c:pt idx="11">
                  <c:v>0.1991562281505258</c:v>
                </c:pt>
                <c:pt idx="12">
                  <c:v>0.34439114403875931</c:v>
                </c:pt>
                <c:pt idx="13">
                  <c:v>0.50627965396165686</c:v>
                </c:pt>
                <c:pt idx="14">
                  <c:v>0.41208009156126868</c:v>
                </c:pt>
              </c:numCache>
            </c:numRef>
          </c:val>
          <c:extLst>
            <c:ext xmlns:c16="http://schemas.microsoft.com/office/drawing/2014/chart" uri="{C3380CC4-5D6E-409C-BE32-E72D297353CC}">
              <c16:uniqueId val="{0000000D-6396-4F16-BBB2-74902CEA5E84}"/>
            </c:ext>
          </c:extLst>
        </c:ser>
        <c:ser>
          <c:idx val="10"/>
          <c:order val="10"/>
          <c:tx>
            <c:strRef>
              <c:f>AggHHcons!$H$73</c:f>
              <c:strCache>
                <c:ptCount val="1"/>
                <c:pt idx="0">
                  <c:v>Other</c:v>
                </c:pt>
              </c:strCache>
            </c:strRef>
          </c:tx>
          <c:spPr>
            <a:solidFill>
              <a:srgbClr val="70AD47">
                <a:lumMod val="20000"/>
                <a:lumOff val="80000"/>
              </a:srgbClr>
            </a:solidFill>
            <a:ln>
              <a:solidFill>
                <a:schemeClr val="tx1"/>
              </a:solidFill>
            </a:ln>
            <a:effectLst/>
          </c:spPr>
          <c:invertIfNegative val="0"/>
          <c:dLbls>
            <c:delete val="1"/>
          </c:dLbls>
          <c:cat>
            <c:strRef>
              <c:f>AggHHcons!$I$65:$W$65</c:f>
              <c:strCache>
                <c:ptCount val="15"/>
                <c:pt idx="0">
                  <c:v>1</c:v>
                </c:pt>
                <c:pt idx="1">
                  <c:v>2</c:v>
                </c:pt>
                <c:pt idx="2">
                  <c:v>3</c:v>
                </c:pt>
                <c:pt idx="3">
                  <c:v>4</c:v>
                </c:pt>
                <c:pt idx="4">
                  <c:v>5</c:v>
                </c:pt>
                <c:pt idx="5">
                  <c:v>6</c:v>
                </c:pt>
                <c:pt idx="6">
                  <c:v>7</c:v>
                </c:pt>
                <c:pt idx="7">
                  <c:v>8</c:v>
                </c:pt>
                <c:pt idx="8">
                  <c:v>9</c:v>
                </c:pt>
                <c:pt idx="9">
                  <c:v>10</c:v>
                </c:pt>
                <c:pt idx="11">
                  <c:v>Low</c:v>
                </c:pt>
                <c:pt idx="12">
                  <c:v>Middle</c:v>
                </c:pt>
                <c:pt idx="13">
                  <c:v>High</c:v>
                </c:pt>
                <c:pt idx="14">
                  <c:v>All</c:v>
                </c:pt>
              </c:strCache>
            </c:strRef>
          </c:cat>
          <c:val>
            <c:numRef>
              <c:f>AggHHcons!$I$73:$W$73</c:f>
              <c:numCache>
                <c:formatCode>0%</c:formatCode>
                <c:ptCount val="15"/>
                <c:pt idx="0">
                  <c:v>2.5797766060376079E-2</c:v>
                </c:pt>
                <c:pt idx="1">
                  <c:v>3.1000481391269853E-2</c:v>
                </c:pt>
                <c:pt idx="2">
                  <c:v>2.2136503604984165E-2</c:v>
                </c:pt>
                <c:pt idx="3">
                  <c:v>2.1194255085358729E-2</c:v>
                </c:pt>
                <c:pt idx="4">
                  <c:v>1.7952750819124345E-2</c:v>
                </c:pt>
                <c:pt idx="5">
                  <c:v>1.7911009054882385E-2</c:v>
                </c:pt>
                <c:pt idx="6">
                  <c:v>1.557724494722547E-2</c:v>
                </c:pt>
                <c:pt idx="7">
                  <c:v>1.1483704946383323E-2</c:v>
                </c:pt>
                <c:pt idx="8">
                  <c:v>1.1488012171782008E-2</c:v>
                </c:pt>
                <c:pt idx="9">
                  <c:v>9.3899940242320543E-3</c:v>
                </c:pt>
                <c:pt idx="11">
                  <c:v>2.2714181313946157E-2</c:v>
                </c:pt>
                <c:pt idx="12">
                  <c:v>1.4398387276963659E-2</c:v>
                </c:pt>
                <c:pt idx="13">
                  <c:v>1.0055028417920837E-2</c:v>
                </c:pt>
                <c:pt idx="14">
                  <c:v>1.3391800574608027E-2</c:v>
                </c:pt>
              </c:numCache>
            </c:numRef>
          </c:val>
          <c:extLst>
            <c:ext xmlns:c16="http://schemas.microsoft.com/office/drawing/2014/chart" uri="{C3380CC4-5D6E-409C-BE32-E72D297353CC}">
              <c16:uniqueId val="{0000000E-6396-4F16-BBB2-74902CEA5E84}"/>
            </c:ext>
          </c:extLst>
        </c:ser>
        <c:dLbls>
          <c:dLblPos val="ctr"/>
          <c:showLegendKey val="0"/>
          <c:showVal val="1"/>
          <c:showCatName val="0"/>
          <c:showSerName val="0"/>
          <c:showPercent val="0"/>
          <c:showBubbleSize val="0"/>
        </c:dLbls>
        <c:gapWidth val="50"/>
        <c:overlap val="100"/>
        <c:axId val="387808112"/>
        <c:axId val="387808752"/>
        <c:extLst/>
      </c:barChart>
      <c:catAx>
        <c:axId val="38780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752"/>
        <c:crosses val="autoZero"/>
        <c:auto val="1"/>
        <c:lblAlgn val="ctr"/>
        <c:lblOffset val="100"/>
        <c:tickLblSkip val="1"/>
        <c:noMultiLvlLbl val="0"/>
      </c:catAx>
      <c:valAx>
        <c:axId val="38780875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a:t>Share of total household consumption expenditure</a:t>
                </a:r>
              </a:p>
            </c:rich>
          </c:tx>
          <c:layout>
            <c:manualLayout>
              <c:xMode val="edge"/>
              <c:yMode val="edge"/>
              <c:x val="1.5403901414197537E-2"/>
              <c:y val="0.13289572850795656"/>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112"/>
        <c:crosses val="autoZero"/>
        <c:crossBetween val="between"/>
      </c:valAx>
      <c:spPr>
        <a:noFill/>
        <a:ln>
          <a:noFill/>
        </a:ln>
        <a:effectLst/>
      </c:spPr>
    </c:plotArea>
    <c:legend>
      <c:legendPos val="b"/>
      <c:layout>
        <c:manualLayout>
          <c:xMode val="edge"/>
          <c:yMode val="edge"/>
          <c:x val="4.6922680223087869E-2"/>
          <c:y val="0.87712037362695205"/>
          <c:w val="0.91202075403589844"/>
          <c:h val="0.1107539770837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5"/>
          <c:order val="0"/>
          <c:tx>
            <c:strRef>
              <c:f>Energy!$B$45</c:f>
              <c:strCache>
                <c:ptCount val="1"/>
                <c:pt idx="0">
                  <c:v>Coal</c:v>
                </c:pt>
              </c:strCache>
            </c:strRef>
          </c:tx>
          <c:spPr>
            <a:solidFill>
              <a:schemeClr val="bg2">
                <a:lumMod val="50000"/>
              </a:schemeClr>
            </a:solidFill>
            <a:ln>
              <a:solidFill>
                <a:schemeClr val="tx1"/>
              </a:solidFill>
            </a:ln>
            <a:effectLst/>
          </c:spPr>
          <c:invertIfNegative val="0"/>
          <c:dLbls>
            <c:dLbl>
              <c:idx val="11"/>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506-41C4-9A88-4988F9066490}"/>
                </c:ext>
              </c:extLst>
            </c:dLbl>
            <c:dLbl>
              <c:idx val="12"/>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506-41C4-9A88-4988F90664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Energy!$C$44:$P$44</c:f>
              <c:strCache>
                <c:ptCount val="14"/>
                <c:pt idx="0">
                  <c:v>1</c:v>
                </c:pt>
                <c:pt idx="1">
                  <c:v>2</c:v>
                </c:pt>
                <c:pt idx="2">
                  <c:v>3</c:v>
                </c:pt>
                <c:pt idx="3">
                  <c:v>4</c:v>
                </c:pt>
                <c:pt idx="4">
                  <c:v>5</c:v>
                </c:pt>
                <c:pt idx="5">
                  <c:v>6</c:v>
                </c:pt>
                <c:pt idx="6">
                  <c:v>7</c:v>
                </c:pt>
                <c:pt idx="7">
                  <c:v>8</c:v>
                </c:pt>
                <c:pt idx="8">
                  <c:v>9</c:v>
                </c:pt>
                <c:pt idx="9">
                  <c:v>10</c:v>
                </c:pt>
                <c:pt idx="11">
                  <c:v>Low</c:v>
                </c:pt>
                <c:pt idx="12">
                  <c:v>Middle</c:v>
                </c:pt>
                <c:pt idx="13">
                  <c:v>High</c:v>
                </c:pt>
              </c:strCache>
            </c:strRef>
          </c:cat>
          <c:val>
            <c:numRef>
              <c:f>Energy!$C$45:$P$45</c:f>
              <c:numCache>
                <c:formatCode>_-* #,##0_-;\-* #,##0_-;_-* "-"??_-;_-@_-</c:formatCode>
                <c:ptCount val="14"/>
                <c:pt idx="0">
                  <c:v>0.42337444417914599</c:v>
                </c:pt>
                <c:pt idx="1">
                  <c:v>0.715413325231402</c:v>
                </c:pt>
                <c:pt idx="2">
                  <c:v>1.9075139552514999</c:v>
                </c:pt>
                <c:pt idx="3">
                  <c:v>1.74114999024314</c:v>
                </c:pt>
                <c:pt idx="4">
                  <c:v>1.6707783899695501</c:v>
                </c:pt>
                <c:pt idx="5">
                  <c:v>4.1574779286132699</c:v>
                </c:pt>
                <c:pt idx="6">
                  <c:v>2.64275788275115</c:v>
                </c:pt>
                <c:pt idx="7">
                  <c:v>0.71498776402992004</c:v>
                </c:pt>
                <c:pt idx="8">
                  <c:v>0.15835195913893799</c:v>
                </c:pt>
                <c:pt idx="9">
                  <c:v>0.85636177255977397</c:v>
                </c:pt>
                <c:pt idx="11">
                  <c:v>6.4582301048747386</c:v>
                </c:pt>
                <c:pt idx="12">
                  <c:v>7.5152235753943399</c:v>
                </c:pt>
                <c:pt idx="13">
                  <c:v>1.014713731698712</c:v>
                </c:pt>
              </c:numCache>
            </c:numRef>
          </c:val>
          <c:extLst>
            <c:ext xmlns:c16="http://schemas.microsoft.com/office/drawing/2014/chart" uri="{C3380CC4-5D6E-409C-BE32-E72D297353CC}">
              <c16:uniqueId val="{00000002-4506-41C4-9A88-4988F9066490}"/>
            </c:ext>
          </c:extLst>
        </c:ser>
        <c:ser>
          <c:idx val="2"/>
          <c:order val="1"/>
          <c:tx>
            <c:strRef>
              <c:f>Energy!$B$46</c:f>
              <c:strCache>
                <c:ptCount val="1"/>
                <c:pt idx="0">
                  <c:v>Electricity</c:v>
                </c:pt>
              </c:strCache>
            </c:strRef>
          </c:tx>
          <c:spPr>
            <a:solidFill>
              <a:schemeClr val="accent3"/>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Energy!$C$44:$P$44</c:f>
              <c:strCache>
                <c:ptCount val="14"/>
                <c:pt idx="0">
                  <c:v>1</c:v>
                </c:pt>
                <c:pt idx="1">
                  <c:v>2</c:v>
                </c:pt>
                <c:pt idx="2">
                  <c:v>3</c:v>
                </c:pt>
                <c:pt idx="3">
                  <c:v>4</c:v>
                </c:pt>
                <c:pt idx="4">
                  <c:v>5</c:v>
                </c:pt>
                <c:pt idx="5">
                  <c:v>6</c:v>
                </c:pt>
                <c:pt idx="6">
                  <c:v>7</c:v>
                </c:pt>
                <c:pt idx="7">
                  <c:v>8</c:v>
                </c:pt>
                <c:pt idx="8">
                  <c:v>9</c:v>
                </c:pt>
                <c:pt idx="9">
                  <c:v>10</c:v>
                </c:pt>
                <c:pt idx="11">
                  <c:v>Low</c:v>
                </c:pt>
                <c:pt idx="12">
                  <c:v>Middle</c:v>
                </c:pt>
                <c:pt idx="13">
                  <c:v>High</c:v>
                </c:pt>
              </c:strCache>
            </c:strRef>
          </c:cat>
          <c:val>
            <c:numRef>
              <c:f>Energy!$C$46:$P$46</c:f>
              <c:numCache>
                <c:formatCode>_-* #,##0_-;\-* #,##0_-;_-* "-"??_-;_-@_-</c:formatCode>
                <c:ptCount val="14"/>
                <c:pt idx="0">
                  <c:v>3.45677292884724</c:v>
                </c:pt>
                <c:pt idx="1">
                  <c:v>5.2302595284672702</c:v>
                </c:pt>
                <c:pt idx="2">
                  <c:v>6.3327939059501501</c:v>
                </c:pt>
                <c:pt idx="3">
                  <c:v>7.5357653041156301</c:v>
                </c:pt>
                <c:pt idx="4">
                  <c:v>9.1140672125758293</c:v>
                </c:pt>
                <c:pt idx="5">
                  <c:v>10.814100475025199</c:v>
                </c:pt>
                <c:pt idx="6">
                  <c:v>13.6947123919532</c:v>
                </c:pt>
                <c:pt idx="7">
                  <c:v>22.3837712889157</c:v>
                </c:pt>
                <c:pt idx="8">
                  <c:v>33.953442102807898</c:v>
                </c:pt>
                <c:pt idx="9">
                  <c:v>50.434129337815001</c:v>
                </c:pt>
                <c:pt idx="11">
                  <c:v>31.669658879956121</c:v>
                </c:pt>
                <c:pt idx="12">
                  <c:v>46.892584155894099</c:v>
                </c:pt>
                <c:pt idx="13">
                  <c:v>84.387571440622906</c:v>
                </c:pt>
              </c:numCache>
            </c:numRef>
          </c:val>
          <c:extLst>
            <c:ext xmlns:c16="http://schemas.microsoft.com/office/drawing/2014/chart" uri="{C3380CC4-5D6E-409C-BE32-E72D297353CC}">
              <c16:uniqueId val="{00000003-4506-41C4-9A88-4988F9066490}"/>
            </c:ext>
          </c:extLst>
        </c:ser>
        <c:ser>
          <c:idx val="6"/>
          <c:order val="2"/>
          <c:tx>
            <c:strRef>
              <c:f>Energy!$B$47</c:f>
              <c:strCache>
                <c:ptCount val="1"/>
                <c:pt idx="0">
                  <c:v>Diesel</c:v>
                </c:pt>
              </c:strCache>
            </c:strRef>
          </c:tx>
          <c:spPr>
            <a:solidFill>
              <a:schemeClr val="bg2">
                <a:lumMod val="90000"/>
              </a:schemeClr>
            </a:solidFill>
            <a:ln>
              <a:solidFill>
                <a:schemeClr val="tx1"/>
              </a:solidFill>
            </a:ln>
            <a:effectLst/>
          </c:spPr>
          <c:invertIfNegative val="0"/>
          <c:dLbls>
            <c:dLbl>
              <c:idx val="8"/>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506-41C4-9A88-4988F9066490}"/>
                </c:ext>
              </c:extLst>
            </c:dLbl>
            <c:dLbl>
              <c:idx val="9"/>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506-41C4-9A88-4988F9066490}"/>
                </c:ext>
              </c:extLst>
            </c:dLbl>
            <c:dLbl>
              <c:idx val="11"/>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506-41C4-9A88-4988F9066490}"/>
                </c:ext>
              </c:extLst>
            </c:dLbl>
            <c:dLbl>
              <c:idx val="12"/>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506-41C4-9A88-4988F9066490}"/>
                </c:ext>
              </c:extLst>
            </c:dLbl>
            <c:dLbl>
              <c:idx val="13"/>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506-41C4-9A88-4988F90664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Energy!$C$44:$P$44</c:f>
              <c:strCache>
                <c:ptCount val="14"/>
                <c:pt idx="0">
                  <c:v>1</c:v>
                </c:pt>
                <c:pt idx="1">
                  <c:v>2</c:v>
                </c:pt>
                <c:pt idx="2">
                  <c:v>3</c:v>
                </c:pt>
                <c:pt idx="3">
                  <c:v>4</c:v>
                </c:pt>
                <c:pt idx="4">
                  <c:v>5</c:v>
                </c:pt>
                <c:pt idx="5">
                  <c:v>6</c:v>
                </c:pt>
                <c:pt idx="6">
                  <c:v>7</c:v>
                </c:pt>
                <c:pt idx="7">
                  <c:v>8</c:v>
                </c:pt>
                <c:pt idx="8">
                  <c:v>9</c:v>
                </c:pt>
                <c:pt idx="9">
                  <c:v>10</c:v>
                </c:pt>
                <c:pt idx="11">
                  <c:v>Low</c:v>
                </c:pt>
                <c:pt idx="12">
                  <c:v>Middle</c:v>
                </c:pt>
                <c:pt idx="13">
                  <c:v>High</c:v>
                </c:pt>
              </c:strCache>
            </c:strRef>
          </c:cat>
          <c:val>
            <c:numRef>
              <c:f>Energy!$C$47:$P$47</c:f>
              <c:numCache>
                <c:formatCode>_-* #,##0_-;\-* #,##0_-;_-* "-"??_-;_-@_-</c:formatCode>
                <c:ptCount val="14"/>
                <c:pt idx="0">
                  <c:v>0.29670706076478098</c:v>
                </c:pt>
                <c:pt idx="1">
                  <c:v>0.464820417025049</c:v>
                </c:pt>
                <c:pt idx="2">
                  <c:v>0.71895920769980504</c:v>
                </c:pt>
                <c:pt idx="3">
                  <c:v>0.860032360989191</c:v>
                </c:pt>
                <c:pt idx="4">
                  <c:v>1.50336365464252</c:v>
                </c:pt>
                <c:pt idx="5">
                  <c:v>1.5437839272584899</c:v>
                </c:pt>
                <c:pt idx="6">
                  <c:v>2.3823826037939102</c:v>
                </c:pt>
                <c:pt idx="7">
                  <c:v>4.0691094872798503</c:v>
                </c:pt>
                <c:pt idx="8">
                  <c:v>4.5126875735648602</c:v>
                </c:pt>
                <c:pt idx="9">
                  <c:v>7.7877370700225299</c:v>
                </c:pt>
                <c:pt idx="11">
                  <c:v>3.8438827011213461</c:v>
                </c:pt>
                <c:pt idx="12">
                  <c:v>7.99527601833225</c:v>
                </c:pt>
                <c:pt idx="13">
                  <c:v>12.300424643587391</c:v>
                </c:pt>
              </c:numCache>
            </c:numRef>
          </c:val>
          <c:extLst>
            <c:ext xmlns:c16="http://schemas.microsoft.com/office/drawing/2014/chart" uri="{C3380CC4-5D6E-409C-BE32-E72D297353CC}">
              <c16:uniqueId val="{00000009-4506-41C4-9A88-4988F9066490}"/>
            </c:ext>
          </c:extLst>
        </c:ser>
        <c:ser>
          <c:idx val="3"/>
          <c:order val="3"/>
          <c:tx>
            <c:strRef>
              <c:f>Energy!$B$49</c:f>
              <c:strCache>
                <c:ptCount val="1"/>
                <c:pt idx="0">
                  <c:v>Petrol</c:v>
                </c:pt>
              </c:strCache>
            </c:strRef>
          </c:tx>
          <c:spPr>
            <a:solidFill>
              <a:schemeClr val="accent5">
                <a:lumMod val="60000"/>
                <a:lumOff val="4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Energy!$C$44:$P$44</c:f>
              <c:strCache>
                <c:ptCount val="14"/>
                <c:pt idx="0">
                  <c:v>1</c:v>
                </c:pt>
                <c:pt idx="1">
                  <c:v>2</c:v>
                </c:pt>
                <c:pt idx="2">
                  <c:v>3</c:v>
                </c:pt>
                <c:pt idx="3">
                  <c:v>4</c:v>
                </c:pt>
                <c:pt idx="4">
                  <c:v>5</c:v>
                </c:pt>
                <c:pt idx="5">
                  <c:v>6</c:v>
                </c:pt>
                <c:pt idx="6">
                  <c:v>7</c:v>
                </c:pt>
                <c:pt idx="7">
                  <c:v>8</c:v>
                </c:pt>
                <c:pt idx="8">
                  <c:v>9</c:v>
                </c:pt>
                <c:pt idx="9">
                  <c:v>10</c:v>
                </c:pt>
                <c:pt idx="11">
                  <c:v>Low</c:v>
                </c:pt>
                <c:pt idx="12">
                  <c:v>Middle</c:v>
                </c:pt>
                <c:pt idx="13">
                  <c:v>High</c:v>
                </c:pt>
              </c:strCache>
            </c:strRef>
          </c:cat>
          <c:val>
            <c:numRef>
              <c:f>Energy!$C$49:$P$49</c:f>
              <c:numCache>
                <c:formatCode>_-* #,##0_-;\-* #,##0_-;_-* "-"??_-;_-@_-</c:formatCode>
                <c:ptCount val="14"/>
                <c:pt idx="0">
                  <c:v>2.2993353677593702</c:v>
                </c:pt>
                <c:pt idx="1">
                  <c:v>3.6021320886919201</c:v>
                </c:pt>
                <c:pt idx="2">
                  <c:v>5.5715840734604001</c:v>
                </c:pt>
                <c:pt idx="3">
                  <c:v>6.6648323768998399</c:v>
                </c:pt>
                <c:pt idx="4">
                  <c:v>11.650336910801199</c:v>
                </c:pt>
                <c:pt idx="5">
                  <c:v>11.963574358406399</c:v>
                </c:pt>
                <c:pt idx="6">
                  <c:v>18.462306108650999</c:v>
                </c:pt>
                <c:pt idx="7">
                  <c:v>31.5336188335754</c:v>
                </c:pt>
                <c:pt idx="8">
                  <c:v>34.971133193797002</c:v>
                </c:pt>
                <c:pt idx="9">
                  <c:v>60.351173422556798</c:v>
                </c:pt>
                <c:pt idx="11">
                  <c:v>29.788220817612732</c:v>
                </c:pt>
                <c:pt idx="12">
                  <c:v>61.9594993006328</c:v>
                </c:pt>
                <c:pt idx="13">
                  <c:v>95.322306616353799</c:v>
                </c:pt>
              </c:numCache>
            </c:numRef>
          </c:val>
          <c:extLst>
            <c:ext xmlns:c16="http://schemas.microsoft.com/office/drawing/2014/chart" uri="{C3380CC4-5D6E-409C-BE32-E72D297353CC}">
              <c16:uniqueId val="{0000000A-4506-41C4-9A88-4988F9066490}"/>
            </c:ext>
          </c:extLst>
        </c:ser>
        <c:ser>
          <c:idx val="7"/>
          <c:order val="4"/>
          <c:tx>
            <c:strRef>
              <c:f>Energy!$B$48</c:f>
              <c:strCache>
                <c:ptCount val="1"/>
                <c:pt idx="0">
                  <c:v>Other liquid fuels</c:v>
                </c:pt>
              </c:strCache>
            </c:strRef>
          </c:tx>
          <c:spPr>
            <a:solidFill>
              <a:schemeClr val="accent5">
                <a:lumMod val="75000"/>
              </a:schemeClr>
            </a:solidFill>
            <a:ln>
              <a:solidFill>
                <a:schemeClr val="tx1"/>
              </a:solidFill>
            </a:ln>
            <a:effectLst/>
          </c:spPr>
          <c:invertIfNegative val="0"/>
          <c:dLbls>
            <c:dLbl>
              <c:idx val="4"/>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506-41C4-9A88-4988F9066490}"/>
                </c:ext>
              </c:extLst>
            </c:dLbl>
            <c:dLbl>
              <c:idx val="7"/>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506-41C4-9A88-4988F9066490}"/>
                </c:ext>
              </c:extLst>
            </c:dLbl>
            <c:dLbl>
              <c:idx val="11"/>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506-41C4-9A88-4988F9066490}"/>
                </c:ext>
              </c:extLst>
            </c:dLbl>
            <c:dLbl>
              <c:idx val="12"/>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506-41C4-9A88-4988F90664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Energy!$C$44:$P$44</c:f>
              <c:strCache>
                <c:ptCount val="14"/>
                <c:pt idx="0">
                  <c:v>1</c:v>
                </c:pt>
                <c:pt idx="1">
                  <c:v>2</c:v>
                </c:pt>
                <c:pt idx="2">
                  <c:v>3</c:v>
                </c:pt>
                <c:pt idx="3">
                  <c:v>4</c:v>
                </c:pt>
                <c:pt idx="4">
                  <c:v>5</c:v>
                </c:pt>
                <c:pt idx="5">
                  <c:v>6</c:v>
                </c:pt>
                <c:pt idx="6">
                  <c:v>7</c:v>
                </c:pt>
                <c:pt idx="7">
                  <c:v>8</c:v>
                </c:pt>
                <c:pt idx="8">
                  <c:v>9</c:v>
                </c:pt>
                <c:pt idx="9">
                  <c:v>10</c:v>
                </c:pt>
                <c:pt idx="11">
                  <c:v>Low</c:v>
                </c:pt>
                <c:pt idx="12">
                  <c:v>Middle</c:v>
                </c:pt>
                <c:pt idx="13">
                  <c:v>High</c:v>
                </c:pt>
              </c:strCache>
            </c:strRef>
          </c:cat>
          <c:val>
            <c:numRef>
              <c:f>Energy!$C$48:$P$48</c:f>
              <c:numCache>
                <c:formatCode>_-* #,##0_-;\-* #,##0_-;_-* "-"??_-;_-@_-</c:formatCode>
                <c:ptCount val="14"/>
                <c:pt idx="0">
                  <c:v>1.85715558401283</c:v>
                </c:pt>
                <c:pt idx="1">
                  <c:v>2.9094145276358399</c:v>
                </c:pt>
                <c:pt idx="2">
                  <c:v>4.5001258271893896</c:v>
                </c:pt>
                <c:pt idx="3">
                  <c:v>5.3831341172865503</c:v>
                </c:pt>
                <c:pt idx="4">
                  <c:v>9.40988798454811</c:v>
                </c:pt>
                <c:pt idx="5">
                  <c:v>2.4375400204812498</c:v>
                </c:pt>
                <c:pt idx="6">
                  <c:v>3.7616358340759199</c:v>
                </c:pt>
                <c:pt idx="7">
                  <c:v>6.4248740046014401</c:v>
                </c:pt>
                <c:pt idx="8">
                  <c:v>0.28660701582235998</c:v>
                </c:pt>
                <c:pt idx="9">
                  <c:v>0.494609929285518</c:v>
                </c:pt>
                <c:pt idx="11">
                  <c:v>24.05971804067272</c:v>
                </c:pt>
                <c:pt idx="12">
                  <c:v>12.62404985915861</c:v>
                </c:pt>
                <c:pt idx="13">
                  <c:v>0.78121694510787798</c:v>
                </c:pt>
              </c:numCache>
            </c:numRef>
          </c:val>
          <c:extLst>
            <c:ext xmlns:c16="http://schemas.microsoft.com/office/drawing/2014/chart" uri="{C3380CC4-5D6E-409C-BE32-E72D297353CC}">
              <c16:uniqueId val="{0000000F-4506-41C4-9A88-4988F9066490}"/>
            </c:ext>
          </c:extLst>
        </c:ser>
        <c:dLbls>
          <c:dLblPos val="ctr"/>
          <c:showLegendKey val="0"/>
          <c:showVal val="1"/>
          <c:showCatName val="0"/>
          <c:showSerName val="0"/>
          <c:showPercent val="0"/>
          <c:showBubbleSize val="0"/>
        </c:dLbls>
        <c:gapWidth val="50"/>
        <c:overlap val="100"/>
        <c:axId val="387808112"/>
        <c:axId val="387808752"/>
        <c:extLst/>
      </c:barChart>
      <c:catAx>
        <c:axId val="38780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752"/>
        <c:crosses val="autoZero"/>
        <c:auto val="1"/>
        <c:lblAlgn val="ctr"/>
        <c:lblOffset val="100"/>
        <c:tickLblSkip val="1"/>
        <c:noMultiLvlLbl val="0"/>
      </c:catAx>
      <c:valAx>
        <c:axId val="387808752"/>
        <c:scaling>
          <c:orientation val="minMax"/>
          <c:max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a:t>Household energy use, 2012 (PJ)</a:t>
                </a:r>
              </a:p>
            </c:rich>
          </c:tx>
          <c:layout>
            <c:manualLayout>
              <c:xMode val="edge"/>
              <c:yMode val="edge"/>
              <c:x val="9.3857836048466849E-3"/>
              <c:y val="0.3331604145163203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112"/>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116695170545799"/>
          <c:y val="3.3429569974168058E-2"/>
          <c:w val="0.85457725998142187"/>
          <c:h val="0.77412666145800313"/>
        </c:manualLayout>
      </c:layout>
      <c:barChart>
        <c:barDir val="col"/>
        <c:grouping val="stacked"/>
        <c:varyColors val="0"/>
        <c:ser>
          <c:idx val="2"/>
          <c:order val="0"/>
          <c:tx>
            <c:strRef>
              <c:f>AggHHcons!$H$101</c:f>
              <c:strCache>
                <c:ptCount val="1"/>
                <c:pt idx="0">
                  <c:v>Food</c:v>
                </c:pt>
              </c:strCache>
            </c:strRef>
          </c:tx>
          <c:spPr>
            <a:solidFill>
              <a:srgbClr val="E7E6E6">
                <a:lumMod val="50000"/>
              </a:srgb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AggHHcons!$I$99:$Q$99</c:f>
              <c:numCache>
                <c:formatCode>General</c:formatCode>
                <c:ptCount val="9"/>
                <c:pt idx="0">
                  <c:v>2012</c:v>
                </c:pt>
                <c:pt idx="1">
                  <c:v>2015</c:v>
                </c:pt>
                <c:pt idx="2">
                  <c:v>2020</c:v>
                </c:pt>
                <c:pt idx="3">
                  <c:v>2025</c:v>
                </c:pt>
                <c:pt idx="4">
                  <c:v>2030</c:v>
                </c:pt>
                <c:pt idx="5">
                  <c:v>2035</c:v>
                </c:pt>
                <c:pt idx="6">
                  <c:v>2040</c:v>
                </c:pt>
                <c:pt idx="7">
                  <c:v>2045</c:v>
                </c:pt>
                <c:pt idx="8">
                  <c:v>2050</c:v>
                </c:pt>
              </c:numCache>
            </c:numRef>
          </c:cat>
          <c:val>
            <c:numRef>
              <c:f>AggHHcons!$I$101:$Q$101</c:f>
              <c:numCache>
                <c:formatCode>0.0%</c:formatCode>
                <c:ptCount val="9"/>
                <c:pt idx="0">
                  <c:v>0.24536944160018209</c:v>
                </c:pt>
                <c:pt idx="1">
                  <c:v>0.24110214483100764</c:v>
                </c:pt>
                <c:pt idx="2">
                  <c:v>0.23462660445452135</c:v>
                </c:pt>
                <c:pt idx="3">
                  <c:v>0.2251185328723391</c:v>
                </c:pt>
                <c:pt idx="4">
                  <c:v>0.21273779293204309</c:v>
                </c:pt>
                <c:pt idx="5">
                  <c:v>0.2019579166236051</c:v>
                </c:pt>
                <c:pt idx="6">
                  <c:v>0.18926425258004742</c:v>
                </c:pt>
                <c:pt idx="7">
                  <c:v>0.17907493549776063</c:v>
                </c:pt>
                <c:pt idx="8">
                  <c:v>0.17218012024502577</c:v>
                </c:pt>
              </c:numCache>
            </c:numRef>
          </c:val>
          <c:extLst>
            <c:ext xmlns:c16="http://schemas.microsoft.com/office/drawing/2014/chart" uri="{C3380CC4-5D6E-409C-BE32-E72D297353CC}">
              <c16:uniqueId val="{00000000-BE6E-41F3-8144-A2C619771752}"/>
            </c:ext>
          </c:extLst>
        </c:ser>
        <c:ser>
          <c:idx val="5"/>
          <c:order val="1"/>
          <c:tx>
            <c:strRef>
              <c:f>AggHHcons!$H$100</c:f>
              <c:strCache>
                <c:ptCount val="1"/>
                <c:pt idx="0">
                  <c:v>Clothing</c:v>
                </c:pt>
              </c:strCache>
            </c:strRef>
          </c:tx>
          <c:spPr>
            <a:solidFill>
              <a:srgbClr val="E7E6E6">
                <a:lumMod val="75000"/>
              </a:srgb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AggHHcons!$I$99:$Q$99</c:f>
              <c:numCache>
                <c:formatCode>General</c:formatCode>
                <c:ptCount val="9"/>
                <c:pt idx="0">
                  <c:v>2012</c:v>
                </c:pt>
                <c:pt idx="1">
                  <c:v>2015</c:v>
                </c:pt>
                <c:pt idx="2">
                  <c:v>2020</c:v>
                </c:pt>
                <c:pt idx="3">
                  <c:v>2025</c:v>
                </c:pt>
                <c:pt idx="4">
                  <c:v>2030</c:v>
                </c:pt>
                <c:pt idx="5">
                  <c:v>2035</c:v>
                </c:pt>
                <c:pt idx="6">
                  <c:v>2040</c:v>
                </c:pt>
                <c:pt idx="7">
                  <c:v>2045</c:v>
                </c:pt>
                <c:pt idx="8">
                  <c:v>2050</c:v>
                </c:pt>
              </c:numCache>
            </c:numRef>
          </c:cat>
          <c:val>
            <c:numRef>
              <c:f>AggHHcons!$I$100:$Q$100</c:f>
              <c:numCache>
                <c:formatCode>0.0%</c:formatCode>
                <c:ptCount val="9"/>
                <c:pt idx="0">
                  <c:v>5.5170379050691561E-2</c:v>
                </c:pt>
                <c:pt idx="1">
                  <c:v>5.4762850244057082E-2</c:v>
                </c:pt>
                <c:pt idx="2">
                  <c:v>5.4234103603275872E-2</c:v>
                </c:pt>
                <c:pt idx="3">
                  <c:v>5.3209546609529666E-2</c:v>
                </c:pt>
                <c:pt idx="4">
                  <c:v>5.1600819707343884E-2</c:v>
                </c:pt>
                <c:pt idx="5">
                  <c:v>4.9992154271488391E-2</c:v>
                </c:pt>
                <c:pt idx="6">
                  <c:v>4.8000767584453208E-2</c:v>
                </c:pt>
                <c:pt idx="7">
                  <c:v>4.6147923045189346E-2</c:v>
                </c:pt>
                <c:pt idx="8">
                  <c:v>4.4822450683254599E-2</c:v>
                </c:pt>
              </c:numCache>
            </c:numRef>
          </c:val>
          <c:extLst>
            <c:ext xmlns:c16="http://schemas.microsoft.com/office/drawing/2014/chart" uri="{C3380CC4-5D6E-409C-BE32-E72D297353CC}">
              <c16:uniqueId val="{00000001-BE6E-41F3-8144-A2C619771752}"/>
            </c:ext>
          </c:extLst>
        </c:ser>
        <c:ser>
          <c:idx val="6"/>
          <c:order val="2"/>
          <c:tx>
            <c:strRef>
              <c:f>AggHHcons!$H$102</c:f>
              <c:strCache>
                <c:ptCount val="1"/>
                <c:pt idx="0">
                  <c:v>Vehicles and parts</c:v>
                </c:pt>
              </c:strCache>
            </c:strRef>
          </c:tx>
          <c:spPr>
            <a:solidFill>
              <a:schemeClr val="bg2">
                <a:lumMod val="9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AggHHcons!$I$99:$Q$99</c:f>
              <c:numCache>
                <c:formatCode>General</c:formatCode>
                <c:ptCount val="9"/>
                <c:pt idx="0">
                  <c:v>2012</c:v>
                </c:pt>
                <c:pt idx="1">
                  <c:v>2015</c:v>
                </c:pt>
                <c:pt idx="2">
                  <c:v>2020</c:v>
                </c:pt>
                <c:pt idx="3">
                  <c:v>2025</c:v>
                </c:pt>
                <c:pt idx="4">
                  <c:v>2030</c:v>
                </c:pt>
                <c:pt idx="5">
                  <c:v>2035</c:v>
                </c:pt>
                <c:pt idx="6">
                  <c:v>2040</c:v>
                </c:pt>
                <c:pt idx="7">
                  <c:v>2045</c:v>
                </c:pt>
                <c:pt idx="8">
                  <c:v>2050</c:v>
                </c:pt>
              </c:numCache>
            </c:numRef>
          </c:cat>
          <c:val>
            <c:numRef>
              <c:f>AggHHcons!$I$102:$Q$102</c:f>
              <c:numCache>
                <c:formatCode>0.0%</c:formatCode>
                <c:ptCount val="9"/>
                <c:pt idx="0">
                  <c:v>5.59719365215222E-2</c:v>
                </c:pt>
                <c:pt idx="1">
                  <c:v>5.6996182371974728E-2</c:v>
                </c:pt>
                <c:pt idx="2">
                  <c:v>5.8288472595088771E-2</c:v>
                </c:pt>
                <c:pt idx="3">
                  <c:v>6.0797783525139384E-2</c:v>
                </c:pt>
                <c:pt idx="4">
                  <c:v>6.4887621790940653E-2</c:v>
                </c:pt>
                <c:pt idx="5">
                  <c:v>6.8966135484425942E-2</c:v>
                </c:pt>
                <c:pt idx="6">
                  <c:v>7.4754722660713993E-2</c:v>
                </c:pt>
                <c:pt idx="7">
                  <c:v>8.0395293867408138E-2</c:v>
                </c:pt>
                <c:pt idx="8">
                  <c:v>8.2747420991848661E-2</c:v>
                </c:pt>
              </c:numCache>
            </c:numRef>
          </c:val>
          <c:extLst>
            <c:ext xmlns:c16="http://schemas.microsoft.com/office/drawing/2014/chart" uri="{C3380CC4-5D6E-409C-BE32-E72D297353CC}">
              <c16:uniqueId val="{00000002-BE6E-41F3-8144-A2C619771752}"/>
            </c:ext>
          </c:extLst>
        </c:ser>
        <c:ser>
          <c:idx val="4"/>
          <c:order val="3"/>
          <c:tx>
            <c:strRef>
              <c:f>AggHHcons!$H$105</c:f>
              <c:strCache>
                <c:ptCount val="1"/>
                <c:pt idx="0">
                  <c:v>Other manufacturing</c:v>
                </c:pt>
              </c:strCache>
            </c:strRef>
          </c:tx>
          <c:spPr>
            <a:solidFill>
              <a:srgbClr val="00B0F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AggHHcons!$I$99:$Q$99</c:f>
              <c:numCache>
                <c:formatCode>General</c:formatCode>
                <c:ptCount val="9"/>
                <c:pt idx="0">
                  <c:v>2012</c:v>
                </c:pt>
                <c:pt idx="1">
                  <c:v>2015</c:v>
                </c:pt>
                <c:pt idx="2">
                  <c:v>2020</c:v>
                </c:pt>
                <c:pt idx="3">
                  <c:v>2025</c:v>
                </c:pt>
                <c:pt idx="4">
                  <c:v>2030</c:v>
                </c:pt>
                <c:pt idx="5">
                  <c:v>2035</c:v>
                </c:pt>
                <c:pt idx="6">
                  <c:v>2040</c:v>
                </c:pt>
                <c:pt idx="7">
                  <c:v>2045</c:v>
                </c:pt>
                <c:pt idx="8">
                  <c:v>2050</c:v>
                </c:pt>
              </c:numCache>
            </c:numRef>
          </c:cat>
          <c:val>
            <c:numRef>
              <c:f>AggHHcons!$I$105:$Q$105</c:f>
              <c:numCache>
                <c:formatCode>0.0%</c:formatCode>
                <c:ptCount val="9"/>
                <c:pt idx="0">
                  <c:v>0.113976259669313</c:v>
                </c:pt>
                <c:pt idx="1">
                  <c:v>0.11407634332825428</c:v>
                </c:pt>
                <c:pt idx="2">
                  <c:v>0.11429533024025848</c:v>
                </c:pt>
                <c:pt idx="3">
                  <c:v>0.11442915708731571</c:v>
                </c:pt>
                <c:pt idx="4">
                  <c:v>0.11458334013736059</c:v>
                </c:pt>
                <c:pt idx="5">
                  <c:v>0.11462702844626654</c:v>
                </c:pt>
                <c:pt idx="6">
                  <c:v>0.11461830050598965</c:v>
                </c:pt>
                <c:pt idx="7">
                  <c:v>0.11460633433587189</c:v>
                </c:pt>
                <c:pt idx="8">
                  <c:v>0.11464475263232651</c:v>
                </c:pt>
              </c:numCache>
            </c:numRef>
          </c:val>
          <c:extLst>
            <c:ext xmlns:c16="http://schemas.microsoft.com/office/drawing/2014/chart" uri="{C3380CC4-5D6E-409C-BE32-E72D297353CC}">
              <c16:uniqueId val="{00000003-BE6E-41F3-8144-A2C619771752}"/>
            </c:ext>
          </c:extLst>
        </c:ser>
        <c:ser>
          <c:idx val="7"/>
          <c:order val="4"/>
          <c:tx>
            <c:strRef>
              <c:f>AggHHcons!$H$103</c:f>
              <c:strCache>
                <c:ptCount val="1"/>
                <c:pt idx="0">
                  <c:v>Electricity</c:v>
                </c:pt>
              </c:strCache>
            </c:strRef>
          </c:tx>
          <c:spPr>
            <a:solidFill>
              <a:schemeClr val="accent5">
                <a:lumMod val="75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AggHHcons!$I$99:$Q$99</c:f>
              <c:numCache>
                <c:formatCode>General</c:formatCode>
                <c:ptCount val="9"/>
                <c:pt idx="0">
                  <c:v>2012</c:v>
                </c:pt>
                <c:pt idx="1">
                  <c:v>2015</c:v>
                </c:pt>
                <c:pt idx="2">
                  <c:v>2020</c:v>
                </c:pt>
                <c:pt idx="3">
                  <c:v>2025</c:v>
                </c:pt>
                <c:pt idx="4">
                  <c:v>2030</c:v>
                </c:pt>
                <c:pt idx="5">
                  <c:v>2035</c:v>
                </c:pt>
                <c:pt idx="6">
                  <c:v>2040</c:v>
                </c:pt>
                <c:pt idx="7">
                  <c:v>2045</c:v>
                </c:pt>
                <c:pt idx="8">
                  <c:v>2050</c:v>
                </c:pt>
              </c:numCache>
            </c:numRef>
          </c:cat>
          <c:val>
            <c:numRef>
              <c:f>AggHHcons!$I$103:$Q$103</c:f>
              <c:numCache>
                <c:formatCode>0.0%</c:formatCode>
                <c:ptCount val="9"/>
                <c:pt idx="0">
                  <c:v>1.5199458178239075E-2</c:v>
                </c:pt>
                <c:pt idx="1">
                  <c:v>1.5191810018041912E-2</c:v>
                </c:pt>
                <c:pt idx="2">
                  <c:v>1.5200184629564259E-2</c:v>
                </c:pt>
                <c:pt idx="3">
                  <c:v>1.5164199866551736E-2</c:v>
                </c:pt>
                <c:pt idx="4">
                  <c:v>1.5073882168026085E-2</c:v>
                </c:pt>
                <c:pt idx="5">
                  <c:v>1.4895027257440269E-2</c:v>
                </c:pt>
                <c:pt idx="6">
                  <c:v>1.4696324077808172E-2</c:v>
                </c:pt>
                <c:pt idx="7">
                  <c:v>1.4478305355146956E-2</c:v>
                </c:pt>
                <c:pt idx="8">
                  <c:v>1.4364068282145299E-2</c:v>
                </c:pt>
              </c:numCache>
            </c:numRef>
          </c:val>
          <c:extLst>
            <c:ext xmlns:c16="http://schemas.microsoft.com/office/drawing/2014/chart" uri="{C3380CC4-5D6E-409C-BE32-E72D297353CC}">
              <c16:uniqueId val="{00000004-BE6E-41F3-8144-A2C619771752}"/>
            </c:ext>
          </c:extLst>
        </c:ser>
        <c:ser>
          <c:idx val="8"/>
          <c:order val="5"/>
          <c:tx>
            <c:strRef>
              <c:f>AggHHcons!$H$109</c:f>
              <c:strCache>
                <c:ptCount val="1"/>
                <c:pt idx="0">
                  <c:v>Petrol/diesel</c:v>
                </c:pt>
              </c:strCache>
            </c:strRef>
          </c:tx>
          <c:spPr>
            <a:solidFill>
              <a:srgbClr val="70AD47">
                <a:lumMod val="60000"/>
                <a:lumOff val="40000"/>
              </a:srgbClr>
            </a:solidFill>
            <a:ln>
              <a:solidFill>
                <a:sysClr val="windowText" lastClr="0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AggHHcons!$I$99:$Q$99</c:f>
              <c:numCache>
                <c:formatCode>General</c:formatCode>
                <c:ptCount val="9"/>
                <c:pt idx="0">
                  <c:v>2012</c:v>
                </c:pt>
                <c:pt idx="1">
                  <c:v>2015</c:v>
                </c:pt>
                <c:pt idx="2">
                  <c:v>2020</c:v>
                </c:pt>
                <c:pt idx="3">
                  <c:v>2025</c:v>
                </c:pt>
                <c:pt idx="4">
                  <c:v>2030</c:v>
                </c:pt>
                <c:pt idx="5">
                  <c:v>2035</c:v>
                </c:pt>
                <c:pt idx="6">
                  <c:v>2040</c:v>
                </c:pt>
                <c:pt idx="7">
                  <c:v>2045</c:v>
                </c:pt>
                <c:pt idx="8">
                  <c:v>2050</c:v>
                </c:pt>
              </c:numCache>
            </c:numRef>
          </c:cat>
          <c:val>
            <c:numRef>
              <c:f>AggHHcons!$I$109:$Q$109</c:f>
              <c:numCache>
                <c:formatCode>0.0%</c:formatCode>
                <c:ptCount val="9"/>
                <c:pt idx="0">
                  <c:v>3.7232681208156537E-2</c:v>
                </c:pt>
                <c:pt idx="1">
                  <c:v>3.7478269358389486E-2</c:v>
                </c:pt>
                <c:pt idx="2">
                  <c:v>3.8004226926388059E-2</c:v>
                </c:pt>
                <c:pt idx="3">
                  <c:v>3.8457906909853526E-2</c:v>
                </c:pt>
                <c:pt idx="4">
                  <c:v>3.8607295802929757E-2</c:v>
                </c:pt>
                <c:pt idx="5">
                  <c:v>3.8373482873515267E-2</c:v>
                </c:pt>
                <c:pt idx="6">
                  <c:v>3.820513432293296E-2</c:v>
                </c:pt>
                <c:pt idx="7">
                  <c:v>3.7787328612484301E-2</c:v>
                </c:pt>
                <c:pt idx="8">
                  <c:v>3.7057735991681953E-2</c:v>
                </c:pt>
              </c:numCache>
            </c:numRef>
          </c:val>
          <c:extLst>
            <c:ext xmlns:c16="http://schemas.microsoft.com/office/drawing/2014/chart" uri="{C3380CC4-5D6E-409C-BE32-E72D297353CC}">
              <c16:uniqueId val="{00000005-BE6E-41F3-8144-A2C619771752}"/>
            </c:ext>
          </c:extLst>
        </c:ser>
        <c:ser>
          <c:idx val="10"/>
          <c:order val="6"/>
          <c:tx>
            <c:strRef>
              <c:f>AggHHcons!$H$110</c:f>
              <c:strCache>
                <c:ptCount val="1"/>
                <c:pt idx="0">
                  <c:v>Other liquid fuels</c:v>
                </c:pt>
              </c:strCache>
            </c:strRef>
          </c:tx>
          <c:spPr>
            <a:solidFill>
              <a:srgbClr val="70AD47">
                <a:lumMod val="20000"/>
                <a:lumOff val="80000"/>
              </a:srgbClr>
            </a:solidFill>
            <a:ln>
              <a:solidFill>
                <a:schemeClr val="tx1"/>
              </a:solidFill>
            </a:ln>
            <a:effectLst/>
          </c:spPr>
          <c:invertIfNegative val="0"/>
          <c:dLbls>
            <c:delete val="1"/>
          </c:dLbls>
          <c:cat>
            <c:numRef>
              <c:f>AggHHcons!$I$99:$Q$99</c:f>
              <c:numCache>
                <c:formatCode>General</c:formatCode>
                <c:ptCount val="9"/>
                <c:pt idx="0">
                  <c:v>2012</c:v>
                </c:pt>
                <c:pt idx="1">
                  <c:v>2015</c:v>
                </c:pt>
                <c:pt idx="2">
                  <c:v>2020</c:v>
                </c:pt>
                <c:pt idx="3">
                  <c:v>2025</c:v>
                </c:pt>
                <c:pt idx="4">
                  <c:v>2030</c:v>
                </c:pt>
                <c:pt idx="5">
                  <c:v>2035</c:v>
                </c:pt>
                <c:pt idx="6">
                  <c:v>2040</c:v>
                </c:pt>
                <c:pt idx="7">
                  <c:v>2045</c:v>
                </c:pt>
                <c:pt idx="8">
                  <c:v>2050</c:v>
                </c:pt>
              </c:numCache>
            </c:numRef>
          </c:cat>
          <c:val>
            <c:numRef>
              <c:f>AggHHcons!$I$110:$Q$110</c:f>
              <c:numCache>
                <c:formatCode>0.0%</c:formatCode>
                <c:ptCount val="9"/>
                <c:pt idx="0">
                  <c:v>2.2349627647327997E-3</c:v>
                </c:pt>
                <c:pt idx="1">
                  <c:v>2.1707155881655988E-3</c:v>
                </c:pt>
                <c:pt idx="2">
                  <c:v>2.0870894090258365E-3</c:v>
                </c:pt>
                <c:pt idx="3">
                  <c:v>1.8912161510869076E-3</c:v>
                </c:pt>
                <c:pt idx="4">
                  <c:v>1.5631173360967428E-3</c:v>
                </c:pt>
                <c:pt idx="5">
                  <c:v>1.335263513579432E-3</c:v>
                </c:pt>
                <c:pt idx="6">
                  <c:v>1.1500576310516117E-3</c:v>
                </c:pt>
                <c:pt idx="7">
                  <c:v>9.6654841252856937E-4</c:v>
                </c:pt>
                <c:pt idx="8">
                  <c:v>7.598657028178924E-4</c:v>
                </c:pt>
              </c:numCache>
            </c:numRef>
          </c:val>
          <c:extLst>
            <c:ext xmlns:c16="http://schemas.microsoft.com/office/drawing/2014/chart" uri="{C3380CC4-5D6E-409C-BE32-E72D297353CC}">
              <c16:uniqueId val="{00000006-BE6E-41F3-8144-A2C619771752}"/>
            </c:ext>
          </c:extLst>
        </c:ser>
        <c:ser>
          <c:idx val="1"/>
          <c:order val="7"/>
          <c:tx>
            <c:strRef>
              <c:f>AggHHcons!$H$108</c:f>
              <c:strCache>
                <c:ptCount val="1"/>
                <c:pt idx="0">
                  <c:v>Other energy</c:v>
                </c:pt>
              </c:strCache>
            </c:strRef>
          </c:tx>
          <c:spPr>
            <a:solidFill>
              <a:srgbClr val="70AD47">
                <a:lumMod val="75000"/>
              </a:srgbClr>
            </a:solidFill>
            <a:ln>
              <a:solidFill>
                <a:sysClr val="windowText" lastClr="000000"/>
              </a:solidFill>
            </a:ln>
            <a:effectLst/>
          </c:spPr>
          <c:invertIfNegative val="0"/>
          <c:dLbls>
            <c:delete val="1"/>
          </c:dLbls>
          <c:cat>
            <c:numRef>
              <c:f>AggHHcons!$I$99:$Q$99</c:f>
              <c:numCache>
                <c:formatCode>General</c:formatCode>
                <c:ptCount val="9"/>
                <c:pt idx="0">
                  <c:v>2012</c:v>
                </c:pt>
                <c:pt idx="1">
                  <c:v>2015</c:v>
                </c:pt>
                <c:pt idx="2">
                  <c:v>2020</c:v>
                </c:pt>
                <c:pt idx="3">
                  <c:v>2025</c:v>
                </c:pt>
                <c:pt idx="4">
                  <c:v>2030</c:v>
                </c:pt>
                <c:pt idx="5">
                  <c:v>2035</c:v>
                </c:pt>
                <c:pt idx="6">
                  <c:v>2040</c:v>
                </c:pt>
                <c:pt idx="7">
                  <c:v>2045</c:v>
                </c:pt>
                <c:pt idx="8">
                  <c:v>2050</c:v>
                </c:pt>
              </c:numCache>
            </c:numRef>
          </c:cat>
          <c:val>
            <c:numRef>
              <c:f>AggHHcons!$I$108:$Q$108</c:f>
              <c:numCache>
                <c:formatCode>0.0%</c:formatCode>
                <c:ptCount val="9"/>
                <c:pt idx="0">
                  <c:v>2.1663293234988636E-4</c:v>
                </c:pt>
                <c:pt idx="1">
                  <c:v>2.0375332147487915E-4</c:v>
                </c:pt>
                <c:pt idx="2">
                  <c:v>1.8482170520309232E-4</c:v>
                </c:pt>
                <c:pt idx="3">
                  <c:v>1.5375597180652124E-4</c:v>
                </c:pt>
                <c:pt idx="4">
                  <c:v>1.2146625671702816E-4</c:v>
                </c:pt>
                <c:pt idx="5">
                  <c:v>9.9038977595884069E-5</c:v>
                </c:pt>
                <c:pt idx="6">
                  <c:v>7.2123086395370689E-5</c:v>
                </c:pt>
                <c:pt idx="7">
                  <c:v>5.7574955477883697E-5</c:v>
                </c:pt>
                <c:pt idx="8">
                  <c:v>4.6976680223134302E-5</c:v>
                </c:pt>
              </c:numCache>
            </c:numRef>
          </c:val>
          <c:extLst>
            <c:ext xmlns:c16="http://schemas.microsoft.com/office/drawing/2014/chart" uri="{C3380CC4-5D6E-409C-BE32-E72D297353CC}">
              <c16:uniqueId val="{00000007-BE6E-41F3-8144-A2C619771752}"/>
            </c:ext>
          </c:extLst>
        </c:ser>
        <c:ser>
          <c:idx val="9"/>
          <c:order val="8"/>
          <c:tx>
            <c:strRef>
              <c:f>AggHHcons!$H$106</c:f>
              <c:strCache>
                <c:ptCount val="1"/>
                <c:pt idx="0">
                  <c:v>Transport services</c:v>
                </c:pt>
              </c:strCache>
            </c:strRef>
          </c:tx>
          <c:spPr>
            <a:solidFill>
              <a:srgbClr val="5B9BD5">
                <a:lumMod val="40000"/>
                <a:lumOff val="60000"/>
              </a:srgbClr>
            </a:solidFill>
            <a:ln>
              <a:solidFill>
                <a:sysClr val="windowText" lastClr="0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AggHHcons!$I$99:$Q$99</c:f>
              <c:numCache>
                <c:formatCode>General</c:formatCode>
                <c:ptCount val="9"/>
                <c:pt idx="0">
                  <c:v>2012</c:v>
                </c:pt>
                <c:pt idx="1">
                  <c:v>2015</c:v>
                </c:pt>
                <c:pt idx="2">
                  <c:v>2020</c:v>
                </c:pt>
                <c:pt idx="3">
                  <c:v>2025</c:v>
                </c:pt>
                <c:pt idx="4">
                  <c:v>2030</c:v>
                </c:pt>
                <c:pt idx="5">
                  <c:v>2035</c:v>
                </c:pt>
                <c:pt idx="6">
                  <c:v>2040</c:v>
                </c:pt>
                <c:pt idx="7">
                  <c:v>2045</c:v>
                </c:pt>
                <c:pt idx="8">
                  <c:v>2050</c:v>
                </c:pt>
              </c:numCache>
            </c:numRef>
          </c:cat>
          <c:val>
            <c:numRef>
              <c:f>AggHHcons!$I$106:$Q$106</c:f>
              <c:numCache>
                <c:formatCode>0.0%</c:formatCode>
                <c:ptCount val="9"/>
                <c:pt idx="0">
                  <c:v>4.9156355938935956E-2</c:v>
                </c:pt>
                <c:pt idx="1">
                  <c:v>4.8918517444788832E-2</c:v>
                </c:pt>
                <c:pt idx="2">
                  <c:v>4.871222324738244E-2</c:v>
                </c:pt>
                <c:pt idx="3">
                  <c:v>4.8050917390123155E-2</c:v>
                </c:pt>
                <c:pt idx="4">
                  <c:v>4.6703490224904755E-2</c:v>
                </c:pt>
                <c:pt idx="5">
                  <c:v>4.5386956542499413E-2</c:v>
                </c:pt>
                <c:pt idx="6">
                  <c:v>4.3168692845272645E-2</c:v>
                </c:pt>
                <c:pt idx="7">
                  <c:v>4.1104358957997127E-2</c:v>
                </c:pt>
                <c:pt idx="8">
                  <c:v>4.0075433156434588E-2</c:v>
                </c:pt>
              </c:numCache>
            </c:numRef>
          </c:val>
          <c:extLst>
            <c:ext xmlns:c16="http://schemas.microsoft.com/office/drawing/2014/chart" uri="{C3380CC4-5D6E-409C-BE32-E72D297353CC}">
              <c16:uniqueId val="{00000008-BE6E-41F3-8144-A2C619771752}"/>
            </c:ext>
          </c:extLst>
        </c:ser>
        <c:ser>
          <c:idx val="3"/>
          <c:order val="9"/>
          <c:tx>
            <c:strRef>
              <c:f>AggHHcons!$H$104</c:f>
              <c:strCache>
                <c:ptCount val="1"/>
                <c:pt idx="0">
                  <c:v>Other services</c:v>
                </c:pt>
              </c:strCache>
            </c:strRef>
          </c:tx>
          <c:spPr>
            <a:solidFill>
              <a:schemeClr val="accent5">
                <a:lumMod val="60000"/>
                <a:lumOff val="4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AggHHcons!$I$99:$Q$99</c:f>
              <c:numCache>
                <c:formatCode>General</c:formatCode>
                <c:ptCount val="9"/>
                <c:pt idx="0">
                  <c:v>2012</c:v>
                </c:pt>
                <c:pt idx="1">
                  <c:v>2015</c:v>
                </c:pt>
                <c:pt idx="2">
                  <c:v>2020</c:v>
                </c:pt>
                <c:pt idx="3">
                  <c:v>2025</c:v>
                </c:pt>
                <c:pt idx="4">
                  <c:v>2030</c:v>
                </c:pt>
                <c:pt idx="5">
                  <c:v>2035</c:v>
                </c:pt>
                <c:pt idx="6">
                  <c:v>2040</c:v>
                </c:pt>
                <c:pt idx="7">
                  <c:v>2045</c:v>
                </c:pt>
                <c:pt idx="8">
                  <c:v>2050</c:v>
                </c:pt>
              </c:numCache>
            </c:numRef>
          </c:cat>
          <c:val>
            <c:numRef>
              <c:f>AggHHcons!$I$104:$Q$104</c:f>
              <c:numCache>
                <c:formatCode>0.0%</c:formatCode>
                <c:ptCount val="9"/>
                <c:pt idx="0">
                  <c:v>0.41208009156126879</c:v>
                </c:pt>
                <c:pt idx="1">
                  <c:v>0.41591202192771815</c:v>
                </c:pt>
                <c:pt idx="2">
                  <c:v>0.42151851938336721</c:v>
                </c:pt>
                <c:pt idx="3">
                  <c:v>0.43024913547524868</c:v>
                </c:pt>
                <c:pt idx="4">
                  <c:v>0.44219012883203962</c:v>
                </c:pt>
                <c:pt idx="5">
                  <c:v>0.45288726096877807</c:v>
                </c:pt>
                <c:pt idx="6">
                  <c:v>0.4650624386827274</c:v>
                </c:pt>
                <c:pt idx="7">
                  <c:v>0.47474337152129426</c:v>
                </c:pt>
                <c:pt idx="8">
                  <c:v>0.48286604421918178</c:v>
                </c:pt>
              </c:numCache>
            </c:numRef>
          </c:val>
          <c:extLst>
            <c:ext xmlns:c16="http://schemas.microsoft.com/office/drawing/2014/chart" uri="{C3380CC4-5D6E-409C-BE32-E72D297353CC}">
              <c16:uniqueId val="{00000009-BE6E-41F3-8144-A2C619771752}"/>
            </c:ext>
          </c:extLst>
        </c:ser>
        <c:ser>
          <c:idx val="0"/>
          <c:order val="10"/>
          <c:tx>
            <c:strRef>
              <c:f>AggHHcons!$H$107</c:f>
              <c:strCache>
                <c:ptCount val="1"/>
                <c:pt idx="0">
                  <c:v>Other</c:v>
                </c:pt>
              </c:strCache>
            </c:strRef>
          </c:tx>
          <c:spPr>
            <a:solidFill>
              <a:srgbClr val="5B9BD5">
                <a:lumMod val="20000"/>
                <a:lumOff val="80000"/>
              </a:srgbClr>
            </a:solidFill>
            <a:ln>
              <a:solidFill>
                <a:sysClr val="windowText" lastClr="000000"/>
              </a:solidFill>
            </a:ln>
            <a:effectLst/>
          </c:spPr>
          <c:invertIfNegative val="0"/>
          <c:dLbls>
            <c:delete val="1"/>
          </c:dLbls>
          <c:cat>
            <c:numRef>
              <c:f>AggHHcons!$I$99:$Q$99</c:f>
              <c:numCache>
                <c:formatCode>General</c:formatCode>
                <c:ptCount val="9"/>
                <c:pt idx="0">
                  <c:v>2012</c:v>
                </c:pt>
                <c:pt idx="1">
                  <c:v>2015</c:v>
                </c:pt>
                <c:pt idx="2">
                  <c:v>2020</c:v>
                </c:pt>
                <c:pt idx="3">
                  <c:v>2025</c:v>
                </c:pt>
                <c:pt idx="4">
                  <c:v>2030</c:v>
                </c:pt>
                <c:pt idx="5">
                  <c:v>2035</c:v>
                </c:pt>
                <c:pt idx="6">
                  <c:v>2040</c:v>
                </c:pt>
                <c:pt idx="7">
                  <c:v>2045</c:v>
                </c:pt>
                <c:pt idx="8">
                  <c:v>2050</c:v>
                </c:pt>
              </c:numCache>
            </c:numRef>
          </c:cat>
          <c:val>
            <c:numRef>
              <c:f>AggHHcons!$I$107:$Q$107</c:f>
              <c:numCache>
                <c:formatCode>0.0%</c:formatCode>
                <c:ptCount val="9"/>
                <c:pt idx="0">
                  <c:v>1.339180057460803E-2</c:v>
                </c:pt>
                <c:pt idx="1">
                  <c:v>1.318739156612757E-2</c:v>
                </c:pt>
                <c:pt idx="2">
                  <c:v>1.2848423805924805E-2</c:v>
                </c:pt>
                <c:pt idx="3">
                  <c:v>1.2477848141005663E-2</c:v>
                </c:pt>
                <c:pt idx="4">
                  <c:v>1.1931044811597786E-2</c:v>
                </c:pt>
                <c:pt idx="5">
                  <c:v>1.1479735040805791E-2</c:v>
                </c:pt>
                <c:pt idx="6">
                  <c:v>1.1007186022607626E-2</c:v>
                </c:pt>
                <c:pt idx="7">
                  <c:v>1.0638025438840869E-2</c:v>
                </c:pt>
                <c:pt idx="8">
                  <c:v>1.0435131415059506E-2</c:v>
                </c:pt>
              </c:numCache>
            </c:numRef>
          </c:val>
          <c:extLst>
            <c:ext xmlns:c16="http://schemas.microsoft.com/office/drawing/2014/chart" uri="{C3380CC4-5D6E-409C-BE32-E72D297353CC}">
              <c16:uniqueId val="{0000000A-BE6E-41F3-8144-A2C619771752}"/>
            </c:ext>
          </c:extLst>
        </c:ser>
        <c:dLbls>
          <c:dLblPos val="ctr"/>
          <c:showLegendKey val="0"/>
          <c:showVal val="1"/>
          <c:showCatName val="0"/>
          <c:showSerName val="0"/>
          <c:showPercent val="0"/>
          <c:showBubbleSize val="0"/>
        </c:dLbls>
        <c:gapWidth val="50"/>
        <c:overlap val="100"/>
        <c:axId val="387808112"/>
        <c:axId val="387808752"/>
        <c:extLst/>
      </c:barChart>
      <c:catAx>
        <c:axId val="38780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752"/>
        <c:crosses val="autoZero"/>
        <c:auto val="1"/>
        <c:lblAlgn val="ctr"/>
        <c:lblOffset val="100"/>
        <c:tickLblSkip val="1"/>
        <c:noMultiLvlLbl val="0"/>
      </c:catAx>
      <c:valAx>
        <c:axId val="38780875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a:t>Share of total household consumption expenditure</a:t>
                </a:r>
              </a:p>
            </c:rich>
          </c:tx>
          <c:layout>
            <c:manualLayout>
              <c:xMode val="edge"/>
              <c:yMode val="edge"/>
              <c:x val="1.7608973079026639E-2"/>
              <c:y val="0.13895526013206713"/>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112"/>
        <c:crosses val="autoZero"/>
        <c:crossBetween val="between"/>
      </c:valAx>
      <c:spPr>
        <a:noFill/>
        <a:ln>
          <a:noFill/>
        </a:ln>
        <a:effectLst/>
      </c:spPr>
    </c:plotArea>
    <c:legend>
      <c:legendPos val="b"/>
      <c:layout>
        <c:manualLayout>
          <c:xMode val="edge"/>
          <c:yMode val="edge"/>
          <c:x val="4.6922680223087869E-2"/>
          <c:y val="0.87407437540904553"/>
          <c:w val="0.91202075403589844"/>
          <c:h val="0.113800047141197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116695170545799"/>
          <c:y val="3.3399119477759226E-2"/>
          <c:w val="0.85457725998142187"/>
          <c:h val="0.68116918435142482"/>
        </c:manualLayout>
      </c:layout>
      <c:barChart>
        <c:barDir val="col"/>
        <c:grouping val="stacked"/>
        <c:varyColors val="0"/>
        <c:ser>
          <c:idx val="2"/>
          <c:order val="0"/>
          <c:tx>
            <c:strRef>
              <c:f>AggHHcons!$H$30</c:f>
              <c:strCache>
                <c:ptCount val="1"/>
                <c:pt idx="0">
                  <c:v>Food</c:v>
                </c:pt>
              </c:strCache>
            </c:strRef>
          </c:tx>
          <c:spPr>
            <a:solidFill>
              <a:sysClr val="windowText" lastClr="000000">
                <a:lumMod val="50000"/>
                <a:lumOff val="50000"/>
              </a:sys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AggHHcons!$I$27:$Q$28</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AggHHcons!$I$30:$Q$30</c:f>
              <c:numCache>
                <c:formatCode>0.0%</c:formatCode>
                <c:ptCount val="9"/>
                <c:pt idx="0">
                  <c:v>0.46445153645396786</c:v>
                </c:pt>
                <c:pt idx="1">
                  <c:v>0.38524610791801217</c:v>
                </c:pt>
                <c:pt idx="2">
                  <c:v>0.26799643034777454</c:v>
                </c:pt>
                <c:pt idx="3">
                  <c:v>0.30466999744400441</c:v>
                </c:pt>
                <c:pt idx="4">
                  <c:v>0.24575499252190386</c:v>
                </c:pt>
                <c:pt idx="5">
                  <c:v>0.18977025771731748</c:v>
                </c:pt>
                <c:pt idx="6">
                  <c:v>0.15263304345754145</c:v>
                </c:pt>
                <c:pt idx="7">
                  <c:v>0.14581222179597836</c:v>
                </c:pt>
                <c:pt idx="8">
                  <c:v>0.13451883191629282</c:v>
                </c:pt>
              </c:numCache>
            </c:numRef>
          </c:val>
          <c:extLst>
            <c:ext xmlns:c16="http://schemas.microsoft.com/office/drawing/2014/chart" uri="{C3380CC4-5D6E-409C-BE32-E72D297353CC}">
              <c16:uniqueId val="{00000000-DE42-4AE6-A5CC-6DC5F9D87B57}"/>
            </c:ext>
          </c:extLst>
        </c:ser>
        <c:ser>
          <c:idx val="5"/>
          <c:order val="1"/>
          <c:tx>
            <c:strRef>
              <c:f>AggHHcons!$H$29</c:f>
              <c:strCache>
                <c:ptCount val="1"/>
                <c:pt idx="0">
                  <c:v>Clothing</c:v>
                </c:pt>
              </c:strCache>
            </c:strRef>
          </c:tx>
          <c:spPr>
            <a:solidFill>
              <a:srgbClr val="E7E6E6">
                <a:lumMod val="75000"/>
              </a:srgb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AggHHcons!$I$27:$Q$28</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AggHHcons!$I$29:$Q$29</c:f>
              <c:numCache>
                <c:formatCode>0.0%</c:formatCode>
                <c:ptCount val="9"/>
                <c:pt idx="0">
                  <c:v>8.0927466327850223E-2</c:v>
                </c:pt>
                <c:pt idx="1">
                  <c:v>7.7937459905655412E-2</c:v>
                </c:pt>
                <c:pt idx="2">
                  <c:v>6.9037003456101795E-2</c:v>
                </c:pt>
                <c:pt idx="3">
                  <c:v>7.279175101514139E-2</c:v>
                </c:pt>
                <c:pt idx="4">
                  <c:v>6.526247466758732E-2</c:v>
                </c:pt>
                <c:pt idx="5">
                  <c:v>5.0713290397842115E-2</c:v>
                </c:pt>
                <c:pt idx="6">
                  <c:v>3.9912042364668401E-2</c:v>
                </c:pt>
                <c:pt idx="7">
                  <c:v>3.7960854045505733E-2</c:v>
                </c:pt>
                <c:pt idx="8">
                  <c:v>3.4730227075659585E-2</c:v>
                </c:pt>
              </c:numCache>
            </c:numRef>
          </c:val>
          <c:extLst>
            <c:ext xmlns:c16="http://schemas.microsoft.com/office/drawing/2014/chart" uri="{C3380CC4-5D6E-409C-BE32-E72D297353CC}">
              <c16:uniqueId val="{00000001-DE42-4AE6-A5CC-6DC5F9D87B57}"/>
            </c:ext>
          </c:extLst>
        </c:ser>
        <c:ser>
          <c:idx val="6"/>
          <c:order val="2"/>
          <c:tx>
            <c:strRef>
              <c:f>AggHHcons!$H$31</c:f>
              <c:strCache>
                <c:ptCount val="1"/>
                <c:pt idx="0">
                  <c:v>Vehicles and parts</c:v>
                </c:pt>
              </c:strCache>
            </c:strRef>
          </c:tx>
          <c:spPr>
            <a:solidFill>
              <a:schemeClr val="bg2">
                <a:lumMod val="90000"/>
              </a:schemeClr>
            </a:solidFill>
            <a:ln>
              <a:solidFill>
                <a:schemeClr val="tx1"/>
              </a:solid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2-DE42-4AE6-A5CC-6DC5F9D87B57}"/>
                </c:ext>
              </c:extLst>
            </c:dLbl>
            <c:dLbl>
              <c:idx val="1"/>
              <c:delete val="1"/>
              <c:extLst>
                <c:ext xmlns:c15="http://schemas.microsoft.com/office/drawing/2012/chart" uri="{CE6537A1-D6FC-4f65-9D91-7224C49458BB}"/>
                <c:ext xmlns:c16="http://schemas.microsoft.com/office/drawing/2014/chart" uri="{C3380CC4-5D6E-409C-BE32-E72D297353CC}">
                  <c16:uniqueId val="{00000003-DE42-4AE6-A5CC-6DC5F9D87B57}"/>
                </c:ext>
              </c:extLst>
            </c:dLbl>
            <c:dLbl>
              <c:idx val="2"/>
              <c:delete val="1"/>
              <c:extLst>
                <c:ext xmlns:c15="http://schemas.microsoft.com/office/drawing/2012/chart" uri="{CE6537A1-D6FC-4f65-9D91-7224C49458BB}"/>
                <c:ext xmlns:c16="http://schemas.microsoft.com/office/drawing/2014/chart" uri="{C3380CC4-5D6E-409C-BE32-E72D297353CC}">
                  <c16:uniqueId val="{00000004-DE42-4AE6-A5CC-6DC5F9D87B57}"/>
                </c:ext>
              </c:extLst>
            </c:dLbl>
            <c:dLbl>
              <c:idx val="3"/>
              <c:delete val="1"/>
              <c:extLst>
                <c:ext xmlns:c15="http://schemas.microsoft.com/office/drawing/2012/chart" uri="{CE6537A1-D6FC-4f65-9D91-7224C49458BB}"/>
                <c:ext xmlns:c16="http://schemas.microsoft.com/office/drawing/2014/chart" uri="{C3380CC4-5D6E-409C-BE32-E72D297353CC}">
                  <c16:uniqueId val="{00000005-DE42-4AE6-A5CC-6DC5F9D87B57}"/>
                </c:ext>
              </c:extLst>
            </c:dLbl>
            <c:dLbl>
              <c:idx val="4"/>
              <c:delete val="1"/>
              <c:extLst>
                <c:ext xmlns:c15="http://schemas.microsoft.com/office/drawing/2012/chart" uri="{CE6537A1-D6FC-4f65-9D91-7224C49458BB}"/>
                <c:ext xmlns:c16="http://schemas.microsoft.com/office/drawing/2014/chart" uri="{C3380CC4-5D6E-409C-BE32-E72D297353CC}">
                  <c16:uniqueId val="{00000006-DE42-4AE6-A5CC-6DC5F9D87B5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AggHHcons!$I$27:$Q$28</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AggHHcons!$I$31:$Q$31</c:f>
              <c:numCache>
                <c:formatCode>0.0%</c:formatCode>
                <c:ptCount val="9"/>
                <c:pt idx="0">
                  <c:v>2.1038599584265794E-3</c:v>
                </c:pt>
                <c:pt idx="1">
                  <c:v>3.0790187511004433E-3</c:v>
                </c:pt>
                <c:pt idx="2">
                  <c:v>1.3091419207714668E-2</c:v>
                </c:pt>
                <c:pt idx="3">
                  <c:v>8.5166688463297457E-3</c:v>
                </c:pt>
                <c:pt idx="4">
                  <c:v>1.6710911010311809E-2</c:v>
                </c:pt>
                <c:pt idx="5">
                  <c:v>4.1605524544158716E-2</c:v>
                </c:pt>
                <c:pt idx="6">
                  <c:v>9.2364806293184873E-2</c:v>
                </c:pt>
                <c:pt idx="7">
                  <c:v>0.10329631159298608</c:v>
                </c:pt>
                <c:pt idx="8">
                  <c:v>0.12139585405984898</c:v>
                </c:pt>
              </c:numCache>
            </c:numRef>
          </c:val>
          <c:extLst>
            <c:ext xmlns:c16="http://schemas.microsoft.com/office/drawing/2014/chart" uri="{C3380CC4-5D6E-409C-BE32-E72D297353CC}">
              <c16:uniqueId val="{00000007-DE42-4AE6-A5CC-6DC5F9D87B57}"/>
            </c:ext>
          </c:extLst>
        </c:ser>
        <c:ser>
          <c:idx val="4"/>
          <c:order val="3"/>
          <c:tx>
            <c:strRef>
              <c:f>AggHHcons!$H$34</c:f>
              <c:strCache>
                <c:ptCount val="1"/>
                <c:pt idx="0">
                  <c:v>Other manufacturing</c:v>
                </c:pt>
              </c:strCache>
            </c:strRef>
          </c:tx>
          <c:spPr>
            <a:solidFill>
              <a:srgbClr val="00B0F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AggHHcons!$I$27:$Q$28</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AggHHcons!$I$34:$Q$34</c:f>
              <c:numCache>
                <c:formatCode>0.0%</c:formatCode>
                <c:ptCount val="9"/>
                <c:pt idx="0">
                  <c:v>0.11021540337063924</c:v>
                </c:pt>
                <c:pt idx="1">
                  <c:v>0.11371827188568739</c:v>
                </c:pt>
                <c:pt idx="2">
                  <c:v>0.11640563557816043</c:v>
                </c:pt>
                <c:pt idx="3">
                  <c:v>0.11566537185348084</c:v>
                </c:pt>
                <c:pt idx="4">
                  <c:v>0.11653820299300764</c:v>
                </c:pt>
                <c:pt idx="5">
                  <c:v>0.11619547621441575</c:v>
                </c:pt>
                <c:pt idx="6">
                  <c:v>0.11444699048222322</c:v>
                </c:pt>
                <c:pt idx="7">
                  <c:v>0.11407713715170506</c:v>
                </c:pt>
                <c:pt idx="8">
                  <c:v>0.11346476256296262</c:v>
                </c:pt>
              </c:numCache>
            </c:numRef>
          </c:val>
          <c:extLst>
            <c:ext xmlns:c16="http://schemas.microsoft.com/office/drawing/2014/chart" uri="{C3380CC4-5D6E-409C-BE32-E72D297353CC}">
              <c16:uniqueId val="{00000008-DE42-4AE6-A5CC-6DC5F9D87B57}"/>
            </c:ext>
          </c:extLst>
        </c:ser>
        <c:ser>
          <c:idx val="7"/>
          <c:order val="4"/>
          <c:tx>
            <c:strRef>
              <c:f>AggHHcons!$H$32</c:f>
              <c:strCache>
                <c:ptCount val="1"/>
                <c:pt idx="0">
                  <c:v>Electricity</c:v>
                </c:pt>
              </c:strCache>
            </c:strRef>
          </c:tx>
          <c:spPr>
            <a:solidFill>
              <a:schemeClr val="accent5">
                <a:lumMod val="75000"/>
              </a:schemeClr>
            </a:solidFill>
            <a:ln>
              <a:solidFill>
                <a:schemeClr val="tx1"/>
              </a:solidFill>
            </a:ln>
            <a:effectLst/>
          </c:spPr>
          <c:invertIfNegative val="0"/>
          <c:dLbls>
            <c:delete val="1"/>
          </c:dLbls>
          <c:cat>
            <c:multiLvlStrRef>
              <c:f>AggHHcons!$I$27:$Q$28</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AggHHcons!$I$32:$Q$32</c:f>
              <c:numCache>
                <c:formatCode>0.0%</c:formatCode>
                <c:ptCount val="9"/>
                <c:pt idx="0">
                  <c:v>1.6116970124031769E-2</c:v>
                </c:pt>
                <c:pt idx="1">
                  <c:v>1.6930871834618513E-2</c:v>
                </c:pt>
                <c:pt idx="2">
                  <c:v>1.9366498570848063E-2</c:v>
                </c:pt>
                <c:pt idx="3">
                  <c:v>1.8657887081098189E-2</c:v>
                </c:pt>
                <c:pt idx="4">
                  <c:v>1.9177404611161068E-2</c:v>
                </c:pt>
                <c:pt idx="5">
                  <c:v>1.6722963413436254E-2</c:v>
                </c:pt>
                <c:pt idx="6">
                  <c:v>1.3493691065978308E-2</c:v>
                </c:pt>
                <c:pt idx="7">
                  <c:v>1.2865456268580896E-2</c:v>
                </c:pt>
                <c:pt idx="8">
                  <c:v>1.1825273596311947E-2</c:v>
                </c:pt>
              </c:numCache>
            </c:numRef>
          </c:val>
          <c:extLst>
            <c:ext xmlns:c16="http://schemas.microsoft.com/office/drawing/2014/chart" uri="{C3380CC4-5D6E-409C-BE32-E72D297353CC}">
              <c16:uniqueId val="{00000009-DE42-4AE6-A5CC-6DC5F9D87B57}"/>
            </c:ext>
          </c:extLst>
        </c:ser>
        <c:ser>
          <c:idx val="8"/>
          <c:order val="5"/>
          <c:tx>
            <c:strRef>
              <c:f>AggHHcons!$H$38</c:f>
              <c:strCache>
                <c:ptCount val="1"/>
                <c:pt idx="0">
                  <c:v>Petrol/diesel</c:v>
                </c:pt>
              </c:strCache>
            </c:strRef>
          </c:tx>
          <c:spPr>
            <a:solidFill>
              <a:srgbClr val="70AD47">
                <a:lumMod val="60000"/>
                <a:lumOff val="40000"/>
              </a:srgbClr>
            </a:solidFill>
            <a:ln>
              <a:solidFill>
                <a:sysClr val="windowText" lastClr="0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AggHHcons!$I$27:$Q$28</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AggHHcons!$I$38:$Q$38</c:f>
              <c:numCache>
                <c:formatCode>0.0%</c:formatCode>
                <c:ptCount val="9"/>
                <c:pt idx="0">
                  <c:v>3.2244182213552415E-2</c:v>
                </c:pt>
                <c:pt idx="1">
                  <c:v>4.1680456322200611E-2</c:v>
                </c:pt>
                <c:pt idx="2">
                  <c:v>5.5635011457873515E-2</c:v>
                </c:pt>
                <c:pt idx="3">
                  <c:v>5.2591056111541336E-2</c:v>
                </c:pt>
                <c:pt idx="4">
                  <c:v>5.369434569416788E-2</c:v>
                </c:pt>
                <c:pt idx="5">
                  <c:v>3.9366110119650848E-2</c:v>
                </c:pt>
                <c:pt idx="6">
                  <c:v>3.254391285288346E-2</c:v>
                </c:pt>
                <c:pt idx="7">
                  <c:v>3.1659001451820622E-2</c:v>
                </c:pt>
                <c:pt idx="8">
                  <c:v>3.0193833476896314E-2</c:v>
                </c:pt>
              </c:numCache>
            </c:numRef>
          </c:val>
          <c:extLst>
            <c:ext xmlns:c16="http://schemas.microsoft.com/office/drawing/2014/chart" uri="{C3380CC4-5D6E-409C-BE32-E72D297353CC}">
              <c16:uniqueId val="{0000000A-DE42-4AE6-A5CC-6DC5F9D87B57}"/>
            </c:ext>
          </c:extLst>
        </c:ser>
        <c:ser>
          <c:idx val="10"/>
          <c:order val="6"/>
          <c:tx>
            <c:strRef>
              <c:f>AggHHcons!$H$39</c:f>
              <c:strCache>
                <c:ptCount val="1"/>
                <c:pt idx="0">
                  <c:v>Other liquid fuels</c:v>
                </c:pt>
              </c:strCache>
            </c:strRef>
          </c:tx>
          <c:spPr>
            <a:solidFill>
              <a:srgbClr val="70AD47">
                <a:lumMod val="20000"/>
                <a:lumOff val="80000"/>
              </a:srgbClr>
            </a:solidFill>
            <a:ln>
              <a:solidFill>
                <a:schemeClr val="tx1"/>
              </a:solidFill>
            </a:ln>
            <a:effectLst/>
          </c:spPr>
          <c:invertIfNegative val="0"/>
          <c:dLbls>
            <c:delete val="1"/>
          </c:dLbls>
          <c:cat>
            <c:multiLvlStrRef>
              <c:f>AggHHcons!$I$27:$Q$28</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AggHHcons!$I$39:$Q$39</c:f>
              <c:numCache>
                <c:formatCode>0.0%</c:formatCode>
                <c:ptCount val="9"/>
                <c:pt idx="0">
                  <c:v>7.8058816582552279E-3</c:v>
                </c:pt>
                <c:pt idx="1">
                  <c:v>4.8681722289790324E-3</c:v>
                </c:pt>
                <c:pt idx="2">
                  <c:v>3.1967648706104357E-3</c:v>
                </c:pt>
                <c:pt idx="3">
                  <c:v>3.2116434221474734E-3</c:v>
                </c:pt>
                <c:pt idx="4">
                  <c:v>2.7073633197386526E-3</c:v>
                </c:pt>
                <c:pt idx="5">
                  <c:v>5.2252538282941772E-4</c:v>
                </c:pt>
                <c:pt idx="6">
                  <c:v>7.9941355407801563E-5</c:v>
                </c:pt>
                <c:pt idx="7">
                  <c:v>7.7767645776246608E-5</c:v>
                </c:pt>
                <c:pt idx="8">
                  <c:v>7.4168585197851791E-5</c:v>
                </c:pt>
              </c:numCache>
            </c:numRef>
          </c:val>
          <c:extLst>
            <c:ext xmlns:c16="http://schemas.microsoft.com/office/drawing/2014/chart" uri="{C3380CC4-5D6E-409C-BE32-E72D297353CC}">
              <c16:uniqueId val="{0000000B-DE42-4AE6-A5CC-6DC5F9D87B57}"/>
            </c:ext>
          </c:extLst>
        </c:ser>
        <c:ser>
          <c:idx val="1"/>
          <c:order val="7"/>
          <c:tx>
            <c:strRef>
              <c:f>AggHHcons!$H$37</c:f>
              <c:strCache>
                <c:ptCount val="1"/>
                <c:pt idx="0">
                  <c:v>Other energy</c:v>
                </c:pt>
              </c:strCache>
            </c:strRef>
          </c:tx>
          <c:spPr>
            <a:solidFill>
              <a:srgbClr val="70AD47">
                <a:lumMod val="75000"/>
              </a:srgbClr>
            </a:solidFill>
            <a:ln>
              <a:solidFill>
                <a:sysClr val="windowText" lastClr="000000"/>
              </a:solidFill>
            </a:ln>
            <a:effectLst/>
          </c:spPr>
          <c:invertIfNegative val="0"/>
          <c:dLbls>
            <c:delete val="1"/>
          </c:dLbls>
          <c:cat>
            <c:multiLvlStrRef>
              <c:f>AggHHcons!$I$27:$Q$28</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AggHHcons!$I$37:$Q$37</c:f>
              <c:numCache>
                <c:formatCode>0.0%</c:formatCode>
                <c:ptCount val="9"/>
                <c:pt idx="0">
                  <c:v>5.0860032277988854E-4</c:v>
                </c:pt>
                <c:pt idx="1">
                  <c:v>3.8443211488741309E-4</c:v>
                </c:pt>
                <c:pt idx="2">
                  <c:v>9.6192063860678725E-5</c:v>
                </c:pt>
                <c:pt idx="3">
                  <c:v>4.6436834686175541E-4</c:v>
                </c:pt>
                <c:pt idx="4">
                  <c:v>1.5161356305386445E-4</c:v>
                </c:pt>
                <c:pt idx="5">
                  <c:v>4.7253444689565664E-5</c:v>
                </c:pt>
                <c:pt idx="6">
                  <c:v>2.525325803931112E-5</c:v>
                </c:pt>
                <c:pt idx="7">
                  <c:v>2.7459817902390712E-5</c:v>
                </c:pt>
                <c:pt idx="8">
                  <c:v>3.1113269357771275E-5</c:v>
                </c:pt>
              </c:numCache>
            </c:numRef>
          </c:val>
          <c:extLst>
            <c:ext xmlns:c16="http://schemas.microsoft.com/office/drawing/2014/chart" uri="{C3380CC4-5D6E-409C-BE32-E72D297353CC}">
              <c16:uniqueId val="{0000000C-DE42-4AE6-A5CC-6DC5F9D87B57}"/>
            </c:ext>
          </c:extLst>
        </c:ser>
        <c:ser>
          <c:idx val="9"/>
          <c:order val="8"/>
          <c:tx>
            <c:strRef>
              <c:f>AggHHcons!$H$35</c:f>
              <c:strCache>
                <c:ptCount val="1"/>
                <c:pt idx="0">
                  <c:v>Transport services</c:v>
                </c:pt>
              </c:strCache>
            </c:strRef>
          </c:tx>
          <c:spPr>
            <a:solidFill>
              <a:srgbClr val="5B9BD5">
                <a:lumMod val="40000"/>
                <a:lumOff val="60000"/>
              </a:srgbClr>
            </a:solidFill>
            <a:ln>
              <a:solidFill>
                <a:sysClr val="windowText" lastClr="0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AggHHcons!$I$27:$Q$28</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AggHHcons!$I$35:$Q$35</c:f>
              <c:numCache>
                <c:formatCode>0.0%</c:formatCode>
                <c:ptCount val="9"/>
                <c:pt idx="0">
                  <c:v>6.4115221069906844E-2</c:v>
                </c:pt>
                <c:pt idx="1">
                  <c:v>7.4398567559489232E-2</c:v>
                </c:pt>
                <c:pt idx="2">
                  <c:v>5.5164451885382659E-2</c:v>
                </c:pt>
                <c:pt idx="3">
                  <c:v>6.4780014799172128E-2</c:v>
                </c:pt>
                <c:pt idx="4">
                  <c:v>5.1982140747152857E-2</c:v>
                </c:pt>
                <c:pt idx="5">
                  <c:v>4.7158583148492202E-2</c:v>
                </c:pt>
                <c:pt idx="6">
                  <c:v>3.8104286498030514E-2</c:v>
                </c:pt>
                <c:pt idx="7">
                  <c:v>3.5967780689610901E-2</c:v>
                </c:pt>
                <c:pt idx="8">
                  <c:v>3.2430319329103528E-2</c:v>
                </c:pt>
              </c:numCache>
            </c:numRef>
          </c:val>
          <c:extLst>
            <c:ext xmlns:c16="http://schemas.microsoft.com/office/drawing/2014/chart" uri="{C3380CC4-5D6E-409C-BE32-E72D297353CC}">
              <c16:uniqueId val="{0000000D-DE42-4AE6-A5CC-6DC5F9D87B57}"/>
            </c:ext>
          </c:extLst>
        </c:ser>
        <c:ser>
          <c:idx val="3"/>
          <c:order val="9"/>
          <c:tx>
            <c:strRef>
              <c:f>AggHHcons!$H$33</c:f>
              <c:strCache>
                <c:ptCount val="1"/>
                <c:pt idx="0">
                  <c:v>Other services</c:v>
                </c:pt>
              </c:strCache>
            </c:strRef>
          </c:tx>
          <c:spPr>
            <a:solidFill>
              <a:schemeClr val="accent5">
                <a:lumMod val="60000"/>
                <a:lumOff val="4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AggHHcons!$I$27:$Q$28</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AggHHcons!$I$33:$Q$33</c:f>
              <c:numCache>
                <c:formatCode>0.0%</c:formatCode>
                <c:ptCount val="9"/>
                <c:pt idx="0">
                  <c:v>0.19874110626308561</c:v>
                </c:pt>
                <c:pt idx="1">
                  <c:v>0.26327651153610121</c:v>
                </c:pt>
                <c:pt idx="2">
                  <c:v>0.38720773799098773</c:v>
                </c:pt>
                <c:pt idx="3">
                  <c:v>0.34424632495842189</c:v>
                </c:pt>
                <c:pt idx="4">
                  <c:v>0.41586686693938035</c:v>
                </c:pt>
                <c:pt idx="5">
                  <c:v>0.48674016536333703</c:v>
                </c:pt>
                <c:pt idx="6">
                  <c:v>0.50634916240154182</c:v>
                </c:pt>
                <c:pt idx="7">
                  <c:v>0.50845648313593039</c:v>
                </c:pt>
                <c:pt idx="8">
                  <c:v>0.51194562210413685</c:v>
                </c:pt>
              </c:numCache>
            </c:numRef>
          </c:val>
          <c:extLst>
            <c:ext xmlns:c16="http://schemas.microsoft.com/office/drawing/2014/chart" uri="{C3380CC4-5D6E-409C-BE32-E72D297353CC}">
              <c16:uniqueId val="{0000000E-DE42-4AE6-A5CC-6DC5F9D87B57}"/>
            </c:ext>
          </c:extLst>
        </c:ser>
        <c:ser>
          <c:idx val="0"/>
          <c:order val="10"/>
          <c:tx>
            <c:strRef>
              <c:f>AggHHcons!$H$36</c:f>
              <c:strCache>
                <c:ptCount val="1"/>
                <c:pt idx="0">
                  <c:v>Other</c:v>
                </c:pt>
              </c:strCache>
            </c:strRef>
          </c:tx>
          <c:spPr>
            <a:solidFill>
              <a:srgbClr val="5B9BD5">
                <a:lumMod val="20000"/>
                <a:lumOff val="80000"/>
              </a:srgbClr>
            </a:solidFill>
            <a:ln>
              <a:solidFill>
                <a:sysClr val="windowText" lastClr="000000"/>
              </a:solidFill>
            </a:ln>
            <a:effectLst/>
          </c:spPr>
          <c:invertIfNegative val="0"/>
          <c:dLbls>
            <c:delete val="1"/>
          </c:dLbls>
          <c:cat>
            <c:multiLvlStrRef>
              <c:f>AggHHcons!$I$27:$Q$28</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AggHHcons!$I$36:$Q$36</c:f>
              <c:numCache>
                <c:formatCode>0.0%</c:formatCode>
                <c:ptCount val="9"/>
                <c:pt idx="0">
                  <c:v>2.2769772237504142E-2</c:v>
                </c:pt>
                <c:pt idx="1">
                  <c:v>1.8480129943268767E-2</c:v>
                </c:pt>
                <c:pt idx="2">
                  <c:v>1.2802854570685336E-2</c:v>
                </c:pt>
                <c:pt idx="3">
                  <c:v>1.4404916121800681E-2</c:v>
                </c:pt>
                <c:pt idx="4">
                  <c:v>1.2153683932534864E-2</c:v>
                </c:pt>
                <c:pt idx="5">
                  <c:v>1.115785025383071E-2</c:v>
                </c:pt>
                <c:pt idx="6">
                  <c:v>1.0046869970501086E-2</c:v>
                </c:pt>
                <c:pt idx="7">
                  <c:v>9.7995264042034132E-3</c:v>
                </c:pt>
                <c:pt idx="8">
                  <c:v>9.3899940242319051E-3</c:v>
                </c:pt>
              </c:numCache>
            </c:numRef>
          </c:val>
          <c:extLst>
            <c:ext xmlns:c16="http://schemas.microsoft.com/office/drawing/2014/chart" uri="{C3380CC4-5D6E-409C-BE32-E72D297353CC}">
              <c16:uniqueId val="{0000000F-DE42-4AE6-A5CC-6DC5F9D87B57}"/>
            </c:ext>
          </c:extLst>
        </c:ser>
        <c:dLbls>
          <c:dLblPos val="ctr"/>
          <c:showLegendKey val="0"/>
          <c:showVal val="1"/>
          <c:showCatName val="0"/>
          <c:showSerName val="0"/>
          <c:showPercent val="0"/>
          <c:showBubbleSize val="0"/>
        </c:dLbls>
        <c:gapWidth val="50"/>
        <c:overlap val="100"/>
        <c:axId val="387808112"/>
        <c:axId val="387808752"/>
        <c:extLst/>
      </c:barChart>
      <c:catAx>
        <c:axId val="38780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752"/>
        <c:crosses val="autoZero"/>
        <c:auto val="1"/>
        <c:lblAlgn val="ctr"/>
        <c:lblOffset val="100"/>
        <c:tickLblSkip val="1"/>
        <c:noMultiLvlLbl val="0"/>
      </c:catAx>
      <c:valAx>
        <c:axId val="38780875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a:t>Share of total</a:t>
                </a:r>
                <a:r>
                  <a:rPr lang="en-ZA" baseline="0"/>
                  <a:t> household consumption expenditure</a:t>
                </a:r>
                <a:endParaRPr lang="en-ZA"/>
              </a:p>
            </c:rich>
          </c:tx>
          <c:layout>
            <c:manualLayout>
              <c:xMode val="edge"/>
              <c:yMode val="edge"/>
              <c:x val="2.1291616386981394E-2"/>
              <c:y val="8.7475569273288215E-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112"/>
        <c:crosses val="autoZero"/>
        <c:crossBetween val="between"/>
      </c:valAx>
      <c:spPr>
        <a:noFill/>
        <a:ln>
          <a:noFill/>
        </a:ln>
        <a:effectLst/>
      </c:spPr>
    </c:plotArea>
    <c:legend>
      <c:legendPos val="b"/>
      <c:layout>
        <c:manualLayout>
          <c:xMode val="edge"/>
          <c:yMode val="edge"/>
          <c:x val="2.9282136315099534E-2"/>
          <c:y val="0.88019135758933442"/>
          <c:w val="0.94730191250900697"/>
          <c:h val="0.107683112405848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5"/>
          <c:order val="0"/>
          <c:tx>
            <c:strRef>
              <c:f>'AggHHcons (2)'!$Z$6</c:f>
              <c:strCache>
                <c:ptCount val="1"/>
                <c:pt idx="0">
                  <c:v>Coal</c:v>
                </c:pt>
              </c:strCache>
            </c:strRef>
          </c:tx>
          <c:spPr>
            <a:solidFill>
              <a:srgbClr val="E7E6E6">
                <a:lumMod val="25000"/>
              </a:srgbClr>
            </a:solidFill>
            <a:ln>
              <a:solidFill>
                <a:schemeClr val="tx1"/>
              </a:solidFill>
            </a:ln>
            <a:effectLst/>
          </c:spPr>
          <c:invertIfNegative val="0"/>
          <c:dLbls>
            <c:delete val="1"/>
          </c:dLbls>
          <c:cat>
            <c:multiLvlStrRef>
              <c:f>'AggHHcons (2)'!$AA$4:$AI$5</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 (2)'!$AA$6:$AI$6</c:f>
              <c:numCache>
                <c:formatCode>0.0%</c:formatCode>
                <c:ptCount val="9"/>
                <c:pt idx="0">
                  <c:v>5.0860032277988854E-4</c:v>
                </c:pt>
                <c:pt idx="1">
                  <c:v>3.8443211488741309E-4</c:v>
                </c:pt>
                <c:pt idx="2">
                  <c:v>9.6192063860678738E-5</c:v>
                </c:pt>
                <c:pt idx="3">
                  <c:v>4.6436834686175551E-4</c:v>
                </c:pt>
                <c:pt idx="4">
                  <c:v>1.5161356305386442E-4</c:v>
                </c:pt>
                <c:pt idx="5">
                  <c:v>4.7253444689565664E-5</c:v>
                </c:pt>
                <c:pt idx="6">
                  <c:v>2.5253258039311127E-5</c:v>
                </c:pt>
                <c:pt idx="7">
                  <c:v>2.7459817902390715E-5</c:v>
                </c:pt>
                <c:pt idx="8">
                  <c:v>3.1113269357771275E-5</c:v>
                </c:pt>
              </c:numCache>
            </c:numRef>
          </c:val>
          <c:extLst>
            <c:ext xmlns:c16="http://schemas.microsoft.com/office/drawing/2014/chart" uri="{C3380CC4-5D6E-409C-BE32-E72D297353CC}">
              <c16:uniqueId val="{00000000-9958-4FD0-926F-D00D2D2D7ECE}"/>
            </c:ext>
          </c:extLst>
        </c:ser>
        <c:ser>
          <c:idx val="2"/>
          <c:order val="1"/>
          <c:tx>
            <c:strRef>
              <c:f>'AggHHcons (2)'!$Z$7</c:f>
              <c:strCache>
                <c:ptCount val="1"/>
                <c:pt idx="0">
                  <c:v>Electricity</c:v>
                </c:pt>
              </c:strCache>
            </c:strRef>
          </c:tx>
          <c:spPr>
            <a:solidFill>
              <a:schemeClr val="accent3"/>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j-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'AggHHcons (2)'!$AA$4:$AI$5</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 (2)'!$AA$7:$AI$7</c:f>
              <c:numCache>
                <c:formatCode>0.0%</c:formatCode>
                <c:ptCount val="9"/>
                <c:pt idx="0">
                  <c:v>1.6116970124031769E-2</c:v>
                </c:pt>
                <c:pt idx="1">
                  <c:v>1.6930871834618513E-2</c:v>
                </c:pt>
                <c:pt idx="2">
                  <c:v>1.9366498570848066E-2</c:v>
                </c:pt>
                <c:pt idx="3">
                  <c:v>1.8657887081098192E-2</c:v>
                </c:pt>
                <c:pt idx="4">
                  <c:v>1.9177404611161065E-2</c:v>
                </c:pt>
                <c:pt idx="5">
                  <c:v>1.6722963413436254E-2</c:v>
                </c:pt>
                <c:pt idx="6">
                  <c:v>1.3493691065978312E-2</c:v>
                </c:pt>
                <c:pt idx="7">
                  <c:v>1.2865456268580898E-2</c:v>
                </c:pt>
                <c:pt idx="8">
                  <c:v>1.1825273596311945E-2</c:v>
                </c:pt>
              </c:numCache>
            </c:numRef>
          </c:val>
          <c:extLst>
            <c:ext xmlns:c16="http://schemas.microsoft.com/office/drawing/2014/chart" uri="{C3380CC4-5D6E-409C-BE32-E72D297353CC}">
              <c16:uniqueId val="{00000001-9958-4FD0-926F-D00D2D2D7ECE}"/>
            </c:ext>
          </c:extLst>
        </c:ser>
        <c:ser>
          <c:idx val="6"/>
          <c:order val="2"/>
          <c:tx>
            <c:strRef>
              <c:f>'AggHHcons (2)'!$Z$8</c:f>
              <c:strCache>
                <c:ptCount val="1"/>
                <c:pt idx="0">
                  <c:v>Diesel</c:v>
                </c:pt>
              </c:strCache>
            </c:strRef>
          </c:tx>
          <c:spPr>
            <a:solidFill>
              <a:schemeClr val="bg2">
                <a:lumMod val="9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j-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'AggHHcons (2)'!$AA$4:$AI$5</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 (2)'!$AA$8:$AI$8</c:f>
              <c:numCache>
                <c:formatCode>0.0%</c:formatCode>
                <c:ptCount val="9"/>
                <c:pt idx="0">
                  <c:v>3.5063609739481093E-3</c:v>
                </c:pt>
                <c:pt idx="1">
                  <c:v>4.53249905538266E-3</c:v>
                </c:pt>
                <c:pt idx="2">
                  <c:v>6.0499730360366053E-3</c:v>
                </c:pt>
                <c:pt idx="3">
                  <c:v>5.7189611914151084E-3</c:v>
                </c:pt>
                <c:pt idx="4">
                  <c:v>5.8389373008994137E-3</c:v>
                </c:pt>
                <c:pt idx="5">
                  <c:v>4.2808278189692076E-3</c:v>
                </c:pt>
                <c:pt idx="6">
                  <c:v>3.5389548790900763E-3</c:v>
                </c:pt>
                <c:pt idx="7">
                  <c:v>3.4427260840308518E-3</c:v>
                </c:pt>
                <c:pt idx="8">
                  <c:v>3.2833978748817243E-3</c:v>
                </c:pt>
              </c:numCache>
            </c:numRef>
          </c:val>
          <c:extLst>
            <c:ext xmlns:c16="http://schemas.microsoft.com/office/drawing/2014/chart" uri="{C3380CC4-5D6E-409C-BE32-E72D297353CC}">
              <c16:uniqueId val="{00000002-9958-4FD0-926F-D00D2D2D7ECE}"/>
            </c:ext>
          </c:extLst>
        </c:ser>
        <c:ser>
          <c:idx val="7"/>
          <c:order val="3"/>
          <c:tx>
            <c:strRef>
              <c:f>'AggHHcons (2)'!$Z$9</c:f>
              <c:strCache>
                <c:ptCount val="1"/>
                <c:pt idx="0">
                  <c:v>Other liquid fuels</c:v>
                </c:pt>
              </c:strCache>
            </c:strRef>
          </c:tx>
          <c:spPr>
            <a:solidFill>
              <a:schemeClr val="accent5">
                <a:lumMod val="75000"/>
              </a:schemeClr>
            </a:solidFill>
            <a:ln>
              <a:solidFill>
                <a:schemeClr val="tx1"/>
              </a:solidFill>
            </a:ln>
            <a:effectLst/>
          </c:spPr>
          <c:invertIfNegative val="0"/>
          <c:dLbls>
            <c:dLbl>
              <c:idx val="5"/>
              <c:delete val="1"/>
              <c:extLst>
                <c:ext xmlns:c15="http://schemas.microsoft.com/office/drawing/2012/chart" uri="{CE6537A1-D6FC-4f65-9D91-7224C49458BB}"/>
                <c:ext xmlns:c16="http://schemas.microsoft.com/office/drawing/2014/chart" uri="{C3380CC4-5D6E-409C-BE32-E72D297353CC}">
                  <c16:uniqueId val="{00000003-9958-4FD0-926F-D00D2D2D7ECE}"/>
                </c:ext>
              </c:extLst>
            </c:dLbl>
            <c:dLbl>
              <c:idx val="6"/>
              <c:delete val="1"/>
              <c:extLst>
                <c:ext xmlns:c15="http://schemas.microsoft.com/office/drawing/2012/chart" uri="{CE6537A1-D6FC-4f65-9D91-7224C49458BB}"/>
                <c:ext xmlns:c16="http://schemas.microsoft.com/office/drawing/2014/chart" uri="{C3380CC4-5D6E-409C-BE32-E72D297353CC}">
                  <c16:uniqueId val="{00000004-9958-4FD0-926F-D00D2D2D7ECE}"/>
                </c:ext>
              </c:extLst>
            </c:dLbl>
            <c:dLbl>
              <c:idx val="7"/>
              <c:delete val="1"/>
              <c:extLst>
                <c:ext xmlns:c15="http://schemas.microsoft.com/office/drawing/2012/chart" uri="{CE6537A1-D6FC-4f65-9D91-7224C49458BB}"/>
                <c:ext xmlns:c16="http://schemas.microsoft.com/office/drawing/2014/chart" uri="{C3380CC4-5D6E-409C-BE32-E72D297353CC}">
                  <c16:uniqueId val="{00000005-9958-4FD0-926F-D00D2D2D7ECE}"/>
                </c:ext>
              </c:extLst>
            </c:dLbl>
            <c:dLbl>
              <c:idx val="8"/>
              <c:delete val="1"/>
              <c:extLst>
                <c:ext xmlns:c15="http://schemas.microsoft.com/office/drawing/2012/chart" uri="{CE6537A1-D6FC-4f65-9D91-7224C49458BB}"/>
                <c:ext xmlns:c16="http://schemas.microsoft.com/office/drawing/2014/chart" uri="{C3380CC4-5D6E-409C-BE32-E72D297353CC}">
                  <c16:uniqueId val="{00000006-9958-4FD0-926F-D00D2D2D7ECE}"/>
                </c:ext>
              </c:extLst>
            </c:dLbl>
            <c:spPr>
              <a:noFill/>
              <a:ln>
                <a:noFill/>
              </a:ln>
              <a:effectLst/>
            </c:spPr>
            <c:txPr>
              <a:bodyPr rot="0" spcFirstLastPara="1" vertOverflow="ellipsis" vert="horz" wrap="square" anchor="ctr" anchorCtr="1"/>
              <a:lstStyle/>
              <a:p>
                <a:pPr>
                  <a:defRPr sz="900" b="0" i="0" u="none" strike="noStrike" kern="1200" baseline="0">
                    <a:solidFill>
                      <a:schemeClr val="bg1">
                        <a:lumMod val="95000"/>
                      </a:schemeClr>
                    </a:solidFill>
                    <a:latin typeface="+mj-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'AggHHcons (2)'!$AA$4:$AI$5</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 (2)'!$AA$9:$AI$9</c:f>
              <c:numCache>
                <c:formatCode>0.0%</c:formatCode>
                <c:ptCount val="9"/>
                <c:pt idx="0">
                  <c:v>7.8058816582552279E-3</c:v>
                </c:pt>
                <c:pt idx="1">
                  <c:v>4.8681722289790324E-3</c:v>
                </c:pt>
                <c:pt idx="2">
                  <c:v>3.1967648706104361E-3</c:v>
                </c:pt>
                <c:pt idx="3">
                  <c:v>3.2116434221474738E-3</c:v>
                </c:pt>
                <c:pt idx="4">
                  <c:v>2.7073633197386522E-3</c:v>
                </c:pt>
                <c:pt idx="5">
                  <c:v>5.2252538282941772E-4</c:v>
                </c:pt>
                <c:pt idx="6">
                  <c:v>7.994135540780159E-5</c:v>
                </c:pt>
                <c:pt idx="7">
                  <c:v>7.7767645776246621E-5</c:v>
                </c:pt>
                <c:pt idx="8">
                  <c:v>7.4168585197851778E-5</c:v>
                </c:pt>
              </c:numCache>
            </c:numRef>
          </c:val>
          <c:extLst>
            <c:ext xmlns:c16="http://schemas.microsoft.com/office/drawing/2014/chart" uri="{C3380CC4-5D6E-409C-BE32-E72D297353CC}">
              <c16:uniqueId val="{00000007-9958-4FD0-926F-D00D2D2D7ECE}"/>
            </c:ext>
          </c:extLst>
        </c:ser>
        <c:ser>
          <c:idx val="3"/>
          <c:order val="4"/>
          <c:tx>
            <c:strRef>
              <c:f>'AggHHcons (2)'!$Z$10</c:f>
              <c:strCache>
                <c:ptCount val="1"/>
                <c:pt idx="0">
                  <c:v>Petrol</c:v>
                </c:pt>
              </c:strCache>
            </c:strRef>
          </c:tx>
          <c:spPr>
            <a:solidFill>
              <a:schemeClr val="accent5">
                <a:lumMod val="60000"/>
                <a:lumOff val="40000"/>
              </a:schemeClr>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lumMod val="95000"/>
                      </a:schemeClr>
                    </a:solidFill>
                    <a:latin typeface="+mj-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'AggHHcons (2)'!$AA$4:$AI$5</c:f>
              <c:multiLvlStrCache>
                <c:ptCount val="9"/>
                <c:lvl>
                  <c:pt idx="0">
                    <c:v>Reference</c:v>
                  </c:pt>
                  <c:pt idx="1">
                    <c:v>BudShrAdj-30</c:v>
                  </c:pt>
                  <c:pt idx="2">
                    <c:v>BudShrAdj-50</c:v>
                  </c:pt>
                  <c:pt idx="3">
                    <c:v>Reference</c:v>
                  </c:pt>
                  <c:pt idx="4">
                    <c:v>BudShrAdj-30</c:v>
                  </c:pt>
                  <c:pt idx="5">
                    <c:v>BudShrAdj-50</c:v>
                  </c:pt>
                  <c:pt idx="6">
                    <c:v>Reference</c:v>
                  </c:pt>
                  <c:pt idx="7">
                    <c:v>BudShrAdj-30</c:v>
                  </c:pt>
                  <c:pt idx="8">
                    <c:v>BudShrAdj-50</c:v>
                  </c:pt>
                </c:lvl>
                <c:lvl>
                  <c:pt idx="0">
                    <c:v>Low</c:v>
                  </c:pt>
                  <c:pt idx="3">
                    <c:v>Middle</c:v>
                  </c:pt>
                  <c:pt idx="6">
                    <c:v>High</c:v>
                  </c:pt>
                </c:lvl>
              </c:multiLvlStrCache>
            </c:multiLvlStrRef>
          </c:cat>
          <c:val>
            <c:numRef>
              <c:f>'AggHHcons (2)'!$AA$10:$AI$10</c:f>
              <c:numCache>
                <c:formatCode>0.0%</c:formatCode>
                <c:ptCount val="9"/>
                <c:pt idx="0">
                  <c:v>2.8737821239604312E-2</c:v>
                </c:pt>
                <c:pt idx="1">
                  <c:v>3.7147957266817952E-2</c:v>
                </c:pt>
                <c:pt idx="2">
                  <c:v>4.9585038421836918E-2</c:v>
                </c:pt>
                <c:pt idx="3">
                  <c:v>4.6872094920126235E-2</c:v>
                </c:pt>
                <c:pt idx="4">
                  <c:v>4.7855408393268462E-2</c:v>
                </c:pt>
                <c:pt idx="5">
                  <c:v>3.5085282300681642E-2</c:v>
                </c:pt>
                <c:pt idx="6">
                  <c:v>2.9004957973793394E-2</c:v>
                </c:pt>
                <c:pt idx="7">
                  <c:v>2.8216275367789773E-2</c:v>
                </c:pt>
                <c:pt idx="8">
                  <c:v>2.6910435602014587E-2</c:v>
                </c:pt>
              </c:numCache>
            </c:numRef>
          </c:val>
          <c:extLst>
            <c:ext xmlns:c16="http://schemas.microsoft.com/office/drawing/2014/chart" uri="{C3380CC4-5D6E-409C-BE32-E72D297353CC}">
              <c16:uniqueId val="{00000008-9958-4FD0-926F-D00D2D2D7ECE}"/>
            </c:ext>
          </c:extLst>
        </c:ser>
        <c:dLbls>
          <c:dLblPos val="ctr"/>
          <c:showLegendKey val="0"/>
          <c:showVal val="1"/>
          <c:showCatName val="0"/>
          <c:showSerName val="0"/>
          <c:showPercent val="0"/>
          <c:showBubbleSize val="0"/>
        </c:dLbls>
        <c:gapWidth val="50"/>
        <c:overlap val="100"/>
        <c:axId val="387808112"/>
        <c:axId val="387808752"/>
        <c:extLst/>
      </c:barChart>
      <c:catAx>
        <c:axId val="38780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387808752"/>
        <c:crosses val="autoZero"/>
        <c:auto val="1"/>
        <c:lblAlgn val="ctr"/>
        <c:lblOffset val="100"/>
        <c:tickLblSkip val="1"/>
        <c:noMultiLvlLbl val="0"/>
      </c:catAx>
      <c:valAx>
        <c:axId val="38780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r>
                  <a:rPr lang="en-US"/>
                  <a:t>Energy share of total household consumption expenditure</a:t>
                </a:r>
                <a:endParaRPr lang="en-ZA"/>
              </a:p>
            </c:rich>
          </c:tx>
          <c:layout>
            <c:manualLayout>
              <c:xMode val="edge"/>
              <c:yMode val="edge"/>
              <c:x val="1.2175815399039837E-2"/>
              <c:y val="0.11038875188422913"/>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387808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900">
          <a:latin typeface="+mj-lt"/>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116695170545799"/>
          <c:y val="3.3429569974168058E-2"/>
          <c:w val="0.85457725998142187"/>
          <c:h val="0.73553596789612663"/>
        </c:manualLayout>
      </c:layout>
      <c:barChart>
        <c:barDir val="col"/>
        <c:grouping val="stacked"/>
        <c:varyColors val="0"/>
        <c:ser>
          <c:idx val="5"/>
          <c:order val="0"/>
          <c:tx>
            <c:strRef>
              <c:f>QVA_Agg!$O$43</c:f>
              <c:strCache>
                <c:ptCount val="1"/>
                <c:pt idx="0">
                  <c:v>Food</c:v>
                </c:pt>
              </c:strCache>
            </c:strRef>
          </c:tx>
          <c:spPr>
            <a:solidFill>
              <a:schemeClr val="bg2">
                <a:lumMod val="5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QVA_Agg!$P$41:$T$42</c:f>
              <c:multiLvlStrCache>
                <c:ptCount val="5"/>
                <c:lvl>
                  <c:pt idx="0">
                    <c:v>Base</c:v>
                  </c:pt>
                  <c:pt idx="1">
                    <c:v>Reference</c:v>
                  </c:pt>
                  <c:pt idx="2">
                    <c:v>BudShrAdj</c:v>
                  </c:pt>
                  <c:pt idx="3">
                    <c:v>Reference</c:v>
                  </c:pt>
                  <c:pt idx="4">
                    <c:v>BudShrAdj</c:v>
                  </c:pt>
                </c:lvl>
                <c:lvl>
                  <c:pt idx="0">
                    <c:v>2012</c:v>
                  </c:pt>
                  <c:pt idx="1">
                    <c:v>2030</c:v>
                  </c:pt>
                  <c:pt idx="3">
                    <c:v>2050</c:v>
                  </c:pt>
                </c:lvl>
              </c:multiLvlStrCache>
            </c:multiLvlStrRef>
          </c:cat>
          <c:val>
            <c:numRef>
              <c:f>QVA_Agg!$P$43:$T$43</c:f>
              <c:numCache>
                <c:formatCode>0.0%</c:formatCode>
                <c:ptCount val="5"/>
                <c:pt idx="0">
                  <c:v>5.3735617714099966E-2</c:v>
                </c:pt>
                <c:pt idx="1">
                  <c:v>6.1115197446789789E-2</c:v>
                </c:pt>
                <c:pt idx="2">
                  <c:v>5.4775348479687708E-2</c:v>
                </c:pt>
                <c:pt idx="3">
                  <c:v>6.2040150611238805E-2</c:v>
                </c:pt>
                <c:pt idx="4">
                  <c:v>4.6381971837805909E-2</c:v>
                </c:pt>
              </c:numCache>
            </c:numRef>
          </c:val>
          <c:extLst>
            <c:ext xmlns:c16="http://schemas.microsoft.com/office/drawing/2014/chart" uri="{C3380CC4-5D6E-409C-BE32-E72D297353CC}">
              <c16:uniqueId val="{00000000-76F8-4DF0-9EDE-A838FAA3473B}"/>
            </c:ext>
          </c:extLst>
        </c:ser>
        <c:ser>
          <c:idx val="2"/>
          <c:order val="1"/>
          <c:tx>
            <c:strRef>
              <c:f>QVA_Agg!$O$44</c:f>
              <c:strCache>
                <c:ptCount val="1"/>
                <c:pt idx="0">
                  <c:v>Clothing</c:v>
                </c:pt>
              </c:strCache>
            </c:strRef>
          </c:tx>
          <c:spPr>
            <a:solidFill>
              <a:schemeClr val="accent3"/>
            </a:solidFill>
            <a:ln>
              <a:solidFill>
                <a:schemeClr val="tx1"/>
              </a:solidFill>
            </a:ln>
            <a:effectLst/>
          </c:spPr>
          <c:invertIfNegative val="0"/>
          <c:dLbls>
            <c:delete val="1"/>
          </c:dLbls>
          <c:cat>
            <c:multiLvlStrRef>
              <c:f>QVA_Agg!$P$41:$T$42</c:f>
              <c:multiLvlStrCache>
                <c:ptCount val="5"/>
                <c:lvl>
                  <c:pt idx="0">
                    <c:v>Base</c:v>
                  </c:pt>
                  <c:pt idx="1">
                    <c:v>Reference</c:v>
                  </c:pt>
                  <c:pt idx="2">
                    <c:v>BudShrAdj</c:v>
                  </c:pt>
                  <c:pt idx="3">
                    <c:v>Reference</c:v>
                  </c:pt>
                  <c:pt idx="4">
                    <c:v>BudShrAdj</c:v>
                  </c:pt>
                </c:lvl>
                <c:lvl>
                  <c:pt idx="0">
                    <c:v>2012</c:v>
                  </c:pt>
                  <c:pt idx="1">
                    <c:v>2030</c:v>
                  </c:pt>
                  <c:pt idx="3">
                    <c:v>2050</c:v>
                  </c:pt>
                </c:lvl>
              </c:multiLvlStrCache>
            </c:multiLvlStrRef>
          </c:cat>
          <c:val>
            <c:numRef>
              <c:f>QVA_Agg!$P$44:$T$44</c:f>
              <c:numCache>
                <c:formatCode>0.0%</c:formatCode>
                <c:ptCount val="5"/>
                <c:pt idx="0">
                  <c:v>3.9163464878511816E-3</c:v>
                </c:pt>
                <c:pt idx="1">
                  <c:v>3.634723500653365E-3</c:v>
                </c:pt>
                <c:pt idx="2">
                  <c:v>3.5230996914611483E-3</c:v>
                </c:pt>
                <c:pt idx="3">
                  <c:v>3.5379410337496313E-3</c:v>
                </c:pt>
                <c:pt idx="4">
                  <c:v>3.1515102575310366E-3</c:v>
                </c:pt>
              </c:numCache>
            </c:numRef>
          </c:val>
          <c:extLst>
            <c:ext xmlns:c16="http://schemas.microsoft.com/office/drawing/2014/chart" uri="{C3380CC4-5D6E-409C-BE32-E72D297353CC}">
              <c16:uniqueId val="{00000001-76F8-4DF0-9EDE-A838FAA3473B}"/>
            </c:ext>
          </c:extLst>
        </c:ser>
        <c:ser>
          <c:idx val="6"/>
          <c:order val="2"/>
          <c:tx>
            <c:strRef>
              <c:f>QVA_Agg!$O$45</c:f>
              <c:strCache>
                <c:ptCount val="1"/>
                <c:pt idx="0">
                  <c:v>Vehicles and parts</c:v>
                </c:pt>
              </c:strCache>
            </c:strRef>
          </c:tx>
          <c:spPr>
            <a:solidFill>
              <a:schemeClr val="bg2">
                <a:lumMod val="90000"/>
              </a:schemeClr>
            </a:solidFill>
            <a:ln>
              <a:solidFill>
                <a:schemeClr val="tx1"/>
              </a:solidFill>
            </a:ln>
            <a:effectLst/>
          </c:spPr>
          <c:invertIfNegative val="0"/>
          <c:dLbls>
            <c:delete val="1"/>
          </c:dLbls>
          <c:cat>
            <c:multiLvlStrRef>
              <c:f>QVA_Agg!$P$41:$T$42</c:f>
              <c:multiLvlStrCache>
                <c:ptCount val="5"/>
                <c:lvl>
                  <c:pt idx="0">
                    <c:v>Base</c:v>
                  </c:pt>
                  <c:pt idx="1">
                    <c:v>Reference</c:v>
                  </c:pt>
                  <c:pt idx="2">
                    <c:v>BudShrAdj</c:v>
                  </c:pt>
                  <c:pt idx="3">
                    <c:v>Reference</c:v>
                  </c:pt>
                  <c:pt idx="4">
                    <c:v>BudShrAdj</c:v>
                  </c:pt>
                </c:lvl>
                <c:lvl>
                  <c:pt idx="0">
                    <c:v>2012</c:v>
                  </c:pt>
                  <c:pt idx="1">
                    <c:v>2030</c:v>
                  </c:pt>
                  <c:pt idx="3">
                    <c:v>2050</c:v>
                  </c:pt>
                </c:lvl>
              </c:multiLvlStrCache>
            </c:multiLvlStrRef>
          </c:cat>
          <c:val>
            <c:numRef>
              <c:f>QVA_Agg!$P$45:$T$45</c:f>
              <c:numCache>
                <c:formatCode>0.0%</c:formatCode>
                <c:ptCount val="5"/>
                <c:pt idx="0">
                  <c:v>9.3433032200641135E-3</c:v>
                </c:pt>
                <c:pt idx="1">
                  <c:v>9.583234394347823E-3</c:v>
                </c:pt>
                <c:pt idx="2">
                  <c:v>9.9869438952724775E-3</c:v>
                </c:pt>
                <c:pt idx="3">
                  <c:v>9.7519144818178725E-3</c:v>
                </c:pt>
                <c:pt idx="4">
                  <c:v>1.0964749702281104E-2</c:v>
                </c:pt>
              </c:numCache>
            </c:numRef>
          </c:val>
          <c:extLst>
            <c:ext xmlns:c16="http://schemas.microsoft.com/office/drawing/2014/chart" uri="{C3380CC4-5D6E-409C-BE32-E72D297353CC}">
              <c16:uniqueId val="{00000002-76F8-4DF0-9EDE-A838FAA3473B}"/>
            </c:ext>
          </c:extLst>
        </c:ser>
        <c:ser>
          <c:idx val="7"/>
          <c:order val="3"/>
          <c:tx>
            <c:strRef>
              <c:f>QVA_Agg!$O$46</c:f>
              <c:strCache>
                <c:ptCount val="1"/>
                <c:pt idx="0">
                  <c:v>Other manufacturing</c:v>
                </c:pt>
              </c:strCache>
            </c:strRef>
          </c:tx>
          <c:spPr>
            <a:solidFill>
              <a:schemeClr val="accent5">
                <a:lumMod val="75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QVA_Agg!$P$41:$T$42</c:f>
              <c:multiLvlStrCache>
                <c:ptCount val="5"/>
                <c:lvl>
                  <c:pt idx="0">
                    <c:v>Base</c:v>
                  </c:pt>
                  <c:pt idx="1">
                    <c:v>Reference</c:v>
                  </c:pt>
                  <c:pt idx="2">
                    <c:v>BudShrAdj</c:v>
                  </c:pt>
                  <c:pt idx="3">
                    <c:v>Reference</c:v>
                  </c:pt>
                  <c:pt idx="4">
                    <c:v>BudShrAdj</c:v>
                  </c:pt>
                </c:lvl>
                <c:lvl>
                  <c:pt idx="0">
                    <c:v>2012</c:v>
                  </c:pt>
                  <c:pt idx="1">
                    <c:v>2030</c:v>
                  </c:pt>
                  <c:pt idx="3">
                    <c:v>2050</c:v>
                  </c:pt>
                </c:lvl>
              </c:multiLvlStrCache>
            </c:multiLvlStrRef>
          </c:cat>
          <c:val>
            <c:numRef>
              <c:f>QVA_Agg!$P$46:$T$46</c:f>
              <c:numCache>
                <c:formatCode>0.0%</c:formatCode>
                <c:ptCount val="5"/>
                <c:pt idx="0">
                  <c:v>7.4221063811878651E-2</c:v>
                </c:pt>
                <c:pt idx="1">
                  <c:v>7.7340552912651725E-2</c:v>
                </c:pt>
                <c:pt idx="2">
                  <c:v>7.7116147294986281E-2</c:v>
                </c:pt>
                <c:pt idx="3">
                  <c:v>7.5743163687731985E-2</c:v>
                </c:pt>
                <c:pt idx="4">
                  <c:v>7.5452279890583965E-2</c:v>
                </c:pt>
              </c:numCache>
            </c:numRef>
          </c:val>
          <c:extLst>
            <c:ext xmlns:c16="http://schemas.microsoft.com/office/drawing/2014/chart" uri="{C3380CC4-5D6E-409C-BE32-E72D297353CC}">
              <c16:uniqueId val="{00000003-76F8-4DF0-9EDE-A838FAA3473B}"/>
            </c:ext>
          </c:extLst>
        </c:ser>
        <c:ser>
          <c:idx val="3"/>
          <c:order val="4"/>
          <c:tx>
            <c:strRef>
              <c:f>QVA_Agg!$O$47</c:f>
              <c:strCache>
                <c:ptCount val="1"/>
                <c:pt idx="0">
                  <c:v>Electricity</c:v>
                </c:pt>
              </c:strCache>
            </c:strRef>
          </c:tx>
          <c:spPr>
            <a:solidFill>
              <a:schemeClr val="accent5">
                <a:lumMod val="60000"/>
                <a:lumOff val="4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QVA_Agg!$P$41:$T$42</c:f>
              <c:multiLvlStrCache>
                <c:ptCount val="5"/>
                <c:lvl>
                  <c:pt idx="0">
                    <c:v>Base</c:v>
                  </c:pt>
                  <c:pt idx="1">
                    <c:v>Reference</c:v>
                  </c:pt>
                  <c:pt idx="2">
                    <c:v>BudShrAdj</c:v>
                  </c:pt>
                  <c:pt idx="3">
                    <c:v>Reference</c:v>
                  </c:pt>
                  <c:pt idx="4">
                    <c:v>BudShrAdj</c:v>
                  </c:pt>
                </c:lvl>
                <c:lvl>
                  <c:pt idx="0">
                    <c:v>2012</c:v>
                  </c:pt>
                  <c:pt idx="1">
                    <c:v>2030</c:v>
                  </c:pt>
                  <c:pt idx="3">
                    <c:v>2050</c:v>
                  </c:pt>
                </c:lvl>
              </c:multiLvlStrCache>
            </c:multiLvlStrRef>
          </c:cat>
          <c:val>
            <c:numRef>
              <c:f>QVA_Agg!$P$47:$T$47</c:f>
              <c:numCache>
                <c:formatCode>0.0%</c:formatCode>
                <c:ptCount val="5"/>
                <c:pt idx="0">
                  <c:v>2.9116524883263009E-2</c:v>
                </c:pt>
                <c:pt idx="1">
                  <c:v>2.4137416113436165E-2</c:v>
                </c:pt>
                <c:pt idx="2">
                  <c:v>2.4025186919446894E-2</c:v>
                </c:pt>
                <c:pt idx="3">
                  <c:v>2.4662007661337727E-2</c:v>
                </c:pt>
                <c:pt idx="4">
                  <c:v>2.4251545376403106E-2</c:v>
                </c:pt>
              </c:numCache>
            </c:numRef>
          </c:val>
          <c:extLst>
            <c:ext xmlns:c16="http://schemas.microsoft.com/office/drawing/2014/chart" uri="{C3380CC4-5D6E-409C-BE32-E72D297353CC}">
              <c16:uniqueId val="{00000004-76F8-4DF0-9EDE-A838FAA3473B}"/>
            </c:ext>
          </c:extLst>
        </c:ser>
        <c:ser>
          <c:idx val="4"/>
          <c:order val="5"/>
          <c:tx>
            <c:strRef>
              <c:f>QVA_Agg!$O$48</c:f>
              <c:strCache>
                <c:ptCount val="1"/>
                <c:pt idx="0">
                  <c:v>Petroleum</c:v>
                </c:pt>
              </c:strCache>
            </c:strRef>
          </c:tx>
          <c:spPr>
            <a:solidFill>
              <a:srgbClr val="00B0F0"/>
            </a:solidFill>
            <a:ln>
              <a:solidFill>
                <a:schemeClr val="tx1"/>
              </a:solidFill>
            </a:ln>
            <a:effectLst/>
          </c:spPr>
          <c:invertIfNegative val="0"/>
          <c:dLbls>
            <c:delete val="1"/>
          </c:dLbls>
          <c:cat>
            <c:multiLvlStrRef>
              <c:f>QVA_Agg!$P$41:$T$42</c:f>
              <c:multiLvlStrCache>
                <c:ptCount val="5"/>
                <c:lvl>
                  <c:pt idx="0">
                    <c:v>Base</c:v>
                  </c:pt>
                  <c:pt idx="1">
                    <c:v>Reference</c:v>
                  </c:pt>
                  <c:pt idx="2">
                    <c:v>BudShrAdj</c:v>
                  </c:pt>
                  <c:pt idx="3">
                    <c:v>Reference</c:v>
                  </c:pt>
                  <c:pt idx="4">
                    <c:v>BudShrAdj</c:v>
                  </c:pt>
                </c:lvl>
                <c:lvl>
                  <c:pt idx="0">
                    <c:v>2012</c:v>
                  </c:pt>
                  <c:pt idx="1">
                    <c:v>2030</c:v>
                  </c:pt>
                  <c:pt idx="3">
                    <c:v>2050</c:v>
                  </c:pt>
                </c:lvl>
              </c:multiLvlStrCache>
            </c:multiLvlStrRef>
          </c:cat>
          <c:val>
            <c:numRef>
              <c:f>QVA_Agg!$P$48:$T$48</c:f>
              <c:numCache>
                <c:formatCode>0.0%</c:formatCode>
                <c:ptCount val="5"/>
                <c:pt idx="0">
                  <c:v>9.5094833621263454E-3</c:v>
                </c:pt>
                <c:pt idx="1">
                  <c:v>3.2316986809496212E-3</c:v>
                </c:pt>
                <c:pt idx="2">
                  <c:v>3.2303006994065459E-3</c:v>
                </c:pt>
                <c:pt idx="3">
                  <c:v>3.095098939141491E-4</c:v>
                </c:pt>
                <c:pt idx="4">
                  <c:v>3.0856202141008238E-4</c:v>
                </c:pt>
              </c:numCache>
            </c:numRef>
          </c:val>
          <c:extLst>
            <c:ext xmlns:c16="http://schemas.microsoft.com/office/drawing/2014/chart" uri="{C3380CC4-5D6E-409C-BE32-E72D297353CC}">
              <c16:uniqueId val="{00000005-76F8-4DF0-9EDE-A838FAA3473B}"/>
            </c:ext>
          </c:extLst>
        </c:ser>
        <c:ser>
          <c:idx val="9"/>
          <c:order val="6"/>
          <c:tx>
            <c:strRef>
              <c:f>QVA_Agg!$O$49</c:f>
              <c:strCache>
                <c:ptCount val="1"/>
                <c:pt idx="0">
                  <c:v>Other energy</c:v>
                </c:pt>
              </c:strCache>
            </c:strRef>
          </c:tx>
          <c:spPr>
            <a:solidFill>
              <a:srgbClr val="5B9BD5">
                <a:lumMod val="40000"/>
                <a:lumOff val="60000"/>
              </a:srgbClr>
            </a:solidFill>
            <a:ln>
              <a:solidFill>
                <a:sysClr val="windowText" lastClr="000000"/>
              </a:solidFill>
            </a:ln>
            <a:effectLst/>
          </c:spPr>
          <c:invertIfNegative val="0"/>
          <c:dLbls>
            <c:delete val="1"/>
          </c:dLbls>
          <c:cat>
            <c:multiLvlStrRef>
              <c:f>QVA_Agg!$P$41:$T$42</c:f>
              <c:multiLvlStrCache>
                <c:ptCount val="5"/>
                <c:lvl>
                  <c:pt idx="0">
                    <c:v>Base</c:v>
                  </c:pt>
                  <c:pt idx="1">
                    <c:v>Reference</c:v>
                  </c:pt>
                  <c:pt idx="2">
                    <c:v>BudShrAdj</c:v>
                  </c:pt>
                  <c:pt idx="3">
                    <c:v>Reference</c:v>
                  </c:pt>
                  <c:pt idx="4">
                    <c:v>BudShrAdj</c:v>
                  </c:pt>
                </c:lvl>
                <c:lvl>
                  <c:pt idx="0">
                    <c:v>2012</c:v>
                  </c:pt>
                  <c:pt idx="1">
                    <c:v>2030</c:v>
                  </c:pt>
                  <c:pt idx="3">
                    <c:v>2050</c:v>
                  </c:pt>
                </c:lvl>
              </c:multiLvlStrCache>
            </c:multiLvlStrRef>
          </c:cat>
          <c:val>
            <c:numRef>
              <c:f>QVA_Agg!$P$49:$T$49</c:f>
              <c:numCache>
                <c:formatCode>0.0%</c:formatCode>
                <c:ptCount val="5"/>
                <c:pt idx="0">
                  <c:v>2.44668981176356E-2</c:v>
                </c:pt>
                <c:pt idx="1">
                  <c:v>1.2328984948085809E-2</c:v>
                </c:pt>
                <c:pt idx="2">
                  <c:v>1.2320217026571916E-2</c:v>
                </c:pt>
                <c:pt idx="3">
                  <c:v>8.2604047377566776E-3</c:v>
                </c:pt>
                <c:pt idx="4">
                  <c:v>8.2262243092088398E-3</c:v>
                </c:pt>
              </c:numCache>
            </c:numRef>
          </c:val>
          <c:extLst>
            <c:ext xmlns:c16="http://schemas.microsoft.com/office/drawing/2014/chart" uri="{C3380CC4-5D6E-409C-BE32-E72D297353CC}">
              <c16:uniqueId val="{00000006-76F8-4DF0-9EDE-A838FAA3473B}"/>
            </c:ext>
          </c:extLst>
        </c:ser>
        <c:ser>
          <c:idx val="0"/>
          <c:order val="7"/>
          <c:tx>
            <c:strRef>
              <c:f>QVA_Agg!$O$50</c:f>
              <c:strCache>
                <c:ptCount val="1"/>
                <c:pt idx="0">
                  <c:v>Transport services</c:v>
                </c:pt>
              </c:strCache>
            </c:strRef>
          </c:tx>
          <c:spPr>
            <a:solidFill>
              <a:srgbClr val="5B9BD5">
                <a:lumMod val="20000"/>
                <a:lumOff val="80000"/>
              </a:srgbClr>
            </a:solidFill>
            <a:ln>
              <a:solidFill>
                <a:sysClr val="windowText" lastClr="0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QVA_Agg!$P$41:$T$42</c:f>
              <c:multiLvlStrCache>
                <c:ptCount val="5"/>
                <c:lvl>
                  <c:pt idx="0">
                    <c:v>Base</c:v>
                  </c:pt>
                  <c:pt idx="1">
                    <c:v>Reference</c:v>
                  </c:pt>
                  <c:pt idx="2">
                    <c:v>BudShrAdj</c:v>
                  </c:pt>
                  <c:pt idx="3">
                    <c:v>Reference</c:v>
                  </c:pt>
                  <c:pt idx="4">
                    <c:v>BudShrAdj</c:v>
                  </c:pt>
                </c:lvl>
                <c:lvl>
                  <c:pt idx="0">
                    <c:v>2012</c:v>
                  </c:pt>
                  <c:pt idx="1">
                    <c:v>2030</c:v>
                  </c:pt>
                  <c:pt idx="3">
                    <c:v>2050</c:v>
                  </c:pt>
                </c:lvl>
              </c:multiLvlStrCache>
            </c:multiLvlStrRef>
          </c:cat>
          <c:val>
            <c:numRef>
              <c:f>QVA_Agg!$P$50:$T$50</c:f>
              <c:numCache>
                <c:formatCode>0.0%</c:formatCode>
                <c:ptCount val="5"/>
                <c:pt idx="0">
                  <c:v>6.9463002246850009E-2</c:v>
                </c:pt>
                <c:pt idx="1">
                  <c:v>7.6077730543837582E-2</c:v>
                </c:pt>
                <c:pt idx="2">
                  <c:v>7.4957395294309323E-2</c:v>
                </c:pt>
                <c:pt idx="3">
                  <c:v>9.5342495217507525E-2</c:v>
                </c:pt>
                <c:pt idx="4">
                  <c:v>8.9238776589306595E-2</c:v>
                </c:pt>
              </c:numCache>
            </c:numRef>
          </c:val>
          <c:extLst>
            <c:ext xmlns:c16="http://schemas.microsoft.com/office/drawing/2014/chart" uri="{C3380CC4-5D6E-409C-BE32-E72D297353CC}">
              <c16:uniqueId val="{00000007-76F8-4DF0-9EDE-A838FAA3473B}"/>
            </c:ext>
          </c:extLst>
        </c:ser>
        <c:ser>
          <c:idx val="1"/>
          <c:order val="8"/>
          <c:tx>
            <c:strRef>
              <c:f>QVA_Agg!$O$51</c:f>
              <c:strCache>
                <c:ptCount val="1"/>
                <c:pt idx="0">
                  <c:v>Other services</c:v>
                </c:pt>
              </c:strCache>
            </c:strRef>
          </c:tx>
          <c:spPr>
            <a:solidFill>
              <a:srgbClr val="70AD47">
                <a:lumMod val="75000"/>
              </a:srgbClr>
            </a:solidFill>
            <a:ln>
              <a:solidFill>
                <a:sysClr val="windowText" lastClr="0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QVA_Agg!$P$41:$T$42</c:f>
              <c:multiLvlStrCache>
                <c:ptCount val="5"/>
                <c:lvl>
                  <c:pt idx="0">
                    <c:v>Base</c:v>
                  </c:pt>
                  <c:pt idx="1">
                    <c:v>Reference</c:v>
                  </c:pt>
                  <c:pt idx="2">
                    <c:v>BudShrAdj</c:v>
                  </c:pt>
                  <c:pt idx="3">
                    <c:v>Reference</c:v>
                  </c:pt>
                  <c:pt idx="4">
                    <c:v>BudShrAdj</c:v>
                  </c:pt>
                </c:lvl>
                <c:lvl>
                  <c:pt idx="0">
                    <c:v>2012</c:v>
                  </c:pt>
                  <c:pt idx="1">
                    <c:v>2030</c:v>
                  </c:pt>
                  <c:pt idx="3">
                    <c:v>2050</c:v>
                  </c:pt>
                </c:lvl>
              </c:multiLvlStrCache>
            </c:multiLvlStrRef>
          </c:cat>
          <c:val>
            <c:numRef>
              <c:f>QVA_Agg!$P$51:$T$51</c:f>
              <c:numCache>
                <c:formatCode>0.0%</c:formatCode>
                <c:ptCount val="5"/>
                <c:pt idx="0">
                  <c:v>0.61533415328057628</c:v>
                </c:pt>
                <c:pt idx="1">
                  <c:v>0.6229352290165191</c:v>
                </c:pt>
                <c:pt idx="2">
                  <c:v>0.63027005874999276</c:v>
                </c:pt>
                <c:pt idx="3">
                  <c:v>0.61981496811369763</c:v>
                </c:pt>
                <c:pt idx="4">
                  <c:v>0.63987133395123774</c:v>
                </c:pt>
              </c:numCache>
            </c:numRef>
          </c:val>
          <c:extLst>
            <c:ext xmlns:c16="http://schemas.microsoft.com/office/drawing/2014/chart" uri="{C3380CC4-5D6E-409C-BE32-E72D297353CC}">
              <c16:uniqueId val="{00000008-76F8-4DF0-9EDE-A838FAA3473B}"/>
            </c:ext>
          </c:extLst>
        </c:ser>
        <c:ser>
          <c:idx val="8"/>
          <c:order val="9"/>
          <c:tx>
            <c:strRef>
              <c:f>QVA_Agg!$O$52</c:f>
              <c:strCache>
                <c:ptCount val="1"/>
                <c:pt idx="0">
                  <c:v>Other</c:v>
                </c:pt>
              </c:strCache>
            </c:strRef>
          </c:tx>
          <c:spPr>
            <a:solidFill>
              <a:srgbClr val="70AD47">
                <a:lumMod val="60000"/>
                <a:lumOff val="40000"/>
              </a:srgbClr>
            </a:solidFill>
            <a:ln>
              <a:solidFill>
                <a:sysClr val="windowText" lastClr="0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QVA_Agg!$P$41:$T$42</c:f>
              <c:multiLvlStrCache>
                <c:ptCount val="5"/>
                <c:lvl>
                  <c:pt idx="0">
                    <c:v>Base</c:v>
                  </c:pt>
                  <c:pt idx="1">
                    <c:v>Reference</c:v>
                  </c:pt>
                  <c:pt idx="2">
                    <c:v>BudShrAdj</c:v>
                  </c:pt>
                  <c:pt idx="3">
                    <c:v>Reference</c:v>
                  </c:pt>
                  <c:pt idx="4">
                    <c:v>BudShrAdj</c:v>
                  </c:pt>
                </c:lvl>
                <c:lvl>
                  <c:pt idx="0">
                    <c:v>2012</c:v>
                  </c:pt>
                  <c:pt idx="1">
                    <c:v>2030</c:v>
                  </c:pt>
                  <c:pt idx="3">
                    <c:v>2050</c:v>
                  </c:pt>
                </c:lvl>
              </c:multiLvlStrCache>
            </c:multiLvlStrRef>
          </c:cat>
          <c:val>
            <c:numRef>
              <c:f>QVA_Agg!$P$52:$T$52</c:f>
              <c:numCache>
                <c:formatCode>0.0%</c:formatCode>
                <c:ptCount val="5"/>
                <c:pt idx="0">
                  <c:v>0.11089360687565504</c:v>
                </c:pt>
                <c:pt idx="1">
                  <c:v>0.10961523244272892</c:v>
                </c:pt>
                <c:pt idx="2">
                  <c:v>0.10979530194886512</c:v>
                </c:pt>
                <c:pt idx="3">
                  <c:v>0.10053744456124793</c:v>
                </c:pt>
                <c:pt idx="4">
                  <c:v>0.10215304606423174</c:v>
                </c:pt>
              </c:numCache>
            </c:numRef>
          </c:val>
          <c:extLst>
            <c:ext xmlns:c16="http://schemas.microsoft.com/office/drawing/2014/chart" uri="{C3380CC4-5D6E-409C-BE32-E72D297353CC}">
              <c16:uniqueId val="{00000009-76F8-4DF0-9EDE-A838FAA3473B}"/>
            </c:ext>
          </c:extLst>
        </c:ser>
        <c:dLbls>
          <c:dLblPos val="ctr"/>
          <c:showLegendKey val="0"/>
          <c:showVal val="1"/>
          <c:showCatName val="0"/>
          <c:showSerName val="0"/>
          <c:showPercent val="0"/>
          <c:showBubbleSize val="0"/>
        </c:dLbls>
        <c:gapWidth val="50"/>
        <c:overlap val="100"/>
        <c:axId val="387808112"/>
        <c:axId val="387808752"/>
        <c:extLst/>
      </c:barChart>
      <c:catAx>
        <c:axId val="38780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752"/>
        <c:crosses val="autoZero"/>
        <c:auto val="1"/>
        <c:lblAlgn val="ctr"/>
        <c:lblOffset val="100"/>
        <c:tickLblSkip val="1"/>
        <c:noMultiLvlLbl val="0"/>
      </c:catAx>
      <c:valAx>
        <c:axId val="38780875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a:t>Sector share of GDP (%)</a:t>
                </a:r>
              </a:p>
            </c:rich>
          </c:tx>
          <c:layout>
            <c:manualLayout>
              <c:xMode val="edge"/>
              <c:yMode val="edge"/>
              <c:x val="1.319879082045387E-2"/>
              <c:y val="0.33320092427670223"/>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112"/>
        <c:crosses val="autoZero"/>
        <c:crossBetween val="between"/>
      </c:valAx>
      <c:spPr>
        <a:noFill/>
        <a:ln>
          <a:noFill/>
        </a:ln>
        <a:effectLst/>
      </c:spPr>
    </c:plotArea>
    <c:legend>
      <c:legendPos val="b"/>
      <c:layout>
        <c:manualLayout>
          <c:xMode val="edge"/>
          <c:yMode val="edge"/>
          <c:x val="1.8256777990953998E-2"/>
          <c:y val="0.87197671176986491"/>
          <c:w val="0.94068669751451961"/>
          <c:h val="0.115897471484959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2"/>
          <c:order val="0"/>
          <c:tx>
            <c:strRef>
              <c:f>Energy!$B$16</c:f>
              <c:strCache>
                <c:ptCount val="1"/>
                <c:pt idx="0">
                  <c:v>Coal</c:v>
                </c:pt>
              </c:strCache>
            </c:strRef>
          </c:tx>
          <c:spPr>
            <a:solidFill>
              <a:sysClr val="windowText" lastClr="000000">
                <a:lumMod val="65000"/>
                <a:lumOff val="35000"/>
              </a:sysClr>
            </a:solidFill>
            <a:ln>
              <a:solidFill>
                <a:schemeClr val="tx1"/>
              </a:solidFill>
            </a:ln>
            <a:effectLst/>
          </c:spPr>
          <c:invertIfNegative val="0"/>
          <c:cat>
            <c:numRef>
              <c:f>Energy!$C$15:$K$15</c:f>
              <c:numCache>
                <c:formatCode>General</c:formatCode>
                <c:ptCount val="8"/>
                <c:pt idx="0">
                  <c:v>2015</c:v>
                </c:pt>
                <c:pt idx="1">
                  <c:v>2020</c:v>
                </c:pt>
                <c:pt idx="2">
                  <c:v>2025</c:v>
                </c:pt>
                <c:pt idx="3">
                  <c:v>2030</c:v>
                </c:pt>
                <c:pt idx="4">
                  <c:v>2035</c:v>
                </c:pt>
                <c:pt idx="5">
                  <c:v>2040</c:v>
                </c:pt>
                <c:pt idx="6">
                  <c:v>2045</c:v>
                </c:pt>
                <c:pt idx="7">
                  <c:v>2050</c:v>
                </c:pt>
              </c:numCache>
              <c:extLst/>
            </c:numRef>
          </c:cat>
          <c:val>
            <c:numRef>
              <c:f>Energy!$C$16:$K$16</c:f>
              <c:numCache>
                <c:formatCode>_-* #,##0.0_-;\-* #,##0.0_-;_-* "-"??_-;_-@_-</c:formatCode>
                <c:ptCount val="8"/>
                <c:pt idx="0">
                  <c:v>-0.77497388163613401</c:v>
                </c:pt>
                <c:pt idx="1">
                  <c:v>-2.4176358782098664</c:v>
                </c:pt>
                <c:pt idx="2">
                  <c:v>-4.6848014563746219</c:v>
                </c:pt>
                <c:pt idx="3">
                  <c:v>-0.94560404012179178</c:v>
                </c:pt>
                <c:pt idx="4">
                  <c:v>-1.2585600505532555</c:v>
                </c:pt>
                <c:pt idx="5">
                  <c:v>-4.1650388238039628</c:v>
                </c:pt>
                <c:pt idx="6">
                  <c:v>-3.6137880841732759</c:v>
                </c:pt>
                <c:pt idx="7">
                  <c:v>-3.228360498157596</c:v>
                </c:pt>
              </c:numCache>
              <c:extLst/>
            </c:numRef>
          </c:val>
          <c:extLst>
            <c:ext xmlns:c16="http://schemas.microsoft.com/office/drawing/2014/chart" uri="{C3380CC4-5D6E-409C-BE32-E72D297353CC}">
              <c16:uniqueId val="{00000000-524E-4EB6-92CA-F2B6D7A5DD32}"/>
            </c:ext>
          </c:extLst>
        </c:ser>
        <c:ser>
          <c:idx val="6"/>
          <c:order val="1"/>
          <c:tx>
            <c:strRef>
              <c:f>Energy!$B$17</c:f>
              <c:strCache>
                <c:ptCount val="1"/>
                <c:pt idx="0">
                  <c:v>Electricity</c:v>
                </c:pt>
              </c:strCache>
            </c:strRef>
          </c:tx>
          <c:spPr>
            <a:solidFill>
              <a:srgbClr val="E7E6E6">
                <a:lumMod val="75000"/>
              </a:srgbClr>
            </a:solidFill>
            <a:ln>
              <a:solidFill>
                <a:schemeClr val="tx1"/>
              </a:solid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1-524E-4EB6-92CA-F2B6D7A5DD32}"/>
                </c:ext>
              </c:extLst>
            </c:dLbl>
            <c:dLbl>
              <c:idx val="1"/>
              <c:delete val="1"/>
              <c:extLst>
                <c:ext xmlns:c15="http://schemas.microsoft.com/office/drawing/2012/chart" uri="{CE6537A1-D6FC-4f65-9D91-7224C49458BB}"/>
                <c:ext xmlns:c16="http://schemas.microsoft.com/office/drawing/2014/chart" uri="{C3380CC4-5D6E-409C-BE32-E72D297353CC}">
                  <c16:uniqueId val="{00000002-524E-4EB6-92CA-F2B6D7A5DD32}"/>
                </c:ext>
              </c:extLst>
            </c:dLbl>
            <c:dLbl>
              <c:idx val="2"/>
              <c:delete val="1"/>
              <c:extLst>
                <c:ext xmlns:c15="http://schemas.microsoft.com/office/drawing/2012/chart" uri="{CE6537A1-D6FC-4f65-9D91-7224C49458BB}"/>
                <c:ext xmlns:c16="http://schemas.microsoft.com/office/drawing/2014/chart" uri="{C3380CC4-5D6E-409C-BE32-E72D297353CC}">
                  <c16:uniqueId val="{00000003-524E-4EB6-92CA-F2B6D7A5DD32}"/>
                </c:ext>
              </c:extLst>
            </c:dLbl>
            <c:dLbl>
              <c:idx val="3"/>
              <c:delete val="1"/>
              <c:extLst>
                <c:ext xmlns:c15="http://schemas.microsoft.com/office/drawing/2012/chart" uri="{CE6537A1-D6FC-4f65-9D91-7224C49458BB}"/>
                <c:ext xmlns:c16="http://schemas.microsoft.com/office/drawing/2014/chart" uri="{C3380CC4-5D6E-409C-BE32-E72D297353CC}">
                  <c16:uniqueId val="{00000004-524E-4EB6-92CA-F2B6D7A5DD32}"/>
                </c:ext>
              </c:extLst>
            </c:dLbl>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Energy!$C$15:$K$15</c:f>
              <c:numCache>
                <c:formatCode>General</c:formatCode>
                <c:ptCount val="8"/>
                <c:pt idx="0">
                  <c:v>2015</c:v>
                </c:pt>
                <c:pt idx="1">
                  <c:v>2020</c:v>
                </c:pt>
                <c:pt idx="2">
                  <c:v>2025</c:v>
                </c:pt>
                <c:pt idx="3">
                  <c:v>2030</c:v>
                </c:pt>
                <c:pt idx="4">
                  <c:v>2035</c:v>
                </c:pt>
                <c:pt idx="5">
                  <c:v>2040</c:v>
                </c:pt>
                <c:pt idx="6">
                  <c:v>2045</c:v>
                </c:pt>
                <c:pt idx="7">
                  <c:v>2050</c:v>
                </c:pt>
              </c:numCache>
              <c:extLst/>
            </c:numRef>
          </c:cat>
          <c:val>
            <c:numRef>
              <c:f>Energy!$C$17:$K$17</c:f>
              <c:numCache>
                <c:formatCode>_-* #,##0.0_-;\-* #,##0.0_-;_-* "-"??_-;_-@_-</c:formatCode>
                <c:ptCount val="8"/>
                <c:pt idx="0">
                  <c:v>-0.10697813619518115</c:v>
                </c:pt>
                <c:pt idx="1">
                  <c:v>-5.0210813050540537E-2</c:v>
                </c:pt>
                <c:pt idx="2">
                  <c:v>-0.28527287285891134</c:v>
                </c:pt>
                <c:pt idx="3">
                  <c:v>-1.0411794952564151</c:v>
                </c:pt>
                <c:pt idx="4">
                  <c:v>-3.7559544150318516</c:v>
                </c:pt>
                <c:pt idx="5">
                  <c:v>-8.4547688503994891</c:v>
                </c:pt>
                <c:pt idx="6">
                  <c:v>-15.164149863897933</c:v>
                </c:pt>
                <c:pt idx="7">
                  <c:v>-21.384375486579984</c:v>
                </c:pt>
              </c:numCache>
              <c:extLst/>
            </c:numRef>
          </c:val>
          <c:extLst>
            <c:ext xmlns:c16="http://schemas.microsoft.com/office/drawing/2014/chart" uri="{C3380CC4-5D6E-409C-BE32-E72D297353CC}">
              <c16:uniqueId val="{00000005-524E-4EB6-92CA-F2B6D7A5DD32}"/>
            </c:ext>
          </c:extLst>
        </c:ser>
        <c:ser>
          <c:idx val="3"/>
          <c:order val="2"/>
          <c:tx>
            <c:strRef>
              <c:f>Energy!$B$18</c:f>
              <c:strCache>
                <c:ptCount val="1"/>
                <c:pt idx="0">
                  <c:v>Diesel</c:v>
                </c:pt>
              </c:strCache>
            </c:strRef>
          </c:tx>
          <c:spPr>
            <a:solidFill>
              <a:sysClr val="window" lastClr="FFFFFF">
                <a:lumMod val="85000"/>
              </a:sysClr>
            </a:solidFill>
            <a:ln>
              <a:solidFill>
                <a:schemeClr val="tx1"/>
              </a:solidFill>
            </a:ln>
            <a:effectLst/>
          </c:spPr>
          <c:invertIfNegative val="0"/>
          <c:cat>
            <c:numRef>
              <c:f>Energy!$C$15:$K$15</c:f>
              <c:numCache>
                <c:formatCode>General</c:formatCode>
                <c:ptCount val="8"/>
                <c:pt idx="0">
                  <c:v>2015</c:v>
                </c:pt>
                <c:pt idx="1">
                  <c:v>2020</c:v>
                </c:pt>
                <c:pt idx="2">
                  <c:v>2025</c:v>
                </c:pt>
                <c:pt idx="3">
                  <c:v>2030</c:v>
                </c:pt>
                <c:pt idx="4">
                  <c:v>2035</c:v>
                </c:pt>
                <c:pt idx="5">
                  <c:v>2040</c:v>
                </c:pt>
                <c:pt idx="6">
                  <c:v>2045</c:v>
                </c:pt>
                <c:pt idx="7">
                  <c:v>2050</c:v>
                </c:pt>
              </c:numCache>
              <c:extLst/>
            </c:numRef>
          </c:cat>
          <c:val>
            <c:numRef>
              <c:f>Energy!$C$18:$K$18</c:f>
              <c:numCache>
                <c:formatCode>_-* #,##0.0_-;\-* #,##0.0_-;_-* "-"??_-;_-@_-</c:formatCode>
                <c:ptCount val="8"/>
                <c:pt idx="0">
                  <c:v>0.25072243314649967</c:v>
                </c:pt>
                <c:pt idx="1">
                  <c:v>0.60434393412952403</c:v>
                </c:pt>
                <c:pt idx="2">
                  <c:v>1.0141126458015464</c:v>
                </c:pt>
                <c:pt idx="3">
                  <c:v>1.2920609342171403</c:v>
                </c:pt>
                <c:pt idx="4">
                  <c:v>1.2588428597776655</c:v>
                </c:pt>
                <c:pt idx="5">
                  <c:v>1.1745217551478007</c:v>
                </c:pt>
                <c:pt idx="6">
                  <c:v>0.69219227901559321</c:v>
                </c:pt>
                <c:pt idx="7">
                  <c:v>-0.53267153035827164</c:v>
                </c:pt>
              </c:numCache>
              <c:extLst/>
            </c:numRef>
          </c:val>
          <c:extLst>
            <c:ext xmlns:c16="http://schemas.microsoft.com/office/drawing/2014/chart" uri="{C3380CC4-5D6E-409C-BE32-E72D297353CC}">
              <c16:uniqueId val="{00000006-524E-4EB6-92CA-F2B6D7A5DD32}"/>
            </c:ext>
          </c:extLst>
        </c:ser>
        <c:ser>
          <c:idx val="7"/>
          <c:order val="3"/>
          <c:tx>
            <c:strRef>
              <c:f>Energy!$B$19</c:f>
              <c:strCache>
                <c:ptCount val="1"/>
                <c:pt idx="0">
                  <c:v>Other liquid fuels</c:v>
                </c:pt>
              </c:strCache>
            </c:strRef>
          </c:tx>
          <c:spPr>
            <a:solidFill>
              <a:srgbClr val="4472C4">
                <a:lumMod val="75000"/>
              </a:srgbClr>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Energy!$C$15:$K$15</c:f>
              <c:numCache>
                <c:formatCode>General</c:formatCode>
                <c:ptCount val="8"/>
                <c:pt idx="0">
                  <c:v>2015</c:v>
                </c:pt>
                <c:pt idx="1">
                  <c:v>2020</c:v>
                </c:pt>
                <c:pt idx="2">
                  <c:v>2025</c:v>
                </c:pt>
                <c:pt idx="3">
                  <c:v>2030</c:v>
                </c:pt>
                <c:pt idx="4">
                  <c:v>2035</c:v>
                </c:pt>
                <c:pt idx="5">
                  <c:v>2040</c:v>
                </c:pt>
                <c:pt idx="6">
                  <c:v>2045</c:v>
                </c:pt>
                <c:pt idx="7">
                  <c:v>2050</c:v>
                </c:pt>
              </c:numCache>
              <c:extLst/>
            </c:numRef>
          </c:cat>
          <c:val>
            <c:numRef>
              <c:f>Energy!$C$19:$K$19</c:f>
              <c:numCache>
                <c:formatCode>_-* #,##0.0_-;\-* #,##0.0_-;_-* "-"??_-;_-@_-</c:formatCode>
                <c:ptCount val="8"/>
                <c:pt idx="0">
                  <c:v>-3.6290436994869424</c:v>
                </c:pt>
                <c:pt idx="1">
                  <c:v>-3.9996715590455594</c:v>
                </c:pt>
                <c:pt idx="2">
                  <c:v>-8.1019330673415411</c:v>
                </c:pt>
                <c:pt idx="3">
                  <c:v>-14.658851959604718</c:v>
                </c:pt>
                <c:pt idx="4">
                  <c:v>-22.019571745994348</c:v>
                </c:pt>
                <c:pt idx="5">
                  <c:v>-32.72577480734325</c:v>
                </c:pt>
                <c:pt idx="6">
                  <c:v>-45.70264704202112</c:v>
                </c:pt>
                <c:pt idx="7">
                  <c:v>-61.935564798437042</c:v>
                </c:pt>
              </c:numCache>
              <c:extLst/>
            </c:numRef>
          </c:val>
          <c:extLst>
            <c:ext xmlns:c16="http://schemas.microsoft.com/office/drawing/2014/chart" uri="{C3380CC4-5D6E-409C-BE32-E72D297353CC}">
              <c16:uniqueId val="{00000007-524E-4EB6-92CA-F2B6D7A5DD32}"/>
            </c:ext>
          </c:extLst>
        </c:ser>
        <c:ser>
          <c:idx val="5"/>
          <c:order val="4"/>
          <c:tx>
            <c:strRef>
              <c:f>Energy!$B$20</c:f>
              <c:strCache>
                <c:ptCount val="1"/>
                <c:pt idx="0">
                  <c:v>Petrol</c:v>
                </c:pt>
              </c:strCache>
            </c:strRef>
          </c:tx>
          <c:spPr>
            <a:solidFill>
              <a:srgbClr val="0070C0"/>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Energy!$C$15:$K$15</c:f>
              <c:numCache>
                <c:formatCode>General</c:formatCode>
                <c:ptCount val="8"/>
                <c:pt idx="0">
                  <c:v>2015</c:v>
                </c:pt>
                <c:pt idx="1">
                  <c:v>2020</c:v>
                </c:pt>
                <c:pt idx="2">
                  <c:v>2025</c:v>
                </c:pt>
                <c:pt idx="3">
                  <c:v>2030</c:v>
                </c:pt>
                <c:pt idx="4">
                  <c:v>2035</c:v>
                </c:pt>
                <c:pt idx="5">
                  <c:v>2040</c:v>
                </c:pt>
                <c:pt idx="6">
                  <c:v>2045</c:v>
                </c:pt>
                <c:pt idx="7">
                  <c:v>2050</c:v>
                </c:pt>
              </c:numCache>
              <c:extLst/>
            </c:numRef>
          </c:cat>
          <c:val>
            <c:numRef>
              <c:f>Energy!$C$20:$K$20</c:f>
              <c:numCache>
                <c:formatCode>_-* #,##0.0_-;\-* #,##0.0_-;_-* "-"??_-;_-@_-</c:formatCode>
                <c:ptCount val="8"/>
                <c:pt idx="0">
                  <c:v>2.1509000517103232</c:v>
                </c:pt>
                <c:pt idx="1">
                  <c:v>4.7156936344547091</c:v>
                </c:pt>
                <c:pt idx="2">
                  <c:v>7.7116624245764172</c:v>
                </c:pt>
                <c:pt idx="3">
                  <c:v>9.7291233746198316</c:v>
                </c:pt>
                <c:pt idx="4">
                  <c:v>9.515476999191776</c:v>
                </c:pt>
                <c:pt idx="5">
                  <c:v>8.7551778085214664</c:v>
                </c:pt>
                <c:pt idx="6">
                  <c:v>5.1079737444034663</c:v>
                </c:pt>
                <c:pt idx="7">
                  <c:v>-4.1418588036329425</c:v>
                </c:pt>
              </c:numCache>
              <c:extLst/>
            </c:numRef>
          </c:val>
          <c:extLst>
            <c:ext xmlns:c16="http://schemas.microsoft.com/office/drawing/2014/chart" uri="{C3380CC4-5D6E-409C-BE32-E72D297353CC}">
              <c16:uniqueId val="{00000008-524E-4EB6-92CA-F2B6D7A5DD32}"/>
            </c:ext>
          </c:extLst>
        </c:ser>
        <c:dLbls>
          <c:showLegendKey val="0"/>
          <c:showVal val="0"/>
          <c:showCatName val="0"/>
          <c:showSerName val="0"/>
          <c:showPercent val="0"/>
          <c:showBubbleSize val="0"/>
        </c:dLbls>
        <c:gapWidth val="50"/>
        <c:overlap val="100"/>
        <c:axId val="387808112"/>
        <c:axId val="387808752"/>
      </c:barChart>
      <c:lineChart>
        <c:grouping val="standard"/>
        <c:varyColors val="0"/>
        <c:ser>
          <c:idx val="0"/>
          <c:order val="5"/>
          <c:tx>
            <c:strRef>
              <c:f>Energy!$B$21</c:f>
              <c:strCache>
                <c:ptCount val="1"/>
                <c:pt idx="0">
                  <c:v>Total (rhs)</c:v>
                </c:pt>
              </c:strCache>
            </c:strRef>
          </c:tx>
          <c:spPr>
            <a:ln w="12700" cap="rnd">
              <a:solidFill>
                <a:sysClr val="windowText" lastClr="000000"/>
              </a:solidFill>
              <a:prstDash val="sysDash"/>
              <a:round/>
            </a:ln>
            <a:effectLst/>
          </c:spPr>
          <c:marker>
            <c:symbol val="circle"/>
            <c:size val="3"/>
            <c:spPr>
              <a:solidFill>
                <a:sysClr val="windowText" lastClr="000000"/>
              </a:solidFill>
              <a:ln w="9525">
                <a:solidFill>
                  <a:sysClr val="windowText" lastClr="000000"/>
                </a:solidFill>
              </a:ln>
              <a:effectLst/>
              <a:scene3d>
                <a:camera prst="orthographicFront"/>
                <a:lightRig rig="threePt" dir="t"/>
              </a:scene3d>
              <a:sp3d>
                <a:bevelT/>
              </a:sp3d>
            </c:spPr>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f>Energy!$C$21:$K$21</c:f>
              <c:numCache>
                <c:formatCode>_-* #,##0.0_-;\-* #,##0.0_-;_-* "-"??_-;_-@_-</c:formatCode>
                <c:ptCount val="8"/>
                <c:pt idx="0">
                  <c:v>-2.1093732324614347</c:v>
                </c:pt>
                <c:pt idx="1">
                  <c:v>-1.1474806817217331</c:v>
                </c:pt>
                <c:pt idx="2">
                  <c:v>-4.3462323261971108</c:v>
                </c:pt>
                <c:pt idx="3">
                  <c:v>-5.6244511861459525</c:v>
                </c:pt>
                <c:pt idx="4">
                  <c:v>-16.259766352610015</c:v>
                </c:pt>
                <c:pt idx="5">
                  <c:v>-35.415882917877433</c:v>
                </c:pt>
                <c:pt idx="6">
                  <c:v>-58.680418966673273</c:v>
                </c:pt>
                <c:pt idx="7">
                  <c:v>-91.222831117165839</c:v>
                </c:pt>
              </c:numCache>
              <c:extLst/>
            </c:numRef>
          </c:val>
          <c:smooth val="0"/>
          <c:extLst>
            <c:ext xmlns:c16="http://schemas.microsoft.com/office/drawing/2014/chart" uri="{C3380CC4-5D6E-409C-BE32-E72D297353CC}">
              <c16:uniqueId val="{00000009-524E-4EB6-92CA-F2B6D7A5DD32}"/>
            </c:ext>
          </c:extLst>
        </c:ser>
        <c:dLbls>
          <c:showLegendKey val="0"/>
          <c:showVal val="0"/>
          <c:showCatName val="0"/>
          <c:showSerName val="0"/>
          <c:showPercent val="0"/>
          <c:showBubbleSize val="0"/>
        </c:dLbls>
        <c:marker val="1"/>
        <c:smooth val="0"/>
        <c:axId val="853414200"/>
        <c:axId val="853414840"/>
      </c:lineChart>
      <c:catAx>
        <c:axId val="38780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752"/>
        <c:crosses val="autoZero"/>
        <c:auto val="1"/>
        <c:lblAlgn val="ctr"/>
        <c:lblOffset val="100"/>
        <c:tickLblSkip val="1"/>
        <c:noMultiLvlLbl val="0"/>
      </c:catAx>
      <c:valAx>
        <c:axId val="387808752"/>
        <c:scaling>
          <c:orientation val="minMax"/>
          <c:max val="20"/>
          <c:min val="-1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a:t>Change in household energy consumption, PJ</a:t>
                </a:r>
              </a:p>
            </c:rich>
          </c:tx>
          <c:layout>
            <c:manualLayout>
              <c:xMode val="edge"/>
              <c:yMode val="edge"/>
              <c:x val="1.0264000902863987E-2"/>
              <c:y val="0.20003347084271211"/>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112"/>
        <c:crosses val="autoZero"/>
        <c:crossBetween val="between"/>
      </c:valAx>
      <c:valAx>
        <c:axId val="853414840"/>
        <c:scaling>
          <c:orientation val="minMax"/>
          <c:max val="20"/>
          <c:min val="-160"/>
        </c:scaling>
        <c:delete val="0"/>
        <c:axPos val="r"/>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Change in total household energy consumption, PJ</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414200"/>
        <c:crosses val="max"/>
        <c:crossBetween val="between"/>
      </c:valAx>
      <c:catAx>
        <c:axId val="853414200"/>
        <c:scaling>
          <c:orientation val="minMax"/>
        </c:scaling>
        <c:delete val="1"/>
        <c:axPos val="b"/>
        <c:numFmt formatCode="General" sourceLinked="1"/>
        <c:majorTickMark val="out"/>
        <c:minorTickMark val="none"/>
        <c:tickLblPos val="nextTo"/>
        <c:crossAx val="8534148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305228797888688"/>
          <c:y val="3.3399119477759226E-2"/>
          <c:w val="0.7842260979781055"/>
          <c:h val="0.76825983893352323"/>
        </c:manualLayout>
      </c:layout>
      <c:barChart>
        <c:barDir val="col"/>
        <c:grouping val="stacked"/>
        <c:varyColors val="0"/>
        <c:ser>
          <c:idx val="2"/>
          <c:order val="0"/>
          <c:tx>
            <c:strRef>
              <c:f>QQ!$M$76</c:f>
              <c:strCache>
                <c:ptCount val="1"/>
                <c:pt idx="0">
                  <c:v>Coal</c:v>
                </c:pt>
              </c:strCache>
            </c:strRef>
          </c:tx>
          <c:spPr>
            <a:solidFill>
              <a:sysClr val="windowText" lastClr="000000">
                <a:lumMod val="65000"/>
                <a:lumOff val="35000"/>
              </a:sys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QQ!$N$75:$U$75</c:f>
              <c:numCache>
                <c:formatCode>General</c:formatCode>
                <c:ptCount val="8"/>
                <c:pt idx="0">
                  <c:v>2015</c:v>
                </c:pt>
                <c:pt idx="1">
                  <c:v>2020</c:v>
                </c:pt>
                <c:pt idx="2">
                  <c:v>2025</c:v>
                </c:pt>
                <c:pt idx="3">
                  <c:v>2030</c:v>
                </c:pt>
                <c:pt idx="4">
                  <c:v>2035</c:v>
                </c:pt>
                <c:pt idx="5">
                  <c:v>2040</c:v>
                </c:pt>
                <c:pt idx="6">
                  <c:v>2045</c:v>
                </c:pt>
                <c:pt idx="7">
                  <c:v>2050</c:v>
                </c:pt>
              </c:numCache>
            </c:numRef>
          </c:cat>
          <c:val>
            <c:numRef>
              <c:f>QQ!$N$76:$U$76</c:f>
              <c:numCache>
                <c:formatCode>_-* #,##0.0_-;\-* #,##0.0_-;_-* "-"??_-;_-@_-</c:formatCode>
                <c:ptCount val="8"/>
                <c:pt idx="0">
                  <c:v>-2.4430686725922897</c:v>
                </c:pt>
                <c:pt idx="1">
                  <c:v>-6.6336411184051371</c:v>
                </c:pt>
                <c:pt idx="2">
                  <c:v>-12.937508503088225</c:v>
                </c:pt>
                <c:pt idx="3">
                  <c:v>-9.6341784054778827</c:v>
                </c:pt>
                <c:pt idx="4">
                  <c:v>-9.846990277337909</c:v>
                </c:pt>
                <c:pt idx="5">
                  <c:v>-17.544204556370005</c:v>
                </c:pt>
                <c:pt idx="6">
                  <c:v>-16.475559349557102</c:v>
                </c:pt>
                <c:pt idx="7">
                  <c:v>-15.425045179237145</c:v>
                </c:pt>
              </c:numCache>
            </c:numRef>
          </c:val>
          <c:extLst>
            <c:ext xmlns:c16="http://schemas.microsoft.com/office/drawing/2014/chart" uri="{C3380CC4-5D6E-409C-BE32-E72D297353CC}">
              <c16:uniqueId val="{00000000-EB0A-49B6-BA15-96BFC47FD4DC}"/>
            </c:ext>
          </c:extLst>
        </c:ser>
        <c:ser>
          <c:idx val="6"/>
          <c:order val="1"/>
          <c:tx>
            <c:strRef>
              <c:f>QQ!$M$77</c:f>
              <c:strCache>
                <c:ptCount val="1"/>
                <c:pt idx="0">
                  <c:v>Electricity</c:v>
                </c:pt>
              </c:strCache>
            </c:strRef>
          </c:tx>
          <c:spPr>
            <a:solidFill>
              <a:srgbClr val="E7E6E6">
                <a:lumMod val="75000"/>
              </a:srgbClr>
            </a:solidFill>
            <a:ln>
              <a:solidFill>
                <a:schemeClr val="tx1"/>
              </a:solid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1-EB0A-49B6-BA15-96BFC47FD4DC}"/>
                </c:ext>
              </c:extLst>
            </c:dLbl>
            <c:dLbl>
              <c:idx val="1"/>
              <c:delete val="1"/>
              <c:extLst>
                <c:ext xmlns:c15="http://schemas.microsoft.com/office/drawing/2012/chart" uri="{CE6537A1-D6FC-4f65-9D91-7224C49458BB}"/>
                <c:ext xmlns:c16="http://schemas.microsoft.com/office/drawing/2014/chart" uri="{C3380CC4-5D6E-409C-BE32-E72D297353CC}">
                  <c16:uniqueId val="{00000002-EB0A-49B6-BA15-96BFC47FD4DC}"/>
                </c:ext>
              </c:extLst>
            </c:dLbl>
            <c:dLbl>
              <c:idx val="2"/>
              <c:delete val="1"/>
              <c:extLst>
                <c:ext xmlns:c15="http://schemas.microsoft.com/office/drawing/2012/chart" uri="{CE6537A1-D6FC-4f65-9D91-7224C49458BB}"/>
                <c:ext xmlns:c16="http://schemas.microsoft.com/office/drawing/2014/chart" uri="{C3380CC4-5D6E-409C-BE32-E72D297353CC}">
                  <c16:uniqueId val="{00000003-EB0A-49B6-BA15-96BFC47FD4DC}"/>
                </c:ext>
              </c:extLst>
            </c:dLbl>
            <c:dLbl>
              <c:idx val="3"/>
              <c:delete val="1"/>
              <c:extLst>
                <c:ext xmlns:c15="http://schemas.microsoft.com/office/drawing/2012/chart" uri="{CE6537A1-D6FC-4f65-9D91-7224C49458BB}"/>
                <c:ext xmlns:c16="http://schemas.microsoft.com/office/drawing/2014/chart" uri="{C3380CC4-5D6E-409C-BE32-E72D297353CC}">
                  <c16:uniqueId val="{00000004-EB0A-49B6-BA15-96BFC47FD4DC}"/>
                </c:ext>
              </c:extLst>
            </c:dLbl>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QQ!$N$75:$U$75</c:f>
              <c:numCache>
                <c:formatCode>General</c:formatCode>
                <c:ptCount val="8"/>
                <c:pt idx="0">
                  <c:v>2015</c:v>
                </c:pt>
                <c:pt idx="1">
                  <c:v>2020</c:v>
                </c:pt>
                <c:pt idx="2">
                  <c:v>2025</c:v>
                </c:pt>
                <c:pt idx="3">
                  <c:v>2030</c:v>
                </c:pt>
                <c:pt idx="4">
                  <c:v>2035</c:v>
                </c:pt>
                <c:pt idx="5">
                  <c:v>2040</c:v>
                </c:pt>
                <c:pt idx="6">
                  <c:v>2045</c:v>
                </c:pt>
                <c:pt idx="7">
                  <c:v>2050</c:v>
                </c:pt>
              </c:numCache>
            </c:numRef>
          </c:cat>
          <c:val>
            <c:numRef>
              <c:f>QQ!$N$77:$U$77</c:f>
              <c:numCache>
                <c:formatCode>_-* #,##0.0_-;\-* #,##0.0_-;_-* "-"??_-;_-@_-</c:formatCode>
                <c:ptCount val="8"/>
                <c:pt idx="0">
                  <c:v>-0.36922855229204288</c:v>
                </c:pt>
                <c:pt idx="1">
                  <c:v>-0.94222539488896473</c:v>
                </c:pt>
                <c:pt idx="2">
                  <c:v>-2.3636291460979919</c:v>
                </c:pt>
                <c:pt idx="3">
                  <c:v>-4.0182144814989442</c:v>
                </c:pt>
                <c:pt idx="4">
                  <c:v>-6.8869426958199256</c:v>
                </c:pt>
                <c:pt idx="5">
                  <c:v>-14.140444412490069</c:v>
                </c:pt>
                <c:pt idx="6">
                  <c:v>-18.953641168149943</c:v>
                </c:pt>
                <c:pt idx="7">
                  <c:v>-25.070226125880026</c:v>
                </c:pt>
              </c:numCache>
            </c:numRef>
          </c:val>
          <c:extLst>
            <c:ext xmlns:c16="http://schemas.microsoft.com/office/drawing/2014/chart" uri="{C3380CC4-5D6E-409C-BE32-E72D297353CC}">
              <c16:uniqueId val="{00000005-EB0A-49B6-BA15-96BFC47FD4DC}"/>
            </c:ext>
          </c:extLst>
        </c:ser>
        <c:ser>
          <c:idx val="3"/>
          <c:order val="2"/>
          <c:tx>
            <c:strRef>
              <c:f>QQ!$M$78</c:f>
              <c:strCache>
                <c:ptCount val="1"/>
                <c:pt idx="0">
                  <c:v>Diesel</c:v>
                </c:pt>
              </c:strCache>
            </c:strRef>
          </c:tx>
          <c:spPr>
            <a:solidFill>
              <a:sysClr val="window" lastClr="FFFFFF">
                <a:lumMod val="85000"/>
              </a:sys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QQ!$N$75:$U$75</c:f>
              <c:numCache>
                <c:formatCode>General</c:formatCode>
                <c:ptCount val="8"/>
                <c:pt idx="0">
                  <c:v>2015</c:v>
                </c:pt>
                <c:pt idx="1">
                  <c:v>2020</c:v>
                </c:pt>
                <c:pt idx="2">
                  <c:v>2025</c:v>
                </c:pt>
                <c:pt idx="3">
                  <c:v>2030</c:v>
                </c:pt>
                <c:pt idx="4">
                  <c:v>2035</c:v>
                </c:pt>
                <c:pt idx="5">
                  <c:v>2040</c:v>
                </c:pt>
                <c:pt idx="6">
                  <c:v>2045</c:v>
                </c:pt>
                <c:pt idx="7">
                  <c:v>2050</c:v>
                </c:pt>
              </c:numCache>
            </c:numRef>
          </c:cat>
          <c:val>
            <c:numRef>
              <c:f>QQ!$N$78:$U$78</c:f>
              <c:numCache>
                <c:formatCode>_-* #,##0.0_-;\-* #,##0.0_-;_-* "-"??_-;_-@_-</c:formatCode>
                <c:ptCount val="8"/>
                <c:pt idx="0">
                  <c:v>-0.3969315960359836</c:v>
                </c:pt>
                <c:pt idx="1">
                  <c:v>-2.1561370155499731</c:v>
                </c:pt>
                <c:pt idx="2">
                  <c:v>-4.704034539592044</c:v>
                </c:pt>
                <c:pt idx="3">
                  <c:v>-7.4582816511349961</c:v>
                </c:pt>
                <c:pt idx="4">
                  <c:v>-8.9087940218890367</c:v>
                </c:pt>
                <c:pt idx="5">
                  <c:v>-9.9861622055279895</c:v>
                </c:pt>
                <c:pt idx="6">
                  <c:v>-8.6678682570729961</c:v>
                </c:pt>
                <c:pt idx="7">
                  <c:v>-8.8872370338049791</c:v>
                </c:pt>
              </c:numCache>
            </c:numRef>
          </c:val>
          <c:extLst>
            <c:ext xmlns:c16="http://schemas.microsoft.com/office/drawing/2014/chart" uri="{C3380CC4-5D6E-409C-BE32-E72D297353CC}">
              <c16:uniqueId val="{00000006-EB0A-49B6-BA15-96BFC47FD4DC}"/>
            </c:ext>
          </c:extLst>
        </c:ser>
        <c:ser>
          <c:idx val="7"/>
          <c:order val="3"/>
          <c:tx>
            <c:strRef>
              <c:f>QQ!$M$79</c:f>
              <c:strCache>
                <c:ptCount val="1"/>
                <c:pt idx="0">
                  <c:v>Other liquid fuels</c:v>
                </c:pt>
              </c:strCache>
            </c:strRef>
          </c:tx>
          <c:spPr>
            <a:solidFill>
              <a:srgbClr val="4472C4">
                <a:lumMod val="75000"/>
              </a:srgbClr>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QQ!$N$75:$U$75</c:f>
              <c:numCache>
                <c:formatCode>General</c:formatCode>
                <c:ptCount val="8"/>
                <c:pt idx="0">
                  <c:v>2015</c:v>
                </c:pt>
                <c:pt idx="1">
                  <c:v>2020</c:v>
                </c:pt>
                <c:pt idx="2">
                  <c:v>2025</c:v>
                </c:pt>
                <c:pt idx="3">
                  <c:v>2030</c:v>
                </c:pt>
                <c:pt idx="4">
                  <c:v>2035</c:v>
                </c:pt>
                <c:pt idx="5">
                  <c:v>2040</c:v>
                </c:pt>
                <c:pt idx="6">
                  <c:v>2045</c:v>
                </c:pt>
                <c:pt idx="7">
                  <c:v>2050</c:v>
                </c:pt>
              </c:numCache>
            </c:numRef>
          </c:cat>
          <c:val>
            <c:numRef>
              <c:f>QQ!$N$79:$U$79</c:f>
              <c:numCache>
                <c:formatCode>_-* #,##0.0_-;\-* #,##0.0_-;_-* "-"??_-;_-@_-</c:formatCode>
                <c:ptCount val="8"/>
                <c:pt idx="0">
                  <c:v>-3.8763548614249999</c:v>
                </c:pt>
                <c:pt idx="1">
                  <c:v>-4.8768695525830026</c:v>
                </c:pt>
                <c:pt idx="2">
                  <c:v>-9.8626099306850108</c:v>
                </c:pt>
                <c:pt idx="3">
                  <c:v>-18.023404109588995</c:v>
                </c:pt>
                <c:pt idx="4">
                  <c:v>-27.622379381870985</c:v>
                </c:pt>
                <c:pt idx="5">
                  <c:v>-40.867487462362988</c:v>
                </c:pt>
                <c:pt idx="6">
                  <c:v>-58.425917710313968</c:v>
                </c:pt>
                <c:pt idx="7">
                  <c:v>-79.035729611323006</c:v>
                </c:pt>
              </c:numCache>
            </c:numRef>
          </c:val>
          <c:extLst>
            <c:ext xmlns:c16="http://schemas.microsoft.com/office/drawing/2014/chart" uri="{C3380CC4-5D6E-409C-BE32-E72D297353CC}">
              <c16:uniqueId val="{00000007-EB0A-49B6-BA15-96BFC47FD4DC}"/>
            </c:ext>
          </c:extLst>
        </c:ser>
        <c:ser>
          <c:idx val="5"/>
          <c:order val="4"/>
          <c:tx>
            <c:strRef>
              <c:f>QQ!$M$80</c:f>
              <c:strCache>
                <c:ptCount val="1"/>
                <c:pt idx="0">
                  <c:v>Petrol</c:v>
                </c:pt>
              </c:strCache>
            </c:strRef>
          </c:tx>
          <c:spPr>
            <a:solidFill>
              <a:srgbClr val="0070C0"/>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QQ!$N$75:$U$75</c:f>
              <c:numCache>
                <c:formatCode>General</c:formatCode>
                <c:ptCount val="8"/>
                <c:pt idx="0">
                  <c:v>2015</c:v>
                </c:pt>
                <c:pt idx="1">
                  <c:v>2020</c:v>
                </c:pt>
                <c:pt idx="2">
                  <c:v>2025</c:v>
                </c:pt>
                <c:pt idx="3">
                  <c:v>2030</c:v>
                </c:pt>
                <c:pt idx="4">
                  <c:v>2035</c:v>
                </c:pt>
                <c:pt idx="5">
                  <c:v>2040</c:v>
                </c:pt>
                <c:pt idx="6">
                  <c:v>2045</c:v>
                </c:pt>
                <c:pt idx="7">
                  <c:v>2050</c:v>
                </c:pt>
              </c:numCache>
            </c:numRef>
          </c:cat>
          <c:val>
            <c:numRef>
              <c:f>QQ!$N$80:$U$80</c:f>
              <c:numCache>
                <c:formatCode>_-* #,##0.0_-;\-* #,##0.0_-;_-* "-"??_-;_-@_-</c:formatCode>
                <c:ptCount val="8"/>
                <c:pt idx="0">
                  <c:v>1.9086177593369484</c:v>
                </c:pt>
                <c:pt idx="1">
                  <c:v>3.8261649755660301</c:v>
                </c:pt>
                <c:pt idx="2">
                  <c:v>6.1794550506169799</c:v>
                </c:pt>
                <c:pt idx="3">
                  <c:v>7.4936406955910115</c:v>
                </c:pt>
                <c:pt idx="4">
                  <c:v>6.7884259020650006</c:v>
                </c:pt>
                <c:pt idx="5">
                  <c:v>5.686738829787032</c:v>
                </c:pt>
                <c:pt idx="6">
                  <c:v>1.6808139944070035</c:v>
                </c:pt>
                <c:pt idx="7">
                  <c:v>-6.7034141143680017</c:v>
                </c:pt>
              </c:numCache>
            </c:numRef>
          </c:val>
          <c:extLst>
            <c:ext xmlns:c16="http://schemas.microsoft.com/office/drawing/2014/chart" uri="{C3380CC4-5D6E-409C-BE32-E72D297353CC}">
              <c16:uniqueId val="{00000008-EB0A-49B6-BA15-96BFC47FD4DC}"/>
            </c:ext>
          </c:extLst>
        </c:ser>
        <c:ser>
          <c:idx val="0"/>
          <c:order val="5"/>
          <c:tx>
            <c:strRef>
              <c:f>QQ!$M$81</c:f>
              <c:strCache>
                <c:ptCount val="1"/>
                <c:pt idx="0">
                  <c:v>Crude</c:v>
                </c:pt>
              </c:strCache>
            </c:strRef>
          </c:tx>
          <c:spPr>
            <a:solidFill>
              <a:schemeClr val="accent1"/>
            </a:solidFill>
            <a:ln w="12700">
              <a:solidFill>
                <a:sysClr val="windowText" lastClr="000000"/>
              </a:solidFill>
              <a:prstDash val="solid"/>
            </a:ln>
            <a:effectLst/>
          </c:spPr>
          <c:invertIfNegative val="0"/>
          <c:dLbls>
            <c:delete val="1"/>
          </c:dLbls>
          <c:cat>
            <c:numRef>
              <c:f>QQ!$N$75:$U$75</c:f>
              <c:numCache>
                <c:formatCode>General</c:formatCode>
                <c:ptCount val="8"/>
                <c:pt idx="0">
                  <c:v>2015</c:v>
                </c:pt>
                <c:pt idx="1">
                  <c:v>2020</c:v>
                </c:pt>
                <c:pt idx="2">
                  <c:v>2025</c:v>
                </c:pt>
                <c:pt idx="3">
                  <c:v>2030</c:v>
                </c:pt>
                <c:pt idx="4">
                  <c:v>2035</c:v>
                </c:pt>
                <c:pt idx="5">
                  <c:v>2040</c:v>
                </c:pt>
                <c:pt idx="6">
                  <c:v>2045</c:v>
                </c:pt>
                <c:pt idx="7">
                  <c:v>2050</c:v>
                </c:pt>
              </c:numCache>
            </c:numRef>
          </c:cat>
          <c:val>
            <c:numRef>
              <c:f>QQ!$N$81:$U$81</c:f>
              <c:numCache>
                <c:formatCode>_-* #,##0.0_-;\-* #,##0.0_-;_-* "-"??_-;_-@_-</c:formatCode>
                <c:ptCount val="8"/>
                <c:pt idx="0">
                  <c:v>1.8062796121057545E-2</c:v>
                </c:pt>
                <c:pt idx="1">
                  <c:v>2.7004451943980712E-2</c:v>
                </c:pt>
                <c:pt idx="2">
                  <c:v>2.5971285842047109E-2</c:v>
                </c:pt>
                <c:pt idx="3">
                  <c:v>1.1759065254977941E-2</c:v>
                </c:pt>
                <c:pt idx="4">
                  <c:v>5.6026834929809866E-3</c:v>
                </c:pt>
                <c:pt idx="5">
                  <c:v>3.10622538999894E-3</c:v>
                </c:pt>
                <c:pt idx="6">
                  <c:v>3.10622538999894E-3</c:v>
                </c:pt>
                <c:pt idx="7">
                  <c:v>3.1062253909936999E-3</c:v>
                </c:pt>
              </c:numCache>
            </c:numRef>
          </c:val>
          <c:extLst>
            <c:ext xmlns:c16="http://schemas.microsoft.com/office/drawing/2014/chart" uri="{C3380CC4-5D6E-409C-BE32-E72D297353CC}">
              <c16:uniqueId val="{00000009-EB0A-49B6-BA15-96BFC47FD4DC}"/>
            </c:ext>
          </c:extLst>
        </c:ser>
        <c:ser>
          <c:idx val="1"/>
          <c:order val="6"/>
          <c:tx>
            <c:strRef>
              <c:f>QQ!$M$82</c:f>
              <c:strCache>
                <c:ptCount val="1"/>
                <c:pt idx="0">
                  <c:v>Hydrogen</c:v>
                </c:pt>
              </c:strCache>
            </c:strRef>
          </c:tx>
          <c:spPr>
            <a:solidFill>
              <a:srgbClr val="4472C4">
                <a:lumMod val="20000"/>
                <a:lumOff val="80000"/>
              </a:srgbClr>
            </a:solidFill>
            <a:ln>
              <a:solidFill>
                <a:schemeClr val="tx1"/>
              </a:solidFill>
            </a:ln>
            <a:effectLst/>
          </c:spPr>
          <c:invertIfNegative val="0"/>
          <c:dLbls>
            <c:delete val="1"/>
          </c:dLbls>
          <c:cat>
            <c:numRef>
              <c:f>QQ!$N$75:$U$75</c:f>
              <c:numCache>
                <c:formatCode>General</c:formatCode>
                <c:ptCount val="8"/>
                <c:pt idx="0">
                  <c:v>2015</c:v>
                </c:pt>
                <c:pt idx="1">
                  <c:v>2020</c:v>
                </c:pt>
                <c:pt idx="2">
                  <c:v>2025</c:v>
                </c:pt>
                <c:pt idx="3">
                  <c:v>2030</c:v>
                </c:pt>
                <c:pt idx="4">
                  <c:v>2035</c:v>
                </c:pt>
                <c:pt idx="5">
                  <c:v>2040</c:v>
                </c:pt>
                <c:pt idx="6">
                  <c:v>2045</c:v>
                </c:pt>
                <c:pt idx="7">
                  <c:v>2050</c:v>
                </c:pt>
              </c:numCache>
            </c:numRef>
          </c:cat>
          <c:val>
            <c:numRef>
              <c:f>QQ!$N$82:$U$82</c:f>
              <c:numCache>
                <c:formatCode>_-* #,##0.0_-;\-* #,##0.0_-;_-* "-"??_-;_-@_-</c:formatCode>
                <c:ptCount val="8"/>
                <c:pt idx="0">
                  <c:v>-1.0648549520898658E-6</c:v>
                </c:pt>
                <c:pt idx="1">
                  <c:v>-4.9164884255799204E-6</c:v>
                </c:pt>
                <c:pt idx="2">
                  <c:v>-1.0448192633660033E-5</c:v>
                </c:pt>
                <c:pt idx="3">
                  <c:v>-0.13148691023419978</c:v>
                </c:pt>
                <c:pt idx="4">
                  <c:v>-0.61878568241059639</c:v>
                </c:pt>
                <c:pt idx="5">
                  <c:v>-1.3044145504041893</c:v>
                </c:pt>
                <c:pt idx="6">
                  <c:v>-2.0983240764078914</c:v>
                </c:pt>
                <c:pt idx="7">
                  <c:v>-2.7035929245760002</c:v>
                </c:pt>
              </c:numCache>
            </c:numRef>
          </c:val>
          <c:extLst>
            <c:ext xmlns:c16="http://schemas.microsoft.com/office/drawing/2014/chart" uri="{C3380CC4-5D6E-409C-BE32-E72D297353CC}">
              <c16:uniqueId val="{0000000A-EB0A-49B6-BA15-96BFC47FD4DC}"/>
            </c:ext>
          </c:extLst>
        </c:ser>
        <c:ser>
          <c:idx val="4"/>
          <c:order val="7"/>
          <c:tx>
            <c:strRef>
              <c:f>QQ!$M$83</c:f>
              <c:strCache>
                <c:ptCount val="1"/>
                <c:pt idx="0">
                  <c:v>Natural Gas</c:v>
                </c:pt>
              </c:strCache>
            </c:strRef>
          </c:tx>
          <c:spPr>
            <a:solidFill>
              <a:srgbClr val="70AD47">
                <a:lumMod val="60000"/>
                <a:lumOff val="40000"/>
              </a:srgbClr>
            </a:solidFill>
            <a:ln>
              <a:solidFill>
                <a:schemeClr val="tx1"/>
              </a:solid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B-EB0A-49B6-BA15-96BFC47FD4DC}"/>
                </c:ext>
              </c:extLst>
            </c:dLbl>
            <c:dLbl>
              <c:idx val="1"/>
              <c:delete val="1"/>
              <c:extLst>
                <c:ext xmlns:c15="http://schemas.microsoft.com/office/drawing/2012/chart" uri="{CE6537A1-D6FC-4f65-9D91-7224C49458BB}"/>
                <c:ext xmlns:c16="http://schemas.microsoft.com/office/drawing/2014/chart" uri="{C3380CC4-5D6E-409C-BE32-E72D297353CC}">
                  <c16:uniqueId val="{0000000C-EB0A-49B6-BA15-96BFC47FD4DC}"/>
                </c:ext>
              </c:extLst>
            </c:dLbl>
            <c:dLbl>
              <c:idx val="2"/>
              <c:delete val="1"/>
              <c:extLst>
                <c:ext xmlns:c15="http://schemas.microsoft.com/office/drawing/2012/chart" uri="{CE6537A1-D6FC-4f65-9D91-7224C49458BB}"/>
                <c:ext xmlns:c16="http://schemas.microsoft.com/office/drawing/2014/chart" uri="{C3380CC4-5D6E-409C-BE32-E72D297353CC}">
                  <c16:uniqueId val="{0000000D-EB0A-49B6-BA15-96BFC47FD4DC}"/>
                </c:ext>
              </c:extLst>
            </c:dLbl>
            <c:dLbl>
              <c:idx val="3"/>
              <c:delete val="1"/>
              <c:extLst>
                <c:ext xmlns:c15="http://schemas.microsoft.com/office/drawing/2012/chart" uri="{CE6537A1-D6FC-4f65-9D91-7224C49458BB}"/>
                <c:ext xmlns:c16="http://schemas.microsoft.com/office/drawing/2014/chart" uri="{C3380CC4-5D6E-409C-BE32-E72D297353CC}">
                  <c16:uniqueId val="{0000000E-EB0A-49B6-BA15-96BFC47FD4DC}"/>
                </c:ext>
              </c:extLst>
            </c:dLbl>
            <c:dLbl>
              <c:idx val="4"/>
              <c:delete val="1"/>
              <c:extLst>
                <c:ext xmlns:c15="http://schemas.microsoft.com/office/drawing/2012/chart" uri="{CE6537A1-D6FC-4f65-9D91-7224C49458BB}"/>
                <c:ext xmlns:c16="http://schemas.microsoft.com/office/drawing/2014/chart" uri="{C3380CC4-5D6E-409C-BE32-E72D297353CC}">
                  <c16:uniqueId val="{0000000F-EB0A-49B6-BA15-96BFC47FD4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QQ!$N$75:$U$75</c:f>
              <c:numCache>
                <c:formatCode>General</c:formatCode>
                <c:ptCount val="8"/>
                <c:pt idx="0">
                  <c:v>2015</c:v>
                </c:pt>
                <c:pt idx="1">
                  <c:v>2020</c:v>
                </c:pt>
                <c:pt idx="2">
                  <c:v>2025</c:v>
                </c:pt>
                <c:pt idx="3">
                  <c:v>2030</c:v>
                </c:pt>
                <c:pt idx="4">
                  <c:v>2035</c:v>
                </c:pt>
                <c:pt idx="5">
                  <c:v>2040</c:v>
                </c:pt>
                <c:pt idx="6">
                  <c:v>2045</c:v>
                </c:pt>
                <c:pt idx="7">
                  <c:v>2050</c:v>
                </c:pt>
              </c:numCache>
            </c:numRef>
          </c:cat>
          <c:val>
            <c:numRef>
              <c:f>QQ!$N$83:$U$83</c:f>
              <c:numCache>
                <c:formatCode>_-* #,##0.0_-;\-* #,##0.0_-;_-* "-"??_-;_-@_-</c:formatCode>
                <c:ptCount val="8"/>
                <c:pt idx="0">
                  <c:v>-5.3651408812001478E-2</c:v>
                </c:pt>
                <c:pt idx="1">
                  <c:v>-0.18365112014301133</c:v>
                </c:pt>
                <c:pt idx="2">
                  <c:v>-0.5166216500030032</c:v>
                </c:pt>
                <c:pt idx="3">
                  <c:v>-0.88869572901700167</c:v>
                </c:pt>
                <c:pt idx="4">
                  <c:v>-1.5644688754919684</c:v>
                </c:pt>
                <c:pt idx="5">
                  <c:v>-3.0699641173100076</c:v>
                </c:pt>
                <c:pt idx="6">
                  <c:v>-4.0965286789410129</c:v>
                </c:pt>
                <c:pt idx="7">
                  <c:v>-5.5330300970589406</c:v>
                </c:pt>
              </c:numCache>
            </c:numRef>
          </c:val>
          <c:extLst>
            <c:ext xmlns:c16="http://schemas.microsoft.com/office/drawing/2014/chart" uri="{C3380CC4-5D6E-409C-BE32-E72D297353CC}">
              <c16:uniqueId val="{00000010-EB0A-49B6-BA15-96BFC47FD4DC}"/>
            </c:ext>
          </c:extLst>
        </c:ser>
        <c:dLbls>
          <c:dLblPos val="ctr"/>
          <c:showLegendKey val="0"/>
          <c:showVal val="1"/>
          <c:showCatName val="0"/>
          <c:showSerName val="0"/>
          <c:showPercent val="0"/>
          <c:showBubbleSize val="0"/>
        </c:dLbls>
        <c:gapWidth val="50"/>
        <c:overlap val="100"/>
        <c:axId val="387808112"/>
        <c:axId val="387808752"/>
      </c:barChart>
      <c:lineChart>
        <c:grouping val="standard"/>
        <c:varyColors val="0"/>
        <c:ser>
          <c:idx val="8"/>
          <c:order val="8"/>
          <c:tx>
            <c:strRef>
              <c:f>QQ!$M$84</c:f>
              <c:strCache>
                <c:ptCount val="1"/>
                <c:pt idx="0">
                  <c:v>Energy intensity (rhs)</c:v>
                </c:pt>
              </c:strCache>
            </c:strRef>
          </c:tx>
          <c:spPr>
            <a:ln w="12700" cap="rnd">
              <a:solidFill>
                <a:sysClr val="windowText" lastClr="000000"/>
              </a:solidFill>
              <a:prstDash val="sysDash"/>
              <a:round/>
            </a:ln>
            <a:effectLst/>
          </c:spPr>
          <c:marker>
            <c:symbol val="none"/>
          </c:marker>
          <c:dLbls>
            <c:delete val="1"/>
          </c:dLbls>
          <c:cat>
            <c:numRef>
              <c:f>QQ!$N$75:$U$75</c:f>
              <c:numCache>
                <c:formatCode>General</c:formatCode>
                <c:ptCount val="8"/>
                <c:pt idx="0">
                  <c:v>2015</c:v>
                </c:pt>
                <c:pt idx="1">
                  <c:v>2020</c:v>
                </c:pt>
                <c:pt idx="2">
                  <c:v>2025</c:v>
                </c:pt>
                <c:pt idx="3">
                  <c:v>2030</c:v>
                </c:pt>
                <c:pt idx="4">
                  <c:v>2035</c:v>
                </c:pt>
                <c:pt idx="5">
                  <c:v>2040</c:v>
                </c:pt>
                <c:pt idx="6">
                  <c:v>2045</c:v>
                </c:pt>
                <c:pt idx="7">
                  <c:v>2050</c:v>
                </c:pt>
              </c:numCache>
            </c:numRef>
          </c:cat>
          <c:val>
            <c:numRef>
              <c:f>QQ!$N$84:$U$84</c:f>
              <c:numCache>
                <c:formatCode>0.0%</c:formatCode>
                <c:ptCount val="8"/>
                <c:pt idx="0">
                  <c:v>-7.4927366190857825E-4</c:v>
                </c:pt>
                <c:pt idx="1">
                  <c:v>-1.7206218357490588E-3</c:v>
                </c:pt>
                <c:pt idx="2">
                  <c:v>-3.9969853087730156E-3</c:v>
                </c:pt>
                <c:pt idx="3">
                  <c:v>-6.472662588550615E-3</c:v>
                </c:pt>
                <c:pt idx="4">
                  <c:v>-1.1165482061971543E-2</c:v>
                </c:pt>
                <c:pt idx="5">
                  <c:v>-1.9866620609553687E-2</c:v>
                </c:pt>
                <c:pt idx="6">
                  <c:v>-2.3603494635751954E-2</c:v>
                </c:pt>
                <c:pt idx="7">
                  <c:v>-2.8490945977417304E-2</c:v>
                </c:pt>
              </c:numCache>
            </c:numRef>
          </c:val>
          <c:smooth val="0"/>
          <c:extLst>
            <c:ext xmlns:c16="http://schemas.microsoft.com/office/drawing/2014/chart" uri="{C3380CC4-5D6E-409C-BE32-E72D297353CC}">
              <c16:uniqueId val="{00000011-EB0A-49B6-BA15-96BFC47FD4DC}"/>
            </c:ext>
          </c:extLst>
        </c:ser>
        <c:dLbls>
          <c:dLblPos val="ctr"/>
          <c:showLegendKey val="0"/>
          <c:showVal val="1"/>
          <c:showCatName val="0"/>
          <c:showSerName val="0"/>
          <c:showPercent val="0"/>
          <c:showBubbleSize val="0"/>
        </c:dLbls>
        <c:marker val="1"/>
        <c:smooth val="0"/>
        <c:axId val="853414200"/>
        <c:axId val="853414840"/>
      </c:lineChart>
      <c:catAx>
        <c:axId val="38780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752"/>
        <c:crosses val="autoZero"/>
        <c:auto val="1"/>
        <c:lblAlgn val="ctr"/>
        <c:lblOffset val="100"/>
        <c:tickLblSkip val="1"/>
        <c:noMultiLvlLbl val="0"/>
      </c:catAx>
      <c:valAx>
        <c:axId val="38780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sz="900" b="0" i="0" baseline="0">
                    <a:effectLst/>
                  </a:rPr>
                  <a:t>Change in household energy consumption, PJ</a:t>
                </a:r>
                <a:endParaRPr lang="en-ZA" sz="900">
                  <a:effectLst/>
                </a:endParaRPr>
              </a:p>
            </c:rich>
          </c:tx>
          <c:layout>
            <c:manualLayout>
              <c:xMode val="edge"/>
              <c:yMode val="edge"/>
              <c:x val="2.1289359227009523E-2"/>
              <c:y val="0.1544892170094040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808112"/>
        <c:crosses val="autoZero"/>
        <c:crossBetween val="between"/>
      </c:valAx>
      <c:valAx>
        <c:axId val="853414840"/>
        <c:scaling>
          <c:orientation val="minMax"/>
        </c:scaling>
        <c:delete val="0"/>
        <c:axPos val="r"/>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ZA"/>
                  <a:t>Change in energy intensity</a:t>
                </a:r>
                <a:r>
                  <a:rPr lang="en-ZA" baseline="0"/>
                  <a:t> (PJ/R)</a:t>
                </a:r>
                <a:endParaRPr lang="en-ZA"/>
              </a:p>
            </c:rich>
          </c:tx>
          <c:layout>
            <c:manualLayout>
              <c:xMode val="edge"/>
              <c:yMode val="edge"/>
              <c:x val="0.9493163409700579"/>
              <c:y val="0.2165345962997983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414200"/>
        <c:crosses val="max"/>
        <c:crossBetween val="between"/>
        <c:majorUnit val="1.0000000000000002E-2"/>
      </c:valAx>
      <c:catAx>
        <c:axId val="853414200"/>
        <c:scaling>
          <c:orientation val="minMax"/>
        </c:scaling>
        <c:delete val="1"/>
        <c:axPos val="b"/>
        <c:numFmt formatCode="General" sourceLinked="1"/>
        <c:majorTickMark val="out"/>
        <c:minorTickMark val="none"/>
        <c:tickLblPos val="nextTo"/>
        <c:crossAx val="853414840"/>
        <c:crosses val="autoZero"/>
        <c:auto val="1"/>
        <c:lblAlgn val="ctr"/>
        <c:lblOffset val="100"/>
        <c:noMultiLvlLbl val="0"/>
      </c:catAx>
      <c:spPr>
        <a:noFill/>
        <a:ln>
          <a:noFill/>
        </a:ln>
        <a:effectLst/>
      </c:spPr>
    </c:plotArea>
    <c:legend>
      <c:legendPos val="b"/>
      <c:layout>
        <c:manualLayout>
          <c:xMode val="edge"/>
          <c:yMode val="edge"/>
          <c:x val="2.4243460747119954E-2"/>
          <c:y val="0.86298662720294927"/>
          <c:w val="0.95371815017058925"/>
          <c:h val="0.118795671263727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OEC11</b:Tag>
    <b:SourceType>Report</b:SourceType>
    <b:Guid>{9E4F8DE3-2459-458C-9FD6-BF24EA7A1DDA}</b:Guid>
    <b:Title>Fiscal consolidation: targets, plans and measures</b:Title>
    <b:Year>2011</b:Year>
    <b:Publisher>OECD Journal on Budgeting, Vol. 11(2)</b:Publisher>
    <b:Author>
      <b:Author>
        <b:Corporate>OECD</b:Corporate>
      </b:Author>
    </b:Author>
    <b:RefOrder>1</b:RefOrder>
  </b:Source>
  <b:Source>
    <b:Tag>Jan17</b:Tag>
    <b:SourceType>Report</b:SourceType>
    <b:Guid>{CF80BABE-0D36-44E3-B203-C68EB03FBA95}</b:Guid>
    <b:Author>
      <b:Author>
        <b:NameList>
          <b:Person>
            <b:Last>Jansen</b:Last>
            <b:First>Ada</b:First>
          </b:Person>
          <b:Person>
            <b:Last>Marais</b:Last>
            <b:First>Lara</b:First>
          </b:Person>
          <b:Person>
            <b:Last>Siebrits</b:Last>
            <b:First>Krige</b:First>
          </b:Person>
        </b:NameList>
      </b:Author>
    </b:Author>
    <b:Title>Strategies for Fiscal Consolidation after the International Financial Crisis</b:Title>
    <b:Year>2017</b:Year>
    <b:Publisher>Department of Economics</b:Publisher>
    <b:City>Stellenbosch University</b:City>
    <b:RefOrder>2</b:RefOrder>
  </b:Source>
  <b:Source>
    <b:Tag>Int18</b:Tag>
    <b:SourceType>Report</b:SourceType>
    <b:Guid>{4369784A-54BB-4F73-AE5F-00494CA2BEE1}</b:Guid>
    <b:Title>Fiscal monitor</b:Title>
    <b:Year>2018</b:Year>
    <b:Author>
      <b:Author>
        <b:Corporate>International Monetary Fund</b:Corporate>
      </b:Author>
    </b:Author>
    <b:Publisher>International Monetary Fund</b:Publisher>
    <b:City>Washington, DC</b:City>
    <b:RefOrder>3</b:RefOrder>
  </b:Source>
  <b:Source>
    <b:Tag>Kap15</b:Tag>
    <b:SourceType>JournalArticle</b:SourceType>
    <b:Guid>{3479CA94-780B-40DA-8536-5D452FCFCA0D}</b:Guid>
    <b:Title>Does Fairness Matter for the Success of Fiscal Consolidation?</b:Title>
    <b:Year>2015</b:Year>
    <b:Author>
      <b:Author>
        <b:NameList>
          <b:Person>
            <b:Last>Kaplanoglou</b:Last>
            <b:First>Georgia</b:First>
          </b:Person>
          <b:Person>
            <b:Last>Rapanos</b:Last>
            <b:First>Vassilis</b:First>
            <b:Middle>T</b:Middle>
          </b:Person>
          <b:Person>
            <b:Last>Bardakas</b:Last>
            <b:First>Ioanna</b:First>
            <b:Middle>C</b:Middle>
          </b:Person>
        </b:NameList>
      </b:Author>
    </b:Author>
    <b:JournalName>International Review of </b:JournalName>
    <b:Pages>197-219</b:Pages>
    <b:Volume>68</b:Volume>
    <b:Issue>2</b:Issue>
    <b:RefOrder>4</b:RefOrder>
  </b:Source>
  <b:Source>
    <b:Tag>Ale11</b:Tag>
    <b:SourceType>JournalArticle</b:SourceType>
    <b:Guid>{0D24D368-B714-4AB7-9576-AFD2E7455F08}</b:Guid>
    <b:Author>
      <b:Author>
        <b:NameList>
          <b:Person>
            <b:Last>Alesina</b:Last>
            <b:First>Alberto</b:First>
            <b:Middle>F</b:Middle>
          </b:Person>
          <b:Person>
            <b:Last>Ardagna</b:Last>
            <b:First>Silvia</b:First>
          </b:Person>
        </b:NameList>
      </b:Author>
    </b:Author>
    <b:Title>Large changes in fiscal policy: taxes versus spending</b:Title>
    <b:JournalName>NBER Working Paper </b:JournalName>
    <b:Year>2011</b:Year>
    <b:Volume>No. 15438</b:Volume>
    <b:RefOrder>5</b:RefOrder>
  </b:Source>
  <b:Source>
    <b:Tag>Gup03</b:Tag>
    <b:SourceType>JournalArticle</b:SourceType>
    <b:Guid>{D383FB2A-A5DC-4712-8BA4-9502B7CABD6E}</b:Guid>
    <b:Author>
      <b:Author>
        <b:NameList>
          <b:Person>
            <b:Last>Gupta</b:Last>
            <b:First>Sanjeev</b:First>
          </b:Person>
          <b:Person>
            <b:Last>Baldacci</b:Last>
            <b:First>Emanuele</b:First>
          </b:Person>
          <b:Person>
            <b:Last>Clements</b:Last>
            <b:First>Benedict</b:First>
          </b:Person>
          <b:Person>
            <b:Last>Tiongson</b:Last>
            <b:First>Erwin</b:First>
            <b:Middle>R</b:Middle>
          </b:Person>
        </b:NameList>
      </b:Author>
    </b:Author>
    <b:Title>What Sustains Fiscal Consolidations in Emerging Market Countries?</b:Title>
    <b:JournalName>IMF Working Paper</b:JournalName>
    <b:Year>2003</b:Year>
    <b:Pages>1-27</b:Pages>
    <b:URL>https://ssrn.com/abstract=880917</b:URL>
    <b:RefOrder>6</b:RefOrder>
  </b:Source>
  <b:Source>
    <b:Tag>2012a</b:Tag>
    <b:SourceType>JournalArticle</b:SourceType>
    <b:Guid>{FA74837C-E7D6-46BC-A122-1AB5C14E6E22}</b:Guid>
    <b:Author>
      <b:Author>
        <b:NameList>
          <b:Person>
            <b:Last>Molnar</b:Last>
            <b:First>M</b:First>
          </b:Person>
        </b:NameList>
      </b:Author>
    </b:Author>
    <b:Title>Fiscal consolidation: What factors determine the success of consolidation efforts?</b:Title>
    <b:JournalName>OECD Journal: Economic</b:JournalName>
    <b:Year>2012a</b:Year>
    <b:Volume>2012</b:Volume>
    <b:Issue>1</b:Issue>
    <b:URL>https://www.oecd-ilibrary.org/economics</b:URL>
    <b:RefOrder>7</b:RefOrder>
  </b:Source>
  <b:Source>
    <b:Tag>Afo11</b:Tag>
    <b:SourceType>JournalArticle</b:SourceType>
    <b:Guid>{45BED748-7ACA-4D86-9D36-86B6A544AA88}</b:Guid>
    <b:Author>
      <b:Author>
        <b:NameList>
          <b:Person>
            <b:Last>Afonso</b:Last>
            <b:First>A</b:First>
          </b:Person>
          <b:Person>
            <b:Last>Jalles</b:Last>
            <b:First>J.</b:First>
            <b:Middle>T</b:Middle>
          </b:Person>
        </b:NameList>
      </b:Author>
    </b:Author>
    <b:Title>Measuring the Success of Fiscal Consolidations. Technical University Of Lisbon</b:Title>
    <b:JournalName>School of Economics and Management</b:JournalName>
    <b:Year>2011</b:Year>
    <b:Volume>WP 22/2011/DE/UECE</b:Volume>
    <b:URL>https://pdfs.semanticscholar.org/</b:URL>
    <b:RefOrder>8</b:RefOrder>
  </b:Source>
  <b:Source>
    <b:Tag>Bur15</b:Tag>
    <b:SourceType>JournalArticle</b:SourceType>
    <b:Guid>{2DF53504-25AF-464F-A4B4-256D2548C372}</b:Guid>
    <b:Author>
      <b:Author>
        <b:NameList>
          <b:Person>
            <b:Last>Burger</b:Last>
            <b:First>P</b:First>
          </b:Person>
          <b:Person>
            <b:Last>Siebrits</b:Last>
            <b:First>K</b:First>
          </b:Person>
          <b:Person>
            <b:Last>Calitz</b:Last>
            <b:First>E</b:First>
          </b:Person>
        </b:NameList>
      </b:Author>
    </b:Author>
    <b:Title>The public sector balance sheet and fiscal consolidation in South Africa</b:Title>
    <b:JournalName>Stellenbosch Economic Working Papers</b:JournalName>
    <b:Year>2015</b:Year>
    <b:Volume>11</b:Volume>
    <b:Issue>15</b:Issue>
    <b:RefOrder>9</b:RefOrder>
  </b:Source>
  <b:Source>
    <b:Tag>von01</b:Tag>
    <b:SourceType>JournalArticle</b:SourceType>
    <b:Guid>{93EF67C7-676D-4172-A943-DA04641F5F32}</b:Guid>
    <b:Author>
      <b:Author>
        <b:NameList>
          <b:Person>
            <b:Last>Von Hagen</b:Last>
            <b:First>J</b:First>
          </b:Person>
          <b:Person>
            <b:Last>Strauch</b:Last>
            <b:First>Rolf</b:First>
            <b:Middle>R</b:Middle>
          </b:Person>
        </b:NameList>
      </b:Author>
    </b:Author>
    <b:Title>Fiscal Consolidations: Quality, Economic Conditions, and Success</b:Title>
    <b:JournalName>Public Choice</b:JournalName>
    <b:Year>2001</b:Year>
    <b:Pages>327–346</b:Pages>
    <b:Volume>109</b:Volume>
    <b:Issue>3–4</b:Issue>
    <b:RefOrder>10</b:RefOrder>
  </b:Source>
  <b:Source>
    <b:Tag>Dep6a</b:Tag>
    <b:SourceType>Report</b:SourceType>
    <b:Guid>{76668641-2DCB-4B9D-A74F-41378170BEBD}</b:Guid>
    <b:Author>
      <b:Author>
        <b:Corporate>Department of Finance</b:Corporate>
      </b:Author>
    </b:Author>
    <b:Title>Budget Review</b:Title>
    <b:Year>1996a</b:Year>
    <b:Publisher>Department of Finance</b:Publisher>
    <b:City>Pretoria</b:City>
    <b:RefOrder>11</b:RefOrder>
  </b:Source>
  <b:Source>
    <b:Tag>Dep961</b:Tag>
    <b:SourceType>Report</b:SourceType>
    <b:Guid>{43E938E3-FA05-410D-938B-4893BE86D01D}</b:Guid>
    <b:Author>
      <b:Author>
        <b:Corporate>Department of Finance</b:Corporate>
      </b:Author>
    </b:Author>
    <b:Title>Growth, Employment and Redistribution: A Macroeconomic Strategy for South Africa (GEAR)</b:Title>
    <b:Year>1996b</b:Year>
    <b:Publisher>Department of Finance</b:Publisher>
    <b:City>Pretoria</b:City>
    <b:RefOrder>12</b:RefOrder>
  </b:Source>
  <b:Source>
    <b:Tag>Nat</b:Tag>
    <b:SourceType>InternetSite</b:SourceType>
    <b:Guid>{45D6ED57-2523-4863-A910-8300DA27E226}</b:Guid>
    <b:Author>
      <b:Author>
        <b:Corporate>National Treasury</b:Corporate>
      </b:Author>
    </b:Author>
    <b:Title>Budget Information</b:Title>
    <b:URL>http://www.treasury.gov.za/</b:URL>
    <b:Year>2019</b:Year>
    <b:RefOrder>13</b:RefOrder>
  </b:Source>
  <b:Source>
    <b:Tag>Sou19</b:Tag>
    <b:SourceType>InternetSite</b:SourceType>
    <b:Guid>{D4FB1F5F-B5BA-4624-8FBB-5D13C5ABD5E9}</b:Guid>
    <b:Author>
      <b:Author>
        <b:Corporate>South African Reserve Bank</b:Corporate>
      </b:Author>
    </b:Author>
    <b:Title>Statistics</b:Title>
    <b:Year>2019</b:Year>
    <b:URL>https://www.resbank.co.za/Research/Statistics/Pages/Statistics</b:URL>
    <b:RefOrder>14</b:RefOrder>
  </b:Source>
  <b:Source>
    <b:Tag>Hor05</b:Tag>
    <b:SourceType>BookSection</b:SourceType>
    <b:Guid>{6041AFB1-D905-49B5-9D50-6EBE13F9CAE7}</b:Guid>
    <b:Author>
      <b:Author>
        <b:NameList>
          <b:Person>
            <b:Last>Horton</b:Last>
            <b:First>M</b:First>
          </b:Person>
        </b:NameList>
      </b:Author>
      <b:Editor>
        <b:NameList>
          <b:Person>
            <b:Last>Nowak</b:Last>
            <b:First>M</b:First>
          </b:Person>
          <b:Person>
            <b:Last>Ricci</b:Last>
            <b:First>L</b:First>
            <b:Middle>A</b:Middle>
          </b:Person>
        </b:NameList>
      </b:Editor>
    </b:Author>
    <b:Title>Role of fiscal policy in stabilization and poverty alleviation</b:Title>
    <b:Year>2005</b:Year>
    <b:BookTitle>Post-Apartheid South Africa: The first ten years</b:BookTitle>
    <b:Pages>79-111</b:Pages>
    <b:City>Washington, D.C.</b:City>
    <b:Publisher>International Monetary Fund</b:Publisher>
    <b:RefOrder>15</b:RefOrder>
  </b:Source>
  <b:Source>
    <b:Tag>Kom13</b:Tag>
    <b:SourceType>JournalArticle</b:SourceType>
    <b:Guid>{9D43B918-8E88-409E-8F9C-BDD34BAD5B14}</b:Guid>
    <b:Title>The trajectory of economic development policies in South Africa. The case for public policy analysis.</b:Title>
    <b:Year>2013</b:Year>
    <b:Pages>142-160</b:Pages>
    <b:Author>
      <b:Author>
        <b:NameList>
          <b:Person>
            <b:Last>Koma</b:Last>
            <b:First>S</b:First>
            <b:Middle>B</b:Middle>
          </b:Person>
        </b:NameList>
      </b:Author>
    </b:Author>
    <b:JournalName>Administratio Publica</b:JournalName>
    <b:Volume>21</b:Volume>
    <b:Issue>1</b:Issue>
    <b:URL>https://journal.assadpam.net/</b:URL>
    <b:RefOrder>16</b:RefOrder>
  </b:Source>
  <b:Source>
    <b:Tag>Bal04</b:Tag>
    <b:SourceType>BookSection</b:SourceType>
    <b:Guid>{67C23751-0831-4FAA-840E-01570B616633}</b:Guid>
    <b:Title>Persistance of fiscal adjustments and expenditure composition in low-income countries</b:Title>
    <b:Year>2004</b:Year>
    <b:Pages>48-66</b:Pages>
    <b:Author>
      <b:Author>
        <b:NameList>
          <b:Person>
            <b:Last>Baldacci</b:Last>
            <b:First>E.</b:First>
          </b:Person>
          <b:Person>
            <b:Last>Clements</b:Last>
            <b:First>B.</b:First>
          </b:Person>
          <b:Person>
            <b:Last>Gupta</b:Last>
            <b:First>S</b:First>
          </b:Person>
          <b:Person>
            <b:Last>Mulas-Granados</b:Last>
            <b:First>C</b:First>
          </b:Person>
        </b:NameList>
      </b:Author>
      <b:Editor>
        <b:NameList>
          <b:Person>
            <b:Last>Gupta</b:Last>
            <b:First>S.</b:First>
          </b:Person>
          <b:Person>
            <b:Last>Clemments</b:Last>
            <b:First>B</b:First>
          </b:Person>
          <b:Person>
            <b:Last>. Inchauste</b:Last>
            <b:First>G</b:First>
          </b:Person>
        </b:NameList>
      </b:Editor>
    </b:Author>
    <b:BookTitle>Helping countries develop: the role of fiscal policy</b:BookTitle>
    <b:City>Washington, D.C</b:City>
    <b:Publisher>International Monetary Fund</b:Publisher>
    <b:RefOrder>17</b:RefOrder>
  </b:Source>
  <b:Source>
    <b:Tag>Mar18</b:Tag>
    <b:SourceType>Report</b:SourceType>
    <b:Guid>{8B997F0F-B98D-494E-A85A-7F3EF81ECAB7}</b:Guid>
    <b:Title>Polity IV Project: Dataset Users’ Manual</b:Title>
    <b:Year>2018</b:Year>
    <b:Author>
      <b:Author>
        <b:NameList>
          <b:Person>
            <b:Last>Marshall</b:Last>
            <b:First>M</b:First>
            <b:Middle>G</b:Middle>
          </b:Person>
          <b:Person>
            <b:Last>Gurr</b:Last>
            <b:First>T</b:First>
            <b:Middle>R</b:Middle>
          </b:Person>
          <b:Person>
            <b:Last>Jaggers</b:Last>
            <b:First>K</b:First>
          </b:Person>
        </b:NameList>
      </b:Author>
    </b:Author>
    <b:Publisher>George Mason University and Center for Systemic Peace</b:Publisher>
    <b:City>Vienna</b:City>
    <b:RefOrder>18</b:RefOrder>
  </b:Source>
  <b:Source>
    <b:Tag>Tal00</b:Tag>
    <b:SourceType>JournalArticle</b:SourceType>
    <b:Guid>{84312450-FDFB-4F92-A21C-980AACB5D648}</b:Guid>
    <b:Title>Tax base variability and procyclical fiscal policy</b:Title>
    <b:Year>2000</b:Year>
    <b:Author>
      <b:Author>
        <b:NameList>
          <b:Person>
            <b:Last>Talvi</b:Last>
            <b:First>E</b:First>
          </b:Person>
          <b:Person>
            <b:Last>Vègh</b:Last>
            <b:First>C.A</b:First>
          </b:Person>
        </b:NameList>
      </b:Author>
    </b:Author>
    <b:JournalName>National Bureau of Economic Research</b:JournalName>
    <b:Volume>Working paper No. 7499</b:Volume>
    <b:RefOrder>19</b:RefOrder>
  </b:Source>
  <b:Source>
    <b:Tag>Cap14</b:Tag>
    <b:SourceType>Report</b:SourceType>
    <b:Guid>{B72A9B36-B687-4104-925A-170616C98BFD}</b:Guid>
    <b:Title>The fiscal and monetary history of Chile 1960-2010</b:Title>
    <b:Year>2014</b:Year>
    <b:Author>
      <b:Author>
        <b:NameList>
          <b:Person>
            <b:Last>Caputo</b:Last>
            <b:First>R</b:First>
          </b:Person>
          <b:Person>
            <b:Last>Sarabia</b:Last>
            <b:First>D</b:First>
          </b:Person>
        </b:NameList>
      </b:Author>
    </b:Author>
    <b:Publisher>Central Bank of Chile</b:Publisher>
    <b:City>Santiago</b:City>
    <b:RefOrder>20</b:RefOrder>
  </b:Source>
  <b:Source>
    <b:Tag>Fie04</b:Tag>
    <b:SourceType>Report</b:SourceType>
    <b:Guid>{65520CAF-4967-41CD-A09A-0E0C343EBFE3}</b:Guid>
    <b:Author>
      <b:Author>
        <b:NameList>
          <b:Person>
            <b:Last>Fiess</b:Last>
            <b:First>N</b:First>
          </b:Person>
        </b:NameList>
      </b:Author>
    </b:Author>
    <b:Title>Chile’s fiscal rule.</b:Title>
    <b:Year>2004</b:Year>
    <b:Publisher>Econometric Society</b:Publisher>
    <b:RefOrder>21</b:RefOrder>
  </b:Source>
  <b:Source>
    <b:Tag>Car18</b:Tag>
    <b:SourceType>JournalArticle</b:SourceType>
    <b:Guid>{91472A7F-0E54-464A-A72B-80BA072007E4}</b:Guid>
    <b:Title>The macroeconomic effects of fiscal consolidation in emerging economies: Evidence from Latin America</b:Title>
    <b:Year>2018</b:Year>
    <b:Author>
      <b:Author>
        <b:NameList>
          <b:Person>
            <b:Last>Carrière-Swallow</b:Last>
            <b:First>Y</b:First>
          </b:Person>
          <b:Person>
            <b:Last>David</b:Last>
            <b:First>A</b:First>
            <b:Middle>C</b:Middle>
          </b:Person>
          <b:Person>
            <b:Last>Leigh</b:Last>
            <b:First>D</b:First>
          </b:Person>
        </b:NameList>
      </b:Author>
    </b:Author>
    <b:JournalName>International Monetary Fund</b:JournalName>
    <b:Volume>Working Paper No. WP/18/142</b:Volume>
    <b:RefOrder>22</b:RefOrder>
  </b:Source>
  <b:Source>
    <b:Tag>Dav18</b:Tag>
    <b:SourceType>JournalArticle</b:SourceType>
    <b:Guid>{A0D53547-A444-4A2D-81D6-44DB1CD3110F}</b:Guid>
    <b:Author>
      <b:Author>
        <b:NameList>
          <b:Person>
            <b:Last>David</b:Last>
            <b:First>A.C</b:First>
          </b:Person>
          <b:Person>
            <b:Last>Leigh</b:Last>
            <b:First>D</b:First>
          </b:Person>
        </b:NameList>
      </b:Author>
    </b:Author>
    <b:Title>A new action-based dataset of fiscal consolidation in Latin America and the Caribbean</b:Title>
    <b:JournalName>International Monetary Fund</b:JournalName>
    <b:Year>2018</b:Year>
    <b:Volume>Working Paper No. WP/18/94</b:Volume>
    <b:RefOrder>23</b:RefOrder>
  </b:Source>
  <b:Source>
    <b:Tag>Eas07</b:Tag>
    <b:SourceType>JournalArticle</b:SourceType>
    <b:Guid>{6B3E9007-A316-4DBC-A53B-A23487B4BB3F}</b:Guid>
    <b:Author>
      <b:Author>
        <b:NameList>
          <b:Person>
            <b:Last>Easterly</b:Last>
            <b:First>W</b:First>
          </b:Person>
          <b:Person>
            <b:Last>Irwin</b:Last>
            <b:First>T</b:First>
          </b:Person>
          <b:Person>
            <b:Last>Servèn</b:Last>
            <b:First>L</b:First>
          </b:Person>
        </b:NameList>
      </b:Author>
    </b:Author>
    <b:Title>Walking up the down escalator: Public investment and fiscal stability</b:Title>
    <b:JournalName>World Bank</b:JournalName>
    <b:Year>2007</b:Year>
    <b:Volume>Policy Research Working Paper </b:Volume>
    <b:Issue>4158</b:Issue>
    <b:RefOrder>24</b:RefOrder>
  </b:Source>
</b:Sources>
</file>

<file path=customXml/itemProps1.xml><?xml version="1.0" encoding="utf-8"?>
<ds:datastoreItem xmlns:ds="http://schemas.openxmlformats.org/officeDocument/2006/customXml" ds:itemID="{293DC9E9-2D83-4875-9155-F72F0C0B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22</Pages>
  <Words>6935</Words>
  <Characters>39530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Tembo</dc:creator>
  <cp:keywords/>
  <dc:description/>
  <cp:lastModifiedBy>Jules Schers</cp:lastModifiedBy>
  <cp:revision>6</cp:revision>
  <cp:lastPrinted>2018-04-16T18:07:00Z</cp:lastPrinted>
  <dcterms:created xsi:type="dcterms:W3CDTF">2020-02-28T11:03:00Z</dcterms:created>
  <dcterms:modified xsi:type="dcterms:W3CDTF">2020-02-28T11:27:00Z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Cape Town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NewReviewCycle">
    <vt:lpwstr/>
  </property>
</Properties>
</file>