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44"/>
          <w:szCs w:val="44"/>
          <w:rtl w:val="0"/>
        </w:rPr>
        <w:t xml:space="preserve">SEO-СТРАТЕГИЯ ПРОДВИЖЕНИЯ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/>
      </w:pPr>
      <w:r w:rsidDel="00000000" w:rsidR="00000000" w:rsidRPr="00000000">
        <w:rPr>
          <w:color w:val="2e75b6"/>
          <w:sz w:val="36"/>
          <w:szCs w:val="36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irillitsa.ru  &amp;  </w:t>
      </w:r>
      <w:r w:rsidDel="00000000" w:rsidR="00000000" w:rsidRPr="00000000">
        <w:rPr>
          <w:color w:val="2e75b6"/>
          <w:sz w:val="36"/>
          <w:szCs w:val="36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il</w:t>
      </w:r>
      <w:r w:rsidDel="00000000" w:rsidR="00000000" w:rsidRPr="00000000">
        <w:rPr>
          <w:color w:val="2e75b6"/>
          <w:sz w:val="36"/>
          <w:szCs w:val="3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esource.ru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Комплексное исследование, семантическое ядро, интенты,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стратегия присутствия в поисковой выдаче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Март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d4740a"/>
          <w:sz w:val="22"/>
          <w:szCs w:val="22"/>
          <w:rtl w:val="0"/>
        </w:rPr>
        <w:t xml:space="preserve">Toimi.pro | SEO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1. 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Настоящий документ содержит комплексную SEO-стратегию продвижения двух связанных проектов — kirillitsa.ru (ГК «Кириллица») и oilresource.ru (ООО «Оил Ресурс», входит в ГК «Кириллица»). Стратегия основана на данных Semrush, Яндекс.Метрики, Яндекс.Вебмастера, технических аудитов, коммерческих смет и live-исследования обоих сайтов.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1.1 Текущее состояние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80"/>
        <w:gridCol w:w="3080"/>
        <w:tblGridChange w:id="0">
          <w:tblGrid>
            <w:gridCol w:w="3200"/>
            <w:gridCol w:w="308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kirillitsa.ru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oilresource.ru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Органический трафик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по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sdt>
              <w:sdtPr>
                <w:id w:val="-53661069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≈0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визита/мес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Ключевые слова в индексе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Бэклинки / домены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499 / 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7 000 / 308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Dofollow-ссылки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Визиты из Яндекса (Метрика, 3 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3 072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Визиты из Google (Метрика, 3 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Домены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(.ru)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(.ru, .com, .cn)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Языковые версии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RU, EN, CN (продвигается только 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Отсутствует (все стр.)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Alt-атрибуты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Пустые (все)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Пустые (все)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1.2 Целевое состояние (12 месяцев)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Органический трафик kirillitsa.ru: 700–1 500 визитов/мес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Органический трафик oilresource.ru: 2 000–5 000 визитов/мес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Топ-10 по 15–25 коммерческим запросам для каждого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Присутствие в Яндекс.Новостях (100+ пресс-релизов OilResource)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Rich Snippets в выдаче (Organization, FAQ, NewsArticle)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Попадание в AI Overview по ключевым отраслевым запросам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2. Kirillitsa.ru —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 Профиль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АО «Кириллица» — независимая группа компаний. Инвестиции в нефтегазовую промышленность, АПК, IT. Выручка по группе за 2024 год — 24,4 млрд руб., чистая прибыль — 450 млн руб. Кредитный рейтинг НРА: BB||ru (прогноз стабильный).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2.2 Поисковый трафик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По данным Яндекс.Метрики (24.12.2025–23.03.2026): 1 426 визитов из Яндекса + 1 231 визит из Google. 932 уникальных посетителя. Более 95% трафика — брендовые запросы. Небрендовый органический трафик практически отсутствует.</w:t>
      </w:r>
      <w:r w:rsidDel="00000000" w:rsidR="00000000" w:rsidRPr="00000000">
        <w:rPr>
          <w:rtl w:val="0"/>
        </w:rPr>
      </w:r>
    </w:p>
    <w:tbl>
      <w:tblPr>
        <w:tblStyle w:val="Table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500"/>
        <w:gridCol w:w="1500"/>
        <w:gridCol w:w="1860"/>
        <w:tblGridChange w:id="0">
          <w:tblGrid>
            <w:gridCol w:w="3500"/>
            <w:gridCol w:w="1500"/>
            <w:gridCol w:w="15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Поисковый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Визиты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Отказы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Глубина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гк кириллица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кириллица 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ао кириллица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кириллица 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кредитный рейтинг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Из Google (по данным Яндекс.Метрики): 1 231 визит за 3 месяца. Трафик из Google также преимущественно брендовый.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2.3 Бэклинк-профиль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499 бэклинков с 116 доменов. 80% dofollow. Основные доноры: sergeytereshkin.com (104), tlinks.run (72), cossa.ru (29). Анкорный профиль перекошен к брендовым и URL-анкорам. Коммерческие анкоры практически отсутствуют.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2.4 Технические проблемы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5000"/>
        <w:gridCol w:w="3060"/>
        <w:tblGridChange w:id="0">
          <w:tblGrid>
            <w:gridCol w:w="1300"/>
            <w:gridCol w:w="50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Meta Description отсутствует на всех страницах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Потеря 30–40% CTR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Alt-атрибуты пустые на всех изображениях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Нулевой трафик из картинок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Опечатка «Нефтезаговая» вместо «Нефтегазовая» в навигации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Ошибка на всех страницах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Schema.org полностью 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Нет Rich Snippets в выдаче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Broken title в пресс-центре (незакрытая кавычка)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Некорректный сниппет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H1 на ключевых страницах — слоганы без ключевых слов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Слабое ранжирование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Контент на главной — 1–2 предложения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Слабый сигнал релевантности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Финансовые данные в SVG (нечитаемы для поисковиков)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Потеря контентного сигнала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Одинаковое превью-изображение во всех новостях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Дубликаты для поисковика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3. OilResource.ru —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Профиль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ООО «Оил Ресурс» (входит в ГК «Кириллица») — трейдинг и логистика нефтепродуктов. Продуктовая линейка: бензины, дизель, керосины, мазут, битумы, СУГ, нефть, газовый конденсат. 14 партнёров-НПЗ, 520 тыс. тонн поставок. Выручка за 2024: +67% г/г до 8,4 млрд руб. Кредитный рейтинг BBB||ru (НРА). Облигационная программа на Мосбирже — 50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Поисковый трафик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Яндекс.Метрика (3 мес): 3 072 визита, 1 919 уникальных. Преобладают брендовые запросы:</w:t>
      </w:r>
      <w:r w:rsidDel="00000000" w:rsidR="00000000" w:rsidRPr="00000000">
        <w:rPr>
          <w:rtl w:val="0"/>
        </w:rPr>
      </w:r>
    </w:p>
    <w:tbl>
      <w:tblPr>
        <w:tblStyle w:val="Table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500"/>
        <w:gridCol w:w="1500"/>
        <w:gridCol w:w="1860"/>
        <w:tblGridChange w:id="0">
          <w:tblGrid>
            <w:gridCol w:w="3500"/>
            <w:gridCol w:w="1500"/>
            <w:gridCol w:w="15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Поисковый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Визиты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Отказы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Глубина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ойл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ойл ресурс групп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нефтепродукты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Трафик по запросу «оил ресурс облигации» показывает высокую вовлечённость (глубина 5.2, отказы 12%) — целевая инвесторская аудитория.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 Бэклинк-профиль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7 000 бэклинков с 308 доменов. 96% dofollow. Проблемная структура: 82% анкоров пустые, основной донор — oilresurs.ru (5 665 ссылок, вероятно, старый домен с массовым редиректом). Неестественный ссылочный профиль.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3.4 Технические проблемы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5000"/>
        <w:gridCol w:w="3060"/>
        <w:tblGridChange w:id="0">
          <w:tblGrid>
            <w:gridCol w:w="1300"/>
            <w:gridCol w:w="50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Страница /investors/ не существует (редирект на главную)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Потеря инвесторского трафика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Title главной — слоган без бренда и ключевых слов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Нулевое ранжирование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 почти пуста (2 карточки)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Пустая коммерческая стр.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Schema.org полностью 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100+ пресс-релизов вне Яндекс.Новостей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hreflang отсутствует между .ru / .com / .cn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Каннибализация 3 доменов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Alt-атрибуты пустые на всех изображениях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Нулевой трафик из картинок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Опечатка «Горячия линия» вместо «Горячая линия»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Ошибка на публичной стр.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82% пустых анкоров в бэклинк-профиле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Неестественный профиль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Карта не встроена (только ссылка)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Слабый локальный сигнал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4. Целевые ключевые слова и интенты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Ниже представлено полное семантическое ядро с разбивкой по приоритетам, типам интентов и привязкой к конкретным страницам сайтов. Для каждой страницы указаны рекомендуемые Title, H1 и Meta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4.1 Kirillitsa.ru — полная карта ключевых слов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Суммарный потенциал семантического ядра: 500–800 запросов. Ниже приведены приоритетные кластеры.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4.1.1 Сводная таблица приоритетных ключевых слов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00"/>
        <w:gridCol w:w="1800"/>
        <w:gridCol w:w="900"/>
        <w:gridCol w:w="1380"/>
        <w:gridCol w:w="1995"/>
        <w:tblGridChange w:id="0">
          <w:tblGrid>
            <w:gridCol w:w="2400"/>
            <w:gridCol w:w="900"/>
            <w:gridCol w:w="1800"/>
            <w:gridCol w:w="900"/>
            <w:gridCol w:w="1380"/>
            <w:gridCol w:w="1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Ключевое слово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стр.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гк кириллица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600–800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Навигационный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кириллица 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400–600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Навигационный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/about/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ао кириллица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200–300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Навигационный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/about/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кириллица 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Навигационный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кириллица 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150–250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кириллица облигации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80–150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/investors/bonds/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кириллица инвестиции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купить облигации нефтяных компаний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300–500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/investors/bonds/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высокодоходные облигации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500–1 000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/investors/bonds/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корпоративные облигации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600–1 000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/blog/corp-bonds/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кредитный рейтинг BB 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200–400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инвестиции в нефтегазовый сектор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400–700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Нефтегаз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/branch/petroleum/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нефтегазовый холдинг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200–400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/about/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группа компаний нефть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/about/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инвестиционный холдинг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150–300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кириллица нефтегазовая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50–100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Навигационный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Нефтегаз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/branch/petroleum/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инвестиции в сельское хозяйство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500–800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АПК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/branch/agro/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агропромышленный холдинг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АПК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/branch/agro/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сельхоз компания 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50–150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инвестиции в IT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300–600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/branch/it/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российские IT инвесторы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/branch/it/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технология МТТ добыча нефти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30–60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/blog/mtt-tech/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трудноизвлекаемые запасы нефти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/blog/mtt-tech/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Приоритеты: A — первые 1–2 месяца (быстрый эффект), B — месяцы 2–6 (основной рост), C — месяцы 6–12 (расширение семантики).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4.1.2 Оптимизация мета-тегов по страницам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Рекомендуемые Title, H1 и Meta Description для каждой ключевой страницы: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500"/>
        <w:gridCol w:w="2200"/>
        <w:gridCol w:w="3360"/>
        <w:tblGridChange w:id="0">
          <w:tblGrid>
            <w:gridCol w:w="1300"/>
            <w:gridCol w:w="25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 (50–70 знаков)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Description (150–160 знаков)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 (главная)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ГК Кириллица — инвестиции в нефтегаз, АПК и IT | 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Группа компаний «Кириллица» — инвестиции в будущее России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sdt>
              <w:sdtPr>
                <w:id w:val="30192135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ГК «Кириллица»: нефтегазовый холдинг, АПК, IT. Выручка 24,4 млрд ₽. Облигации на Мосбирже. Рейтинг BB||ru (НРА). → Узнать больше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/about/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 компании — ГК Кириллица | Нефтегазовый инвестиционный холдинг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 группе компаний «Кириллица»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АО «Кириллица» — независимый инвестиционный холдинг. Нефтегаз, АПК, IT. Работаем с 2014 года. Чистая прибыль 450 млн 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Инвесторам — Облигации ГК Кириллица | Доходность и рейтинги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Информация для инвесторов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sdt>
              <w:sdtPr>
                <w:id w:val="-123990290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Облигации АО «Кириллица» на Мосбирже. Кредитный рейтинг BB||ru. EBITDA, выручка, финансовая отчётность. Купить облигации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/investors/bonds/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Облигации АО Кириллица — доходность, купоны, условия выпуска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Облигационные выпуски ГК «Кириллица»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Все выпуски облигаций АО «Кириллица»: параметры, купонные ставки, даты погашения. Программа на 50 млрд ₽ на Мосбирже.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/branch/petroleum/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Нефтегазовая отрасль — ГК Кириллица | 520 тыс. тонн поставок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Нефтегазовое направление ГК «Кириллица»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Оптовые поставки нефти и нефтепродуктов. 14 НПЗ-партнёров, 520 тыс. тонн/год. Выручка 21,5 млрд ₽. Работаем по всей России.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/branch/agro/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Агропромышленный комплекс — ГК Кириллица | Инвестиции в АПК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АПК-направление ГК «Кириллица»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Инвестиции в сельское хозяйство и агропром. Земельный банк, растениеводство, зерноперевалка. Стратегия развития АПК.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/branch/it/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IT-направление — ГК Кириллица | Технологические инвестиции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 и технологии ГК «Кириллица»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IT-инвестиции группы компаний «Кириллица»: патенты, технология МТТ, цифровые продукты. Инновации в нефтегазовой отрасли.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/press-center/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Пресс-центр ГК «Кириллица» — новости и публикации в СМИ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Новости группы компаний «Кириллица»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Последние новости ГК «Кириллица»: пресс-релизы, публикации в Forbes, РБК, Коммерсантъ. Облигации, финансы, проекты.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/contacts/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Контакты АО Кириллица — Москва | Телефон, адрес, реквизиты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Контакты ГК «Кириллица»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sdt>
              <w:sdtPr>
                <w:id w:val="53722622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Адрес: Москва. Телефон, email, реквизиты АО «Кириллица». Юридический адрес: Калужская обл. Схема проезда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4.2 OilResource.ru — полная карта ключевых слов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Суммарный потенциал: 300–500 запросов (основной домен .ru). Отдельно — международная семантика для .com и .cn.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4.2.1 Сводная таблица приоритетных ключевых слов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00"/>
        <w:gridCol w:w="1300"/>
        <w:gridCol w:w="700"/>
        <w:gridCol w:w="1200"/>
        <w:gridCol w:w="2860"/>
        <w:tblGridChange w:id="0">
          <w:tblGrid>
            <w:gridCol w:w="2400"/>
            <w:gridCol w:w="900"/>
            <w:gridCol w:w="1300"/>
            <w:gridCol w:w="700"/>
            <w:gridCol w:w="12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Ключевое слово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стр.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2 000–3 000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Навигационный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ойл ресурс групп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800–1 200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Навигационный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/about-company/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400–700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oil resource трейдинг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Навигационный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новости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Пресс-центр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/press-center/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оптовые поставки нефтепродуктов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600–1 000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/business-directions/trading/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купить дизельное топливо оптом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1 000–2 000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/products/diesel/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поставщик бензина опт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400–800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/products/gasoline/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оптовая продажа дизтоплива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300–600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/products/diesel/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поставки мазута оптом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200–400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/products/fuel-oil/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поставщик СУГ оптом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/products/lpg/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купить керосин оптом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/products/kerosene/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нефтепродукты от производителя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200–400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/business-directions/trading/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трейдинг нефтепродуктов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200–400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/business-directions/trading/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логистика нефтепродуктов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300–500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/business-directions/logistics/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транспортировка нефти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200–400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/business-directions/logistics/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перевозка ГСМ жд транспорт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/business-directions/logistics/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облигации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200–400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/investors/bonds/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облигации нефтяных компаний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300–500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ESG нефтяные компании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50–100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/investors/esg/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технология МТТ добыча нефти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30–60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Лендинг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/tech/mtt/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трудноизвлекаемые запасы нефти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Лендинг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/tech/mtt/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Приоритеты: A — первые 1–2 месяца (быстрый эффект), B — месяцы 2–6 (основной рост), C — месяцы 6–12 (расширение семантики).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4.2.2 Оптимизация мета-тегов по страницам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500"/>
        <w:gridCol w:w="2200"/>
        <w:gridCol w:w="3360"/>
        <w:tblGridChange w:id="0">
          <w:tblGrid>
            <w:gridCol w:w="1300"/>
            <w:gridCol w:w="25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 (50–70 знаков)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Description (150–160 знаков)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 (главная)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— оптовые поставки нефти и нефтепродуктов | Трейдинг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— трейдинг и логистика нефтепродуктов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sdt>
              <w:sdtPr>
                <w:id w:val="-14623648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ООО «Оил Ресурс»: оптовые поставки дизеля, бензина, мазута, СУГ. 14 НПЗ-партнёров, 520 тыс. тонн/год. Рейтинг BBB||ru. → Заявка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/about-company/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 компании Оил Ресурс — нефтяная компания с 2012 года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Российская нефтяная компания «Оил Ресурс»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— трейдинг нефтепродуктов с 2012 г. Геология, бурение, добыча, переработка, нефтехимия. Выручка +67% г/г.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 (СОЗДАТЬ)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Инвесторам — Облигации Оил Ресурс | 4 выпуска на Мосбирже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Информация для инвесторов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sdt>
              <w:sdtPr>
                <w:id w:val="162591927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Облигации ООО «Оил Ресурс»: 4 выпуска на Мосбирже, программа 50 млрд ₽. Рейтинг BBB||ru. Финансовые показатели, ESG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/investors/bonds/ (СОЗДАТЬ)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Облигации Оил Ресурс — БО-01, 001P-01, 001P-02, 001P-03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Облигационные выпуски «Оил Ресурс»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Все выпуски облигаций Оил Ресурс: купонные ставки, даты погашения, доходность. Маркетмейкер с января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/business-directions/trading/ (НАПОЛНИТЬ)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Трейдинг нефтепродуктов — Оил Ресурс | Оптовые поставки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Трейдинг нефтепродуктов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sdt>
              <w:sdtPr>
                <w:id w:val="-195121421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Оптовые поставки нефтепродуктов от Оил Ресурс: дизель, бензин, мазут, СУГ, керосин. 14 НПЗ, поставки по всей России. → Заявка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/business-directions/logistics/ (НАПОЛНИТЬ)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Логистика нефтепродуктов — Оил Ресурс | Доставка ГСМ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Логистика и транспортировка нефтепродуктов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Логистика ГСМ от Оил Ресурс: ж/д транспорт, автоперевозки, хранение. Собственная инфраструктура. География по РФ.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/products/diesel/ (СОЗДАТЬ)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Дизельное топливо оптом — купить от поставщика | Оил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Дизельное топливо оптом от «Оил Ресурс»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sdt>
              <w:sdtPr>
                <w:id w:val="147832079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Купить дизельное топливо оптом: ДТ летнее, зимнее, арктическое. Прямые поставки с НПЗ. Минимальный объём от 60 тонн. → Запрос цены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/products/gasoline/ (СОЗДАТЬ)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Бензин оптом — АИ-92, АИ-95, АИ-98 | Оил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Бензин оптом от «Оил Ресурс»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sdt>
              <w:sdtPr>
                <w:id w:val="24941818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Оптовые поставки бензина АИ-92, АИ-95, АИ-98. Прямые контракты с НПЗ, стабильные объёмы. → Запросить прайс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/products/fuel-oil/ (СОЗДАТЬ)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Мазут оптом — поставки по России | Оил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Мазут оптом от «Оил Ресурс»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Мазут М-40, М-100 оптом. Поставки с НПЗ по всей России, ж/д логистика. Стабильные объёмы и конкурентные цены.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/products/lpg/ (СОЗДАТЬ)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СУГ оптом — пропан, бутан, СПБТ | Оил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Сжиженные углеводородные газы оптом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sdt>
              <w:sdtPr>
                <w:id w:val="106625926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СУГ оптом: пропан, бутан, ПБА, ПБТ, СПБТ. Поставки с заводов-производителей. → Заявка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/products/kerosene/ (СОЗДАТЬ)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Керосин оптом — авиакеросин, осветительный | Оил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Керосин оптом от «Оил Ресурс»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sdt>
              <w:sdtPr>
                <w:id w:val="-74184606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Оптовые поставки керосина: авиационный ТС-1, осветительный КО. Партии от 60 тонн. → Узнать условия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/investors/esg/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ESG-стратегия — Оил Ресурс | Устойчивое развитие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ESG и устойчивое развитие «Оил Ресурс»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ESG-стратегия компании Оил Ресурс: экология, социальная ответственность, корпоративное управление. Отчётность.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/tech/mtt/ (СОЗДАТЬ)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Технология МТТ — добыча трудноизвлекаемых запасов | Оил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Мультифлюидная термическая технология (МТТ)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Собственная технология МТТ для добычи трудноизвлекаемых запасов нефти. Патенты, пилотные проекты, результаты.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/contacts/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Контакты Оил Ресурс — Москва, Калуга, Башкортостан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Контакты компании «Оил Ресурс»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sdt>
              <w:sdtPr>
                <w:id w:val="137891338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3 офиса: Москва (ул. Тимура Фрунзе), Кондрово (Калуга), Башкортостан. Телефон, email, реквизиты. → Написать нам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/press-center/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Пресс-центр Оил Ресурс — новости и пресс-релизы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Новости компании «Оил Ресурс»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sdt>
              <w:sdtPr>
                <w:id w:val="72022109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Последние новости Оил Ресурс: пресс-релизы, облигации, рыночные обзоры. 100+ публикаций, СМИ. Подписаться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4.2.3 Матрица интентов по типам страниц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Распределение ключевых слов по типам поискового интента и категориям страниц: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1800"/>
        <w:gridCol w:w="2400"/>
        <w:gridCol w:w="1760"/>
        <w:tblGridChange w:id="0">
          <w:tblGrid>
            <w:gridCol w:w="1400"/>
            <w:gridCol w:w="2000"/>
            <w:gridCol w:w="1800"/>
            <w:gridCol w:w="24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интента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ищет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Примеры ключей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Навигационный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Конкретную компанию/сайт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Главная, О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ресурс, ойл ресурс групп, ао кириллица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Транзакционный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Купить, заказать, вложить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Продуктовые, Инвесторы, Облигации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купить дизель оптом, поставщик бензина, облигации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 (коммерч.)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Сравнить, выбрать поставщика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Коммерческие лендинги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оптовые поставки нефтепродуктов, трейдинг нефтепродуктов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Информационный (общий)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Узнать, разобраться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Блог, 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нефтегазовый сектор Россия, инвестиции в АПК, технология МТТ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5. Стратегия продвижения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Техническая оптимизация (месяц 1–2)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Первый этап — устранение технических блокеров, без которых любые контентные и ссылочные работы теряют эффективность.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400"/>
        <w:gridCol w:w="1100"/>
        <w:gridCol w:w="3360"/>
        <w:tblGridChange w:id="0">
          <w:tblGrid>
            <w:gridCol w:w="3500"/>
            <w:gridCol w:w="1400"/>
            <w:gridCol w:w="11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Эффект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Написать уникальные Meta Description (150–160 знаков) для всех страниц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4–6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+30–40% CTR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Заполнить alt-атрибуты для всех изображений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4–8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Трафик из картинок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Исправить опечатки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0.5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Устранение ошибки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Внедрить Schema.org Organization на главных и About-страницах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4–8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Rich Snippets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Внедрить Schema.org NewsArticle на все пресс-релизы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4–6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Яндекс.Новости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Настроить hreflang между доменами .ru / .com / .cn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OilResource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2–4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Устранение каннибализации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Создать секцию /investors/ (фин. данные, 4 выпуска облигаций, ESG)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OilResource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8–16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Инвесторский трафик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Наполнить /business-directions/ (объёмы, 14 НПЗ, география, продукты)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OilResource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6–10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Коммерческий трафик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Заменить Title главной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OilResource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0.5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Ранжирование по ключам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Конвертировать изображения в 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2–4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Ускорение на 25–40%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Настроить canonical-теги, устранить дублирование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1–3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Чистая индексация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Исправить broken title в пресс-центре (kirillitsa.ru)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Kirillitsa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0.5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Корректный сниппет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On-Page оптимизация (месяц 2–4)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Переписать H1 на всех ключевых страницах: заменить слоганы на ключевые фразы с коммерческим интентом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Оптимизировать Title-теги: бренд + ключевое слово + USP (50–70 символов)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Расширить контент главных страниц до 1 500–2 000 знаков с целевыми ключевыми словами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FAQ-блоки на страницы инвесторов (Schema.org FAQPage) для featured snippets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Внедрить Schema.org FinancialProduct для облигаций (kirillitsa.ru)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Внедрить Schema.org LocalBusiness на страницах контактов с координатами офисов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Встроить интерактивные Яндекс.Карты (вместо текущих ссылок)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Создать продуктовые страницы OilResource: /products/diesel/, /products/gasoline/, /products/fuel-oil/, /products/lpg/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Настроить внутреннюю перелинковку с оптимизированными анкорами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Контент-план: коммерческие страницы и информационный контент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Контент-план разделён на 3 уровня: коммерческие посадочные страницы (приоритет A), сервисные и инвесторские разделы (приоритет B), экспертный контент и блог (приоритет 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Kirillitsa.ru — контент-план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1100"/>
        <w:gridCol w:w="2500"/>
        <w:gridCol w:w="1960"/>
        <w:tblGridChange w:id="0">
          <w:tblGrid>
            <w:gridCol w:w="600"/>
            <w:gridCol w:w="3200"/>
            <w:gridCol w:w="1100"/>
            <w:gridCol w:w="25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Страница /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Целевые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 (главная) — расширить до 1 500–2 000 зн.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гк кириллица, инвестиционный холдинг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1 500–2 000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 — рерайт с ключами + FAQ-блок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кириллица облигации, инвестиции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2 000–3 000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/investors/bonds/ — СОЗДАТЬ. Все выпуски, купоны,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облигации нефтяных компаний,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3 000–4 000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/about/ — рерайт с ключами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нефтегазовый холдинг Россия, группа компаний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2 000–3 000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/branch/petroleum/ — наполнить конкретикой (объёмы, НПЗ, регионы)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Сервисная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нефтегазовая отрасль, кириллица нефтегазовая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2 500–3 500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/branch/agro/ — наполнить (земельный банк, культуры, результаты)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Сервисная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инвестиции в сельское хозяйство, АПК холдинг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2 000–3 000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/branch/it/ — наполнить (патенты, продукты, МТТ)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Сервисная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инвестиции в IT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2 000–3 000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/contacts/ — оптимизация + встроить карту + LocalBusiness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Сервисная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контакты кириллица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/blog/ — СОЗДАТЬ раздел 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Статья: Топ-10 высокодоходных облигаций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высокодоходные облигации 2026, ВДО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4 000–6 000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Статья: Как оценить надёжность корпоративных облигаций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корпоративные облигации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4 000–6 000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Статья: Инвестиции в АПК — почему это выгодно в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инвестиции в сельское хозяйство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4 000–6 000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Статья: Нефтегазовый сектор России — итоги 2025, прогноз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нефтегазовый сектор Россия, инвестиции нефть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5 000–8 000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Статья: МТТ — технология добычи трудноизвлекаемых запасов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МТТ добыча нефти, трудноизвлекаемые запасы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4 000–6 000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М7–9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Ежемесячные обзоры рынка + FAQ-блоки (2–4 стат./мес)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Широкая семантика по кластерам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4 000–6 000 зн./шт.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OilResource.ru — контент-план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600"/>
        <w:gridCol w:w="1000"/>
        <w:gridCol w:w="2400"/>
        <w:gridCol w:w="1760"/>
        <w:tblGridChange w:id="0">
          <w:tblGrid>
            <w:gridCol w:w="600"/>
            <w:gridCol w:w="3600"/>
            <w:gridCol w:w="1000"/>
            <w:gridCol w:w="24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Страница /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Целевые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 — СОЗДАТЬ с нуля. Фин. показатели, 4 выпуска облигаций, ESG, отчётность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 облигации, инвесторам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4 000–6 000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/investors/bonds/ — СОЗДАТЬ. Таблица: БО-01, 001P-01, 001P-02, 001P-03, купоны, даты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облигации оил ресурс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3 000–5 000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/business-directions/trading/ — НАПОЛНИТЬ. Объёмы, 14 НПЗ, продукты, география, цены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оптовые поставки нефтепродуктов, трейдинг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3 000–4 000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 (главная) — заменить слоган на ключи, расширить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оил ресурс, нефтяная 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1 500–2 000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/products/diesel/ — СОЗДАТЬ. ДТ летнее/зимнее/арктическое, объёмы, цены, форма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купить дизельное топливо оптом, дизтопливо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2 500–4 000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/products/gasoline/ — СОЗДАТЬ. АИ-92, АИ-95, АИ-98, условия поставки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бензин оптом, поставщик бензина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2 500–4 000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/products/fuel-oil/ — СОЗДАТЬ. Мазут М-40, М-100, 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мазут оптом, поставки мазута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2 000–3 000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/products/lpg/ — СОЗДАТЬ. Пропан, бутан, ПБА, ПБТ, СПБТ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СУГ оптом, поставщик СУГ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2 000–3 000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/products/kerosene/ — СОЗДАТЬ. Авиакеросин ТС-1, осветительный 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керосин оптом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2 000–3 000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/business-directions/logistics/ — НАПОЛНИТЬ. Типы транспорта, маршруты, объёмы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Сервисная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логистика нефтепродуктов, перевозка ГСМ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2 500–3 500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/about-company/ — рерайт с ключами + цифры + Person-schema для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Сервисная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ойл ресурс групп, нефтяная 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3 000–4 000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/investors/esg/ — наполнить ESG-стратегией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Сервисная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ESG нефтяные компании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2 000–3 000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/tech/mtt/ — СОЗДАТЬ лендинг МТТ-технологии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Сервисная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технология МТТ, трудноизвлекаемые запасы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3 000–5 000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/contacts/ — оптимизация + карты 3 офисов + LocalBusiness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Сервисная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контакты оил 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Доработка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Статья: Как выбрать надёжного поставщика нефтепродуктов в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поставщик нефтепродуктов, оптовые поставки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5 000–8 000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Статья: Обзор рынка нефтетрейдинга — тренды и прогнозы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трейдинг нефтепродуктов 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5 000–8 000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Статья: Логистика ГСМ — от НПЗ до потребителя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логистика нефтепродуктов, транспортировка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4 000–6 000 зн.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М6–9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Регулярные обзоры + пресс-релизы с NewsArticle (2–4/мес)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Широкая семантика по кластерам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4 000–6 000 зн./шт.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Сводка по контенту: что создаём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500"/>
        <w:gridCol w:w="2500"/>
        <w:gridCol w:w="1960"/>
        <w:tblGridChange w:id="0">
          <w:tblGrid>
            <w:gridCol w:w="2400"/>
            <w:gridCol w:w="2500"/>
            <w:gridCol w:w="25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Kirillitsa.ru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OilResource.ru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Новые коммерческие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(/investors/bonds/)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(/investors/, /investors/bonds/, главная)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Новые продуктовые страницы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(дизель, бензин, мазут, СУГ, керосин)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Рерайт/наполнение существующих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(/, /about/, /investors/, /press-center/, /contacts/)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(/trading/, /logistics/, /about/, /esg/, /contacts/)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Новые сервисные лендинги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(/blog/ раздел)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(/tech/mtt/, /investors/esg/)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Статьи для блога (за 9 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8–16 статей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8–16 статей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16–32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ИТОГО новых/переработанных стр.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7 + 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15 + блог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22 + блог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Присутствие в выдаче и AI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FAQ-блоки на всех коммерческих страницах (Schema.org FAQPage) — вход в featured snippets и AI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Таблицы с конкретными цифрами (объёмы, партнёры, доходности) — привлекают внимание в SERP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Экспертная цитата CEO/CFO на каждой ключевой странице с Person-schema — E-E-A-T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NewsArticle-разметка на все пресс-релизы (100+ у OilResource) — Яндекс.Новости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Формы заявки/CTA на каждой продуктовой и коммерческой странице — конверсия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Инфографика с описательными alt-текстами — трафик из Google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Хлебные крошки с BreadcrumbList-schema на всех страницах — улучшение сниппетов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5.4 Ссылочная стратегия (месяц 2–12)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Текущая ситуация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000"/>
        <w:gridCol w:w="2000"/>
        <w:gridCol w:w="3060"/>
        <w:tblGridChange w:id="0">
          <w:tblGrid>
            <w:gridCol w:w="2300"/>
            <w:gridCol w:w="2000"/>
            <w:gridCol w:w="20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Kirillitsa.ru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OilResource.ru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Всего бэклинков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OilResource: аудит качества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Ссылающиеся домены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Kirillitsa: наращивание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Dofollow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Разбавить nofollow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Пустые анкоры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~15%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OilResource: критическая проблема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Коммерческие анкоры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&lt;3%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Довести до 15–20%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Топ-донор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sergeytereshkin.com (104)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oilresurs.ru (5 665)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Диверсифицировать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Kirillitsa.ru — линкбилдинг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200"/>
        <w:gridCol w:w="2960"/>
        <w:tblGridChange w:id="0">
          <w:tblGrid>
            <w:gridCol w:w="2200"/>
            <w:gridCol w:w="4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Бюджет/мес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Каталоги и рейтинги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2GIS, Yandex, отраслевые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Гостевые публикации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2–3 статьи/мес на финансовых порталах (smart-lab, investfunds, vc.ru)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Крауд-маркетинг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Форумы инвесторов, облигационные чаты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5 000–10 000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 и упоминания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Комментарии экспертов для Forbes, РБК, Коммерсантъ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 рамках PR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Бюджет на внешние ссылки: 15 000–25 000 руб./мес.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OilResource.ru — линкбилдинг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200"/>
        <w:gridCol w:w="2960"/>
        <w:tblGridChange w:id="0">
          <w:tblGrid>
            <w:gridCol w:w="2200"/>
            <w:gridCol w:w="4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Бюджет/мес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Аудит токсичных ссылок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Disavow спамных доноров, чистка oilresurs.ru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Отраслевые площадки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neftegaz.ru, oilcapital, отраслевые журналы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15 000–25 000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Финансовые порталы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smart-lab, investfunds, rusbonds, tbank/pulse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10 000–15 000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Крауд-маркетинг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Форумы: нефтетрейдинг, логистика, инвестиции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5 000–10 000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Бюджет на внешние ссылки: 25 000–50 000 руб./мес. Более высокий бюджет обоснован конкурентностью ниши нефтетрейдинга.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Целевой анкорный профиль для обоих сайтов: 30% брендовые, 20% URL, 15–20% коммерческие, 30% информационные.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6. Дорожная карта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000"/>
        <w:gridCol w:w="3000"/>
        <w:gridCol w:w="2260"/>
        <w:tblGridChange w:id="0">
          <w:tblGrid>
            <w:gridCol w:w="1100"/>
            <w:gridCol w:w="3000"/>
            <w:gridCol w:w="300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Kirillitsa.ru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OilResource.ru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Месяц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Тех. аудит, критич. исправления, семантическое ядро (500–800 запросов), Schema.org, мета-теги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Тех. аудит, создание /investors/, наполнение /business-directions/, hreflang .ru/.com/.cn, 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критич. ошибок устранено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Месяц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On-page оптимизация, H1/Title/Alt, FAQ-блоки, начало контент-маркетинга (2–4 статьи/мес)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Продуктовые страницы, on-page оптимизация, NewsArticle для 100+ релизов, контент-маркетинг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Топ-30 по 10+ коммерческим запросам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Месяц 3–6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Экспертный блог (4–6 стат./мес), линкбилдинг, локальное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Экспертные статьи, рыночные обзоры, гостевые на нефтегазовых порталах, линкбилдинг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Топ-10 по 5+ запросам, +100% органики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Месяц 6–9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Масштабирование контента, PR, оптимизация под AI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Масштабирование, Яндекс.Новости (полноценно), PR, наращивание ссылок DR 40+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700–1 500 орг. визитов/мес (Kirillitsa)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Месяц 9–12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Ре-аудит, расширение семантики, новые посадочные, аналитика конверсий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Ре-аудит, международное SEO (.com/.cn), контент на EN, оптимизация конверсий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2 000–5 000 орг. визитов/мес (OilResource)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7. Бюджет и 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7.1 Kirillitsa.ru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000"/>
        <w:gridCol w:w="1960"/>
        <w:tblGridChange w:id="0">
          <w:tblGrid>
            <w:gridCol w:w="3200"/>
            <w:gridCol w:w="2200"/>
            <w:gridCol w:w="20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Разовый платёж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Ежемесячно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Ежеквартально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SEO-продвижение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236 880 ₽ (вкл. НДС 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107 520 ₽ (вкл. НДС 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47 040 ₽ (вкл. НДС 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Внешние 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15 000–25 000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Ставка специалиста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3 200 ₽/час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Трудозатраты (разовые)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74–128 часов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Трудозатраты (ежемесячно)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25–45 часов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7.2 OilResource.ru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000"/>
        <w:gridCol w:w="1960"/>
        <w:tblGridChange w:id="0">
          <w:tblGrid>
            <w:gridCol w:w="3200"/>
            <w:gridCol w:w="2200"/>
            <w:gridCol w:w="20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Разовый платёж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Ежемесячно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Ежеквартально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SEO-продвижение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315 840 ₽ (вкл. НДС 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144 480 ₽ (вкл. НДС 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47 040 ₽ (вкл. НДС 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Внешние 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15 000–25 000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Ставка специалиста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3 200 ₽/час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Трудозатраты (разовые)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87 часов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Трудозатраты (ежемесячно)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31 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7.3 Распределение трудозатрат по сайтам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600"/>
        <w:gridCol w:w="1600"/>
        <w:gridCol w:w="2360"/>
        <w:tblGridChange w:id="0">
          <w:tblGrid>
            <w:gridCol w:w="2200"/>
            <w:gridCol w:w="1600"/>
            <w:gridCol w:w="1600"/>
            <w:gridCol w:w="16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Блок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Kirillitsa (разов.)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Kirillitsa (мес.)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OilResource (разов.)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OilResource (мес.)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Аудит и 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16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16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Семантическое ядро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12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ч (кварт.)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17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Техническая оптимизация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On-page оптимизация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18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27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Локальное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Аналитика и отчётность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Проект-менеджмент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71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23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87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31 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8. Система KPI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700"/>
        <w:gridCol w:w="1500"/>
        <w:gridCol w:w="1500"/>
        <w:gridCol w:w="2060"/>
        <w:tblGridChange w:id="0">
          <w:tblGrid>
            <w:gridCol w:w="2600"/>
            <w:gridCol w:w="1700"/>
            <w:gridCol w:w="1500"/>
            <w:gridCol w:w="15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Текущее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 мес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 мес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 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Органический трафик (Kirillitsa)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sdt>
              <w:sdtPr>
                <w:id w:val="-48437198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≈0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+50%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+200%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700–1 500/мес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Органический трафик (OilResource)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3/мес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+100%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+400%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2 000–5 000/мес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Ключей в Топ-10 (Kirillitsa)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15–25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Ключей в Топ-10 (OilResource)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12–18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20–30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Визиты из Google (Метрика, Kirillitsa)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1 231/3 мес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+30%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+100%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+200%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Rich Snippets в выдаче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Все ключевые стр.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Присутствие в Яндекс.Новостях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Первые индекс.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50+ новостей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Ссылающиеся домены (Kirillitsa)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Ссылающиеся домены (OilResource)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400+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8.1 Отчётность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Еженедельно: статус-апдейт по email (15–20 мин созвон при необходимости)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Ежемесячно: детальный отчёт (PDF + встреча) — трафик, позиции, конверсии, выполненные работы, план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Ежеквартально: стратегическая сессия (1–1,5 ч) — глубокий анализ, корректировка стратегии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9. Quick Wins и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9.1 Quick Wins (первые 30 дней)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Исправление опечаток в тексте на обоих сайтах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Написать Meta Description для всех ключевых страниц (10–15 стр.) — эффект +30–40% CTR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Заменить Title главной OilResource.ru на информативный с ключевыми словами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Внедрить Schema.org Organization на главных страницах обоих сайтов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alt-атрибуты к ключевым изображениям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9.2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Оба сайта находятся в уникальной ситуации: мощный бизнес (выручка ГК 24,4 млрд руб., облигационная программа 50 млрд руб., кредитные рейтинги, упоминания в Forbes и РБК) при крайне слабом цифровом присутствии. Это одновременно и проблема, и возможность — конкуренция за брендовые запросы минимальна, а потенциал роста органического трафика кратный.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Стратегическая ставка — превращение корпоративных сайтов из «визиток» в полноценные информационные хабы для инвесторов, партнёров и отраслевых специалистов. Экспертный контент + техническая база = кратный рост видимости за 6–12 месяцев.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9.3 Риски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300"/>
        <w:gridCol w:w="5260"/>
        <w:tblGridChange w:id="0">
          <w:tblGrid>
            <w:gridCol w:w="2800"/>
            <w:gridCol w:w="1300"/>
            <w:gridCol w:w="5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Митигация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Задержки согласования со стороны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SLA 3–5 дней, выделенный контакт, временные буферы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Медленный рост в конкурентной нише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Тайминг 8–12 мес., фокус на quick wins, параллельный контент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Каннибализация 3 доменов OilResource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hreflang как приоритет, чёткое распределение языков, canonical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Токсичный ссылочный профиль OilResource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Аудит + Disavow в первый месяц, наращивание качественных ссылок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Репутационные инциденты в выдаче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SERM-мониторинг, позитивный контент на авторитетных площадках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Минимальный срок контракта: 6 месяцев. Первые устойчивые результаты — через 4–6 месяцев.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Предложение действительно до 30 апреля 2026 года.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0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Стр.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F">
    <w:pPr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SEO-Стратегия | Kirillitsa.ru &amp; Oil</w:t>
    </w:r>
    <w:r w:rsidDel="00000000" w:rsidR="00000000" w:rsidRPr="00000000">
      <w:rPr>
        <w:color w:val="999999"/>
        <w:sz w:val="16"/>
        <w:szCs w:val="16"/>
        <w:rtl w:val="0"/>
      </w:rPr>
      <w:t xml:space="preserve">r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esource.ru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lfxqTIHFboJbU17NAD0iL/yb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WTBGVHdnTlFoMF9OekludUhpVzlLREotV3BtMU1Na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2026-03-23T13:23:32.115Z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