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0"/>
        <w:jc w:val="center"/>
        <w:rPr>
          <w:rFonts w:ascii="Calibri" w:hAnsi="Calibri"/>
          <w:sz w:val="22"/>
          <w:szCs w:val="22"/>
        </w:rPr>
      </w:pPr>
      <w:r>
        <w:rPr>
          <w:rFonts w:ascii="Calibri" w:hAnsi="Calibri"/>
          <w:sz w:val="22"/>
          <w:szCs w:val="22"/>
        </w:rPr>
        <w:t>POSLIJEDIPLOMSKI DOKTORSKI STUDI</w:t>
        <w:tab/>
        <w:t>OBRAZAC D4A-TEM</w:t>
      </w:r>
    </w:p>
    <w:p>
      <w:pPr>
        <w:pStyle w:val="Normal"/>
        <w:rPr>
          <w:rFonts w:ascii="Calibri" w:hAnsi="Calibri"/>
          <w:sz w:val="22"/>
          <w:szCs w:val="22"/>
        </w:rPr>
      </w:pPr>
      <w:r>
        <w:rPr>
          <w:rFonts w:ascii="Calibri" w:hAnsi="Calibri"/>
          <w:sz w:val="22"/>
          <w:szCs w:val="22"/>
        </w:rPr>
      </w:r>
    </w:p>
    <w:p>
      <w:pPr>
        <w:pStyle w:val="Normal"/>
        <w:spacing w:before="0" w:after="120"/>
        <w:jc w:val="center"/>
        <w:rPr>
          <w:rFonts w:ascii="Calibri" w:hAnsi="Calibri"/>
          <w:b/>
          <w:color w:val="000000"/>
          <w:sz w:val="28"/>
          <w:szCs w:val="28"/>
        </w:rPr>
      </w:pPr>
      <w:r>
        <w:rPr>
          <w:rFonts w:ascii="Calibri" w:hAnsi="Calibri"/>
          <w:b/>
          <w:color w:val="000000"/>
          <w:sz w:val="28"/>
          <w:szCs w:val="28"/>
        </w:rPr>
        <w:t>PRIJAVA TEME DOKTORSKOG RADA</w:t>
      </w:r>
    </w:p>
    <w:p>
      <w:pPr>
        <w:pStyle w:val="Normal"/>
        <w:jc w:val="center"/>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2"/>
          <w:szCs w:val="22"/>
        </w:rPr>
      </w:pPr>
      <w:r>
        <w:rPr>
          <w:rFonts w:ascii="Calibri" w:hAnsi="Calibri"/>
          <w:b/>
          <w:color w:val="000000"/>
          <w:sz w:val="22"/>
          <w:szCs w:val="22"/>
        </w:rPr>
      </w:r>
    </w:p>
    <w:tbl>
      <w:tblPr>
        <w:tblW w:w="906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52"/>
        <w:gridCol w:w="6207"/>
      </w:tblGrid>
      <w:tr>
        <w:trPr>
          <w:trHeight w:val="419"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FF0000"/>
                <w:sz w:val="22"/>
                <w:szCs w:val="22"/>
              </w:rPr>
            </w:pPr>
            <w:r>
              <w:rPr>
                <w:rFonts w:ascii="Calibri" w:hAnsi="Calibri"/>
                <w:b/>
                <w:bCs/>
                <w:sz w:val="22"/>
                <w:szCs w:val="22"/>
              </w:rPr>
              <w:t>Ime i prezime studenta: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rPr>
            </w:pPr>
            <w:r>
              <w:rPr>
                <w:rFonts w:ascii="Calibri" w:hAnsi="Calibri"/>
                <w:bCs/>
                <w:sz w:val="22"/>
                <w:szCs w:val="22"/>
              </w:rPr>
              <w:t>Ante Kapetanović</w:t>
            </w:r>
          </w:p>
        </w:tc>
      </w:tr>
      <w:tr>
        <w:trPr>
          <w:trHeight w:val="419"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Matični broj studenta: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rPr>
            </w:pPr>
            <w:r>
              <w:rPr>
                <w:rFonts w:ascii="Calibri" w:hAnsi="Calibri"/>
                <w:bCs/>
                <w:sz w:val="22"/>
                <w:szCs w:val="22"/>
              </w:rPr>
              <w:t>953-2019</w:t>
            </w:r>
          </w:p>
        </w:tc>
      </w:tr>
      <w:tr>
        <w:trPr>
          <w:trHeight w:val="419"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Ime i prezime mentora: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rPr>
            </w:pPr>
            <w:r>
              <w:rPr>
                <w:rFonts w:ascii="Calibri" w:hAnsi="Calibri"/>
                <w:bCs/>
                <w:sz w:val="22"/>
                <w:szCs w:val="22"/>
              </w:rPr>
              <w:t>Dragan Poljak</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 xml:space="preserve">Poslijediplomski </w:t>
            </w:r>
          </w:p>
          <w:p>
            <w:pPr>
              <w:pStyle w:val="Normal"/>
              <w:widowControl w:val="false"/>
              <w:ind w:left="113" w:right="113" w:hanging="0"/>
              <w:jc w:val="right"/>
              <w:rPr>
                <w:rFonts w:ascii="Calibri" w:hAnsi="Calibri"/>
                <w:b/>
                <w:bCs/>
                <w:sz w:val="22"/>
                <w:szCs w:val="22"/>
              </w:rPr>
            </w:pPr>
            <w:r>
              <w:rPr>
                <w:rFonts w:ascii="Calibri" w:hAnsi="Calibri"/>
                <w:b/>
                <w:bCs/>
                <w:color w:val="000000"/>
                <w:sz w:val="22"/>
                <w:szCs w:val="22"/>
              </w:rPr>
              <w:t>doktorski</w:t>
            </w:r>
            <w:r>
              <w:rPr>
                <w:rFonts w:ascii="Calibri" w:hAnsi="Calibri"/>
                <w:b/>
                <w:bCs/>
                <w:sz w:val="22"/>
                <w:szCs w:val="22"/>
              </w:rPr>
              <w:t xml:space="preserve"> studij:</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 i informacijska tehnologija</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Znanstveno polje/grana:*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Elektrotehnika/elektronika</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color w:val="000000"/>
                <w:sz w:val="22"/>
                <w:szCs w:val="22"/>
              </w:rPr>
              <w:t>Predloženi naslov doktorskog rada</w:t>
            </w:r>
            <w:r>
              <w:rPr>
                <w:rFonts w:ascii="Calibri" w:hAnsi="Calibri"/>
                <w:b/>
                <w:bCs/>
                <w:sz w:val="22"/>
                <w:szCs w:val="22"/>
              </w:rPr>
              <w:t xml:space="preserve"> (hrvatski):</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Napredna metoda usrednjavanja dozimetrijskih veličina na površini zakrivljenih dijelova tijela</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color w:val="000000"/>
                <w:sz w:val="22"/>
                <w:szCs w:val="22"/>
              </w:rPr>
              <w:t>Predloženi naslov doktorskog rada</w:t>
            </w:r>
            <w:r>
              <w:rPr>
                <w:rFonts w:ascii="Calibri" w:hAnsi="Calibri"/>
                <w:b/>
                <w:bCs/>
                <w:sz w:val="22"/>
                <w:szCs w:val="22"/>
              </w:rPr>
              <w:t xml:space="preserve"> (engleski):</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Advanced Method for Assessment of Averaged Dosimetric Quantities on Surface of Non-Planar Body Parts</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Jezik pisanja doktorskog rada: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rPr>
            </w:pPr>
            <w:r>
              <w:rPr>
                <w:rFonts w:ascii="Calibri" w:hAnsi="Calibri"/>
                <w:b w:val="false"/>
                <w:bCs w:val="false"/>
                <w:sz w:val="22"/>
                <w:szCs w:val="22"/>
              </w:rPr>
              <w:t>engleski</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color w:val="000000"/>
          <w:sz w:val="22"/>
          <w:szCs w:val="22"/>
        </w:rPr>
      </w:pPr>
      <w:r>
        <w:rPr>
          <w:rFonts w:ascii="Calibri" w:hAnsi="Calibri"/>
          <w:color w:val="000000"/>
          <w:sz w:val="22"/>
          <w:szCs w:val="22"/>
        </w:rPr>
        <w:t xml:space="preserve">Izjavljujem da sam položio/la sve propisane ispite, kvalifikacijski doktorski ispit te da imam objavljen minimalno jedan znanstveni rad u zborniku radova znanstvenog skupa iz područja teme doktorata s međunarodnom recenzijom, a što je uvjet za prijavu teme doktorskog rada. </w:t>
      </w:r>
      <w:r>
        <w:rPr>
          <w:rFonts w:ascii="Calibri" w:hAnsi="Calibri"/>
          <w:sz w:val="22"/>
          <w:szCs w:val="22"/>
        </w:rPr>
        <w:t xml:space="preserve">Predloženi prijedlog teme doktorskog rada pripremio/la sam u skladu s Naputkom. </w:t>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t>Izjavljujem s punom odgovornošću da postupak stjecanja akademskog stupnja doktora znanosti nisam pokrenu-o/la ni u jednoj drugoj ustanovi.</w:t>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2"/>
        <w:gridCol w:w="4785"/>
      </w:tblGrid>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t>U Splitu, ________________________</w:t>
            </w:r>
          </w:p>
        </w:tc>
        <w:tc>
          <w:tcPr>
            <w:tcW w:w="4785"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t xml:space="preserve">   </w:t>
            </w:r>
            <w:r>
              <w:rPr>
                <w:rFonts w:ascii="Calibri" w:hAnsi="Calibri"/>
                <w:sz w:val="22"/>
                <w:szCs w:val="22"/>
              </w:rPr>
              <w:t>_________________________________</w:t>
            </w:r>
          </w:p>
          <w:p>
            <w:pPr>
              <w:pStyle w:val="Normal"/>
              <w:widowControl w:val="false"/>
              <w:tabs>
                <w:tab w:val="clear" w:pos="709"/>
                <w:tab w:val="left" w:pos="1276" w:leader="none"/>
              </w:tabs>
              <w:rPr>
                <w:rFonts w:ascii="Calibri" w:hAnsi="Calibri"/>
                <w:i/>
                <w:i/>
                <w:sz w:val="22"/>
                <w:szCs w:val="22"/>
              </w:rPr>
            </w:pPr>
            <w:r>
              <w:rPr>
                <w:rFonts w:ascii="Calibri" w:hAnsi="Calibri"/>
                <w:i/>
                <w:sz w:val="22"/>
                <w:szCs w:val="22"/>
              </w:rPr>
              <w:t xml:space="preserve">   </w:t>
            </w:r>
            <w:r>
              <w:rPr>
                <w:rFonts w:ascii="Calibri" w:hAnsi="Calibri"/>
                <w:i/>
                <w:sz w:val="22"/>
                <w:szCs w:val="22"/>
              </w:rPr>
              <w:t>vlastoručni potpis doktoranda</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i/>
          <w:i/>
          <w:sz w:val="22"/>
          <w:szCs w:val="22"/>
        </w:rPr>
      </w:pPr>
      <w:r>
        <w:rPr>
          <w:rFonts w:ascii="Calibri" w:hAnsi="Calibri"/>
          <w:i/>
          <w:sz w:val="22"/>
          <w:szCs w:val="22"/>
        </w:rPr>
        <w:t>Privitak:</w:t>
      </w:r>
    </w:p>
    <w:p>
      <w:pPr>
        <w:pStyle w:val="Normal"/>
        <w:numPr>
          <w:ilvl w:val="0"/>
          <w:numId w:val="2"/>
        </w:numPr>
        <w:ind w:left="284" w:hanging="284"/>
        <w:rPr>
          <w:rFonts w:ascii="Calibri" w:hAnsi="Calibri"/>
          <w:i/>
          <w:i/>
          <w:sz w:val="22"/>
          <w:szCs w:val="22"/>
        </w:rPr>
      </w:pPr>
      <w:r>
        <w:rPr>
          <w:rFonts w:ascii="Calibri" w:hAnsi="Calibri"/>
          <w:i/>
          <w:sz w:val="22"/>
          <w:szCs w:val="22"/>
        </w:rPr>
        <w:t xml:space="preserve">Prijedlog teme doktorskog rada </w:t>
      </w:r>
    </w:p>
    <w:p>
      <w:pPr>
        <w:pStyle w:val="Normal"/>
        <w:numPr>
          <w:ilvl w:val="0"/>
          <w:numId w:val="2"/>
        </w:numPr>
        <w:ind w:left="284" w:hanging="284"/>
        <w:rPr>
          <w:rFonts w:ascii="Calibri" w:hAnsi="Calibri"/>
          <w:i/>
          <w:i/>
          <w:sz w:val="22"/>
          <w:szCs w:val="22"/>
        </w:rPr>
      </w:pPr>
      <w:r>
        <w:rPr>
          <w:rFonts w:ascii="Calibri" w:hAnsi="Calibri"/>
          <w:i/>
          <w:sz w:val="22"/>
          <w:szCs w:val="22"/>
        </w:rPr>
        <w:t xml:space="preserve">Kratak životopis pristupnika </w:t>
      </w:r>
    </w:p>
    <w:p>
      <w:pPr>
        <w:pStyle w:val="Normal"/>
        <w:numPr>
          <w:ilvl w:val="0"/>
          <w:numId w:val="2"/>
        </w:numPr>
        <w:ind w:left="284" w:hanging="284"/>
        <w:rPr>
          <w:rFonts w:ascii="Calibri" w:hAnsi="Calibri"/>
          <w:i/>
          <w:i/>
          <w:sz w:val="22"/>
          <w:szCs w:val="22"/>
        </w:rPr>
      </w:pPr>
      <w:r>
        <w:rPr>
          <w:rFonts w:ascii="Calibri" w:hAnsi="Calibri"/>
          <w:i/>
          <w:color w:val="000000"/>
          <w:sz w:val="22"/>
          <w:szCs w:val="22"/>
        </w:rPr>
        <w:t>Popis i preslik objavljenih znanstvenih radova pristupnika iz područja predložene teme doktorskog rada</w:t>
      </w:r>
    </w:p>
    <w:p>
      <w:pPr>
        <w:pStyle w:val="Normal"/>
        <w:numPr>
          <w:ilvl w:val="0"/>
          <w:numId w:val="2"/>
        </w:numPr>
        <w:ind w:left="284" w:hanging="284"/>
        <w:rPr>
          <w:rFonts w:ascii="Calibri" w:hAnsi="Calibri"/>
          <w:i/>
          <w:i/>
          <w:sz w:val="22"/>
          <w:szCs w:val="22"/>
        </w:rPr>
      </w:pPr>
      <w:r>
        <w:rPr>
          <w:rFonts w:ascii="Calibri" w:hAnsi="Calibri"/>
          <w:i/>
          <w:color w:val="000000"/>
          <w:sz w:val="22"/>
          <w:szCs w:val="22"/>
        </w:rPr>
        <w:t>Popis svih objavljenih radova pristupnika iz područja predložene teme doktorskog rada</w:t>
      </w:r>
    </w:p>
    <w:p>
      <w:pPr>
        <w:pStyle w:val="Normal"/>
        <w:numPr>
          <w:ilvl w:val="0"/>
          <w:numId w:val="2"/>
        </w:numPr>
        <w:ind w:left="284" w:hanging="284"/>
        <w:rPr>
          <w:rFonts w:ascii="Calibri" w:hAnsi="Calibri"/>
          <w:i/>
          <w:i/>
          <w:sz w:val="22"/>
          <w:szCs w:val="22"/>
        </w:rPr>
      </w:pPr>
      <w:r>
        <w:rPr>
          <w:rFonts w:ascii="Calibri" w:hAnsi="Calibri"/>
          <w:i/>
          <w:color w:val="000000"/>
          <w:sz w:val="22"/>
          <w:szCs w:val="22"/>
        </w:rPr>
        <w:t>Potvrda mentora da su objavljeni radovi pristupnika iz područja istraživanja doktorskog rada</w:t>
      </w:r>
    </w:p>
    <w:p>
      <w:pPr>
        <w:pStyle w:val="Normal"/>
        <w:numPr>
          <w:ilvl w:val="0"/>
          <w:numId w:val="2"/>
        </w:numPr>
        <w:ind w:left="284" w:hanging="284"/>
        <w:rPr>
          <w:rFonts w:ascii="Calibri" w:hAnsi="Calibri"/>
          <w:i/>
          <w:i/>
          <w:color w:val="000000"/>
          <w:sz w:val="22"/>
          <w:szCs w:val="22"/>
        </w:rPr>
      </w:pPr>
      <w:r>
        <w:rPr>
          <w:rFonts w:ascii="Calibri" w:hAnsi="Calibri"/>
          <w:i/>
          <w:color w:val="000000"/>
          <w:sz w:val="22"/>
          <w:szCs w:val="22"/>
        </w:rPr>
        <w:t xml:space="preserve">Potvrda o sudjelovanju pristupnika u znanstveno-istraživačkim projektima </w:t>
      </w:r>
    </w:p>
    <w:p>
      <w:pPr>
        <w:pStyle w:val="Normal"/>
        <w:numPr>
          <w:ilvl w:val="0"/>
          <w:numId w:val="2"/>
        </w:numPr>
        <w:ind w:left="284" w:hanging="284"/>
        <w:rPr>
          <w:rFonts w:ascii="Calibri" w:hAnsi="Calibri"/>
          <w:i/>
          <w:i/>
          <w:color w:val="000000"/>
          <w:sz w:val="22"/>
          <w:szCs w:val="22"/>
        </w:rPr>
      </w:pPr>
      <w:r>
        <w:rPr>
          <w:rFonts w:ascii="Calibri" w:hAnsi="Calibri"/>
          <w:i/>
          <w:color w:val="000000"/>
          <w:sz w:val="22"/>
          <w:szCs w:val="22"/>
        </w:rPr>
        <w:t>Prijepis ocjena s poslijediplomskog studija</w:t>
      </w:r>
    </w:p>
    <w:p>
      <w:pPr>
        <w:pStyle w:val="Normal"/>
        <w:numPr>
          <w:ilvl w:val="0"/>
          <w:numId w:val="2"/>
        </w:numPr>
        <w:ind w:left="284" w:hanging="284"/>
        <w:rPr>
          <w:rFonts w:ascii="Calibri" w:hAnsi="Calibri"/>
          <w:i/>
          <w:i/>
          <w:color w:val="000000"/>
          <w:sz w:val="22"/>
          <w:szCs w:val="22"/>
        </w:rPr>
      </w:pPr>
      <w:r>
        <w:rPr>
          <w:rFonts w:ascii="Calibri" w:hAnsi="Calibri"/>
          <w:i/>
          <w:color w:val="000000"/>
          <w:sz w:val="22"/>
          <w:szCs w:val="22"/>
        </w:rPr>
        <w:t>Preslik zapisnika o kvalifikacijskom doktorskom ispitu</w:t>
      </w:r>
    </w:p>
    <w:p>
      <w:pPr>
        <w:pStyle w:val="Normal"/>
        <w:numPr>
          <w:ilvl w:val="0"/>
          <w:numId w:val="0"/>
        </w:numPr>
        <w:ind w:left="0" w:hanging="0"/>
        <w:rPr>
          <w:rFonts w:ascii="Calibri" w:hAnsi="Calibri"/>
          <w:i/>
          <w:i/>
          <w:color w:val="000000"/>
          <w:sz w:val="22"/>
          <w:szCs w:val="22"/>
        </w:rPr>
      </w:pPr>
      <w:r>
        <w:rPr>
          <w:rFonts w:eastAsia="Symbol" w:cs="Symbol" w:ascii="Symbol" w:hAnsi="Symbol"/>
          <w:i/>
          <w:sz w:val="22"/>
          <w:szCs w:val="22"/>
        </w:rPr>
        <w:t></w:t>
      </w:r>
      <w:r>
        <w:rPr>
          <w:rFonts w:ascii="Calibri" w:hAnsi="Calibri"/>
          <w:i/>
          <w:sz w:val="22"/>
          <w:szCs w:val="22"/>
        </w:rPr>
        <w:t xml:space="preserve"> </w:t>
      </w:r>
      <w:r>
        <w:rPr>
          <w:rFonts w:ascii="Calibri" w:hAnsi="Calibri"/>
          <w:i/>
          <w:sz w:val="22"/>
          <w:szCs w:val="22"/>
        </w:rPr>
        <w:t>Prema potrebi može se dodatno navesti i značajan doprinos u drugom znanstvenom polju/grani.</w:t>
      </w:r>
      <w:r>
        <w:br w:type="page"/>
      </w:r>
    </w:p>
    <w:p>
      <w:pPr>
        <w:pStyle w:val="Normal"/>
        <w:jc w:val="center"/>
        <w:rPr>
          <w:rFonts w:ascii="Calibri" w:hAnsi="Calibri"/>
          <w:b/>
          <w:color w:val="000000"/>
        </w:rPr>
      </w:pPr>
      <w:r>
        <w:rPr>
          <w:rFonts w:ascii="Calibri" w:hAnsi="Calibri"/>
          <w:b/>
          <w:color w:val="000000"/>
          <w:sz w:val="28"/>
          <w:szCs w:val="28"/>
        </w:rPr>
        <w:t>PRIJEDLOG TEME DOKTORSKOG RADA</w:t>
      </w:r>
    </w:p>
    <w:p>
      <w:pPr>
        <w:pStyle w:val="Normal"/>
        <w:rPr>
          <w:rFonts w:ascii="Calibri" w:hAnsi="Calibri"/>
          <w:b/>
          <w:color w:val="000000"/>
          <w:sz w:val="28"/>
          <w:szCs w:val="28"/>
        </w:rPr>
      </w:pPr>
      <w:r>
        <w:rPr>
          <w:rFonts w:ascii="Calibri" w:hAnsi="Calibri"/>
          <w:b/>
          <w:color w:val="000000"/>
          <w:sz w:val="28"/>
          <w:szCs w:val="28"/>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FFFFFF" w:val="clear"/>
            <w:vAlign w:val="center"/>
          </w:tcPr>
          <w:p>
            <w:pPr>
              <w:pStyle w:val="Normal"/>
              <w:widowControl w:val="false"/>
              <w:rPr>
                <w:rFonts w:ascii="Calibri" w:hAnsi="Calibri"/>
                <w:bCs/>
                <w:sz w:val="22"/>
                <w:szCs w:val="22"/>
              </w:rPr>
            </w:pPr>
            <w:r>
              <w:rPr>
                <w:rFonts w:ascii="Calibri" w:hAnsi="Calibri"/>
                <w:b/>
                <w:bCs/>
                <w:sz w:val="22"/>
                <w:szCs w:val="22"/>
              </w:rPr>
              <w:t>Naslov doktorskog rada</w:t>
            </w:r>
          </w:p>
        </w:tc>
      </w:tr>
    </w:tbl>
    <w:p>
      <w:pPr>
        <w:pStyle w:val="Normal"/>
        <w:jc w:val="both"/>
        <w:rPr>
          <w:sz w:val="22"/>
          <w:szCs w:val="22"/>
        </w:rPr>
      </w:pPr>
      <w:r>
        <w:rPr>
          <w:sz w:val="22"/>
          <w:szCs w:val="22"/>
        </w:rPr>
        <w:t>Napredna metoda usrednjavanja dozimetrijskih veličina na površini zakrivljenih dijelova tijela</w:t>
      </w:r>
    </w:p>
    <w:p>
      <w:pPr>
        <w:pStyle w:val="Normal"/>
        <w:jc w:val="both"/>
        <w:rPr>
          <w:sz w:val="22"/>
          <w:szCs w:val="22"/>
        </w:rPr>
      </w:pPr>
      <w:r>
        <w:rPr>
          <w:sz w:val="22"/>
          <w:szCs w:val="22"/>
        </w:rPr>
        <w:t xml:space="preserve">(eng. </w:t>
      </w:r>
      <w:r>
        <w:rPr>
          <w:i/>
          <w:iCs/>
          <w:sz w:val="22"/>
          <w:szCs w:val="22"/>
        </w:rPr>
        <w:t>Advanced Method for Assessment of Averaged Dosimetric Quantities on Surface of Non-Planar Body Parts</w:t>
      </w:r>
      <w:r>
        <w:rPr>
          <w:sz w:val="22"/>
          <w:szCs w:val="22"/>
        </w:rPr>
        <w:t>)</w:t>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FFFFFF" w:val="clear"/>
            <w:vAlign w:val="center"/>
          </w:tcPr>
          <w:p>
            <w:pPr>
              <w:pStyle w:val="Normal"/>
              <w:widowControl w:val="false"/>
              <w:rPr>
                <w:rFonts w:ascii="Calibri" w:hAnsi="Calibri"/>
                <w:bCs/>
                <w:sz w:val="22"/>
                <w:szCs w:val="22"/>
              </w:rPr>
            </w:pPr>
            <w:r>
              <w:rPr>
                <w:rFonts w:ascii="Calibri" w:hAnsi="Calibri"/>
                <w:b/>
                <w:bCs/>
                <w:sz w:val="22"/>
                <w:szCs w:val="22"/>
              </w:rPr>
              <w:t>1. Motivacija</w:t>
            </w:r>
          </w:p>
        </w:tc>
      </w:tr>
    </w:tbl>
    <w:p>
      <w:pPr>
        <w:pStyle w:val="Normal"/>
        <w:jc w:val="both"/>
        <w:rPr>
          <w:sz w:val="22"/>
          <w:szCs w:val="22"/>
        </w:rPr>
      </w:pPr>
      <w:r>
        <w:rPr>
          <w:sz w:val="22"/>
          <w:szCs w:val="22"/>
        </w:rPr>
        <w:t xml:space="preserve">Proliferacija podatkovno intenzivnih osobnih, bežičnih komunikacijskih uređaja dovela je do potrebe za proširenjem frekvencijskog spektra preko područja visokih mikro u područje milimetarskih valova [1]. Poboljšanja komunikacijskih performansi ostvarena su povećanim kapacitetom kanala i smanjenom mrežnom latencijom zahvaljujući razvoju pete generacije (5G) standarda za širokopojasne mobilne mreže [2]. Ključne značajke 5G standarda su agregacija nositelja, MIMO (eng. </w:t>
      </w:r>
      <w:r>
        <w:rPr>
          <w:i/>
          <w:iCs/>
          <w:sz w:val="22"/>
          <w:szCs w:val="22"/>
        </w:rPr>
        <w:t>multiple input multiple output</w:t>
      </w:r>
      <w:r>
        <w:rPr>
          <w:sz w:val="22"/>
          <w:szCs w:val="22"/>
        </w:rPr>
        <w:t xml:space="preserve">) tehnologija, formiranje snopa (eng. </w:t>
      </w:r>
      <w:r>
        <w:rPr>
          <w:i/>
          <w:iCs/>
          <w:sz w:val="22"/>
          <w:szCs w:val="22"/>
        </w:rPr>
        <w:t>beamforming</w:t>
      </w:r>
      <w:r>
        <w:rPr>
          <w:sz w:val="22"/>
          <w:szCs w:val="22"/>
        </w:rPr>
        <w:t>), itd., uz već spomenuto proširenje frekvencijskog spektra [3]. Upravo potonje budi sve veći interes ali i zabrinutost opće populacije za potencijalne negativne biološke učinke uzrokovane izloženosti poljima na visokim radio frekvencijama [4].</w:t>
      </w:r>
    </w:p>
    <w:p>
      <w:pPr>
        <w:pStyle w:val="Normal"/>
        <w:jc w:val="both"/>
        <w:rPr>
          <w:sz w:val="22"/>
          <w:szCs w:val="22"/>
        </w:rPr>
      </w:pPr>
      <w:r>
        <w:rPr>
          <w:sz w:val="22"/>
          <w:szCs w:val="22"/>
        </w:rPr>
      </w:r>
    </w:p>
    <w:p>
      <w:pPr>
        <w:pStyle w:val="Normal"/>
        <w:jc w:val="both"/>
        <w:rPr>
          <w:sz w:val="22"/>
          <w:szCs w:val="22"/>
        </w:rPr>
      </w:pPr>
      <w:r>
        <w:rPr>
          <w:sz w:val="22"/>
          <w:szCs w:val="22"/>
        </w:rPr>
        <w:t>Općenito, elektromagnetsko (EM) zračenje nastaje zbog periodičnih izmjena električnog i/ili magnetskog polja u prostoru (tzv. valna teorija). Broj sinkroniziranih oscilacija komponenti EM polja u jedinici vremena definira frekvenciju koja je obrnuto proporcionalna veličina valnoj duljini. EM spektar je raspon valnih duljina EM valova i pripadne im energije. EM zračenje radio-frekvencijskog spektra (3-300 GHz), karakteristično za mobilne komunikacije trenutnog i nadolazećih mrežnih standarda, klasificira se kao neionizirajuće jer energija pojedinog fotona (kvant EM energije u tzv. korpuskularnoj teoriji) biva nekoliko redova veličine niža od razine potrebne za ionizaciju bioloških molekula (&gt; 10 eV) [5]. Dakle, u ovom slučaju, EM energija nije dovoljna za raskid ionskih, vodikovih ili van der Waalsovih veza između molekula unutar stanica [6]. Međutim, interakcija apsorbiranih EM valova unutar tkiva za posljedicu ima prijenos kinetičke energije na slobodne polarne molekule uzrokujući njihovo intenzivnije “vibriranje”. Ovakav tip molekularne agitacije popraćen je povećanjem temperature promatranog okolnog tkiva unutar kojeg se polarne molekule nalaze. Također, valja napomenuti da postoje i dokazi o netoplinskim učincima karakterističnim za vrlo niske frekvencije polja (&lt; 100 MHz) koji se manifestiraju kroz promjene u aktivnosti staničnih membrana i neselektivnih kanala, transmembranskih potencijala i staničnog ciklusa [7]. Kako u radio-frekvencijskom spektru, za razliku od područja niskih frekvencija, ove pojave potencijalno mogu biti opisane samo unutar okvira termodinamike, nisu uvrštene u temeljna načela djelovanja neionizirajućeg EM zračenja na tkivo [8] te posljedično nisu uključena u razmatranje u ovom prijedlogu.</w:t>
      </w:r>
    </w:p>
    <w:p>
      <w:pPr>
        <w:pStyle w:val="Normal"/>
        <w:jc w:val="both"/>
        <w:rPr>
          <w:sz w:val="22"/>
          <w:szCs w:val="22"/>
        </w:rPr>
      </w:pPr>
      <w:r>
        <w:rPr>
          <w:sz w:val="22"/>
          <w:szCs w:val="22"/>
        </w:rPr>
      </w:r>
    </w:p>
    <w:p>
      <w:pPr>
        <w:pStyle w:val="Normal"/>
        <w:jc w:val="both"/>
        <w:rPr>
          <w:sz w:val="22"/>
          <w:szCs w:val="22"/>
        </w:rPr>
      </w:pPr>
      <w:r>
        <w:rPr>
          <w:sz w:val="22"/>
          <w:szCs w:val="22"/>
        </w:rPr>
        <w:t xml:space="preserve">Većina potrošačke elektronike spada u radio-frekvencijski dio EM spektra temeljeći se na uslugama komunikacije i bežičnog prijenosa informacija, a odnedavno u većem opsegu, i na bežičnom prijenosu energije [9]. Kako bi se ostvario visoki stupanj zaštite od potencijalnih štetnih učinaka na zdravlje, razna međunarodna tijela periodično postavljaju ograničenja izloženosti koja ovise o frekvenciji i scenariju izloženosti za kratkoročna i dugotrajna, kontinuirana i diskontinuirana radio-frekvencijska EM polja. ICNIRP (eng. </w:t>
      </w:r>
      <w:r>
        <w:rPr>
          <w:i/>
          <w:iCs/>
          <w:sz w:val="22"/>
          <w:szCs w:val="22"/>
        </w:rPr>
        <w:t>International Commission on Non-Ionizing Radiation Protection</w:t>
      </w:r>
      <w:r>
        <w:rPr>
          <w:sz w:val="22"/>
          <w:szCs w:val="22"/>
        </w:rPr>
        <w:t xml:space="preserve">) i IEEE/ICES (eng. </w:t>
      </w:r>
      <w:r>
        <w:rPr>
          <w:i/>
          <w:iCs/>
          <w:sz w:val="22"/>
          <w:szCs w:val="22"/>
        </w:rPr>
        <w:t>Institute of Electrical and Electronics Engineers/International Committee on Electromagnetic Safety</w:t>
      </w:r>
      <w:r>
        <w:rPr>
          <w:sz w:val="22"/>
          <w:szCs w:val="22"/>
        </w:rPr>
        <w:t>), organizacije od značaja za EU, propisuju smjernice [10], odnosno standarde [11], kako za radnike u ograničenom okruženju tako i za opću populaciju. Ograničenja su izvedena temeljeći se na relevantnoj znanstvenoj literaturi koja se odnosi na učinke izloženosti EM polja u području radio-frekvencija na biološke sustave i tkiva a klasificirani su kao potencijalno štetna. Granica temperaturnog porasta od 1 °C kao rezultat izloženosti u daljinskom polju definirana je kao usrednjena vrijednost uzimajući u obzir volumen čitavog tijela. Iako nije dokazano da temperaturni porast iznad 1 °C predstavlja štetni učinak na zdravlje pojedinca, definiran je kao gornja granica jer aktivira termoregulacijske reakcije unutar tijela [12]. U slučaju lokalne izloženosti, temperaturni porast je ograničen na 2 odnosno 5 °C, ovisno o normotemperaturi izloženog tkiva. Postavljanje ovih vrijednosti je temeljeno na eksperimentalnim studijama na ljudima [13] s obzirom na činjenicu da do kožnih oštećenja i deformacija može doći pri temperaturi od 41-43 °C [14] pri čemu se vjerojatnost i ozbiljnost oštećenja povećavaju s produljenjem perioda izloženosti [10]. Na ove granice, konzervativno identificirane kao prag štetnih učinaka na zdravlje, se potom primjenjuju redukcijski faktori koji dodatno uzimaju u obzir varijabilnost značajki pojedinaca kao i varijacije u postavkama izloženosti, okolišu, itd. Tako izvedene vrijednosti su definirane kao temeljna ograničenja i odnose se na fizikalne dozimetrijske EM veličine, vršne ili prosječne u vremenu i prostoru, u dobroj korelaciji s temperaturnim porastom. Kako bi se olakšala procjena izloženosti u situacijama u kojima je dozimetrijska analiza neprikladna, izvedene su referentne razine pod najgorim mogućim uvjetima izloženosti kako bi se postigao visok stupanj konzervativnosti i tako osigurao praktičniji način dokazivanja usklađenosti sa smjernicama odnosno standardima [15]. Države i lokalne zajednice potom samostalno propisuju mjere zaštite temeljeći se na preporukama odabranih internacionalnih smjernica i standarda. U RH je trenutno na snazi Pravilnik o zaštiti od elektromagnetskih polja Ministarstva zdravstva iz 2014. godine [16] s izmjenama i dopunama iz 2019. godine [17].</w:t>
      </w:r>
    </w:p>
    <w:p>
      <w:pPr>
        <w:pStyle w:val="Normal"/>
        <w:jc w:val="both"/>
        <w:rPr>
          <w:sz w:val="22"/>
          <w:szCs w:val="22"/>
        </w:rPr>
      </w:pPr>
      <w:r>
        <w:rPr>
          <w:sz w:val="22"/>
          <w:szCs w:val="22"/>
        </w:rPr>
      </w:r>
    </w:p>
    <w:p>
      <w:pPr>
        <w:pStyle w:val="Normal"/>
        <w:jc w:val="both"/>
        <w:rPr>
          <w:sz w:val="22"/>
          <w:szCs w:val="22"/>
        </w:rPr>
      </w:pPr>
      <w:r>
        <w:rPr>
          <w:sz w:val="22"/>
          <w:szCs w:val="22"/>
        </w:rPr>
        <w:t xml:space="preserve">IEEE standard i ICNIRP smjernice za ograničavanje izloženosti EM poljima do 300 GHz su ažurirani redom 2019. i 2020. ponajprije kako bi pomirili međusobna odstupanja i eliminirali nedosljednosti pri prijelaznoj frekvenciji za temeljna ograničenja [18]. Naime, s obzirom na dubinu prodiranja EM valova, temeljna ograničenja na nižim frekvencijama su volumno usrednjena i definirana kao specifična razina apsorpcije (eng. </w:t>
      </w:r>
      <w:r>
        <w:rPr>
          <w:i/>
          <w:iCs/>
          <w:sz w:val="22"/>
          <w:szCs w:val="22"/>
        </w:rPr>
        <w:t>specific absorption rate</w:t>
      </w:r>
      <w:r>
        <w:rPr>
          <w:sz w:val="22"/>
          <w:szCs w:val="22"/>
        </w:rPr>
        <w:t xml:space="preserve">, SAR) – brzina kojom ljudsko tijelo apsorbira energiju po jedinici mase, definirana kao snaga apsorbirana u masi tkiva (obično 10 g). S druge strane, na višim frekvencijama, oko 90% ukupne snage se absorbira unutar prvih nekoliko mm izloženog tkiva (8 mm na 6 GHz i 0.81 mm na 30 GHz [19]). Zbog toga je najznačajnija tehnička promjena uvođenje gustoće apsorbirane/epitelne snage (eng. </w:t>
      </w:r>
      <w:r>
        <w:rPr>
          <w:i/>
          <w:iCs/>
          <w:sz w:val="22"/>
          <w:szCs w:val="22"/>
        </w:rPr>
        <w:t>absorbed power density</w:t>
      </w:r>
      <w:r>
        <w:rPr>
          <w:sz w:val="22"/>
          <w:szCs w:val="22"/>
        </w:rPr>
        <w:t xml:space="preserve">, APD), kao temeljnog ograničenja lokalizirane izloženosti iznad 6 GHz u stacionarnom stanju. Studije bazirane na toplinskom modeliranje [20] i analitičke studije [21] sugeriraju da u rasponu od 6 do 30 GHz, izloženost na kvadratnom prosječnom području od 4 cm2 , koje odgovara površini prednje strane volumena u obliku kocke od 10 g za usrednjavanje SAR-a, dobro korelira s lokalnim maksimalnim porastom temperature (Pearsonov koeficijent korelacije &gt; 0.7 [22]). Odgovarajuće referentne razine su također redefinirane u smislu gustoće upadne snage (eng. </w:t>
      </w:r>
      <w:r>
        <w:rPr>
          <w:i/>
          <w:iCs/>
          <w:sz w:val="22"/>
          <w:szCs w:val="22"/>
        </w:rPr>
        <w:t>incident power density</w:t>
      </w:r>
      <w:r>
        <w:rPr>
          <w:sz w:val="22"/>
          <w:szCs w:val="22"/>
        </w:rPr>
        <w:t>, IPD) usrednjene na istoj površini kao i APD ali uz pretpostavku slobodnog prostora kao praktičan način prikazivanja usklađenosti s propisanim ograničenjima. Kako bi se u obzir uzeo koncentrirani obris na izloženoj koži zbog formacije uskog snopa iznad 30 GHz, usrednjavanje APD-a i IPD-a se dodatno provodi na 1 × 1 cm2 uz primjenu relaksacije ograničenja za 2 puta [21].</w:t>
      </w:r>
    </w:p>
    <w:p>
      <w:pPr>
        <w:pStyle w:val="Normal"/>
        <w:jc w:val="both"/>
        <w:rPr>
          <w:sz w:val="22"/>
          <w:szCs w:val="22"/>
        </w:rPr>
      </w:pPr>
      <w:r>
        <w:rPr>
          <w:sz w:val="22"/>
          <w:szCs w:val="22"/>
        </w:rPr>
      </w:r>
    </w:p>
    <w:p>
      <w:pPr>
        <w:pStyle w:val="Normal"/>
        <w:jc w:val="both"/>
        <w:rPr>
          <w:sz w:val="22"/>
          <w:szCs w:val="22"/>
        </w:rPr>
      </w:pPr>
      <w:r>
        <w:rPr>
          <w:sz w:val="22"/>
          <w:szCs w:val="22"/>
        </w:rPr>
        <w:t xml:space="preserve">U ažuriranim ICNIRP smjernicama [10] i IEEE standardu [11], usvojene su dvije definicije APD-a, obje izvedene iz Poyntingovog teorema. Prva definicija APD-a predstavljena je kao gustoća transmitirane snage (eng. </w:t>
      </w:r>
      <w:r>
        <w:rPr>
          <w:i/>
          <w:iCs/>
          <w:sz w:val="22"/>
          <w:szCs w:val="22"/>
        </w:rPr>
        <w:t>transmitted power density</w:t>
      </w:r>
      <w:r>
        <w:rPr>
          <w:sz w:val="22"/>
          <w:szCs w:val="22"/>
        </w:rPr>
        <w:t>, TPD) usrednjena na kontrolnoj površini tkiva [23]. TPD je u svakoj točki kontrolne površine definiran kao linijski integral produkta SAR-a i gustoće izloženog tkiva do dubine iznad one u kojoj je većina EM snage apsorbirana (&gt; 86 %) [24]. U drugoj definiciji, APD se određuje kao usrednjeni tok gustoće snage (realni dio vremenski usrednjenog Poyntingovog vektora) na kontrolnoj površini. Prema teoremu o divergenciji, definicije APD-a su ekvivalentne ako je površina koja okružuje izloženi volumen tkiva zatvorena uz uvjet nepostojanja aktivnih izvora unutar ovog volumena. Matematički, definicija IPD-a je identična definiciji APD-a preko Poyntingovog vektora uz razliku što se u slučaju IPD-a u obzir uzimaju uvjeti slobodnog prostora – upadno polje umjesto polja apsorbiranog na površini. Iako je valjanost APD-a i IPD-a utvrđena kroz računalne i eksperimentalne studije [25], još uvijek postoje dvosmislenosti u pogledu matematičkog opisa i fizičke interpretacije, računalnih tehnika usrednjavanja, korištenih modela ljudskog tijela i pripadnih dielektričnih parametara korištenih prilikom EM dozimetrijske analize. Veliki problem je i procjena APD-a i IPD-a na zakrivljenim dijelovima tijela s polumjerom zakrivljenosti usporedivim s valnom duljinom upadnog EM polja. U ovim situacijama ravna kontrolna ploha za usrednjavanje predstavlja grubu aproksimaciju i potencijalno dovodi do podcjenjivanja ekstrahiranih dozimetrijskih veličina [26].</w:t>
      </w:r>
    </w:p>
    <w:p>
      <w:pPr>
        <w:pStyle w:val="Normal"/>
        <w:jc w:val="both"/>
        <w:rPr>
          <w:sz w:val="22"/>
          <w:szCs w:val="22"/>
        </w:rPr>
      </w:pPr>
      <w:r>
        <w:rPr>
          <w:sz w:val="22"/>
          <w:szCs w:val="22"/>
        </w:rPr>
      </w:r>
    </w:p>
    <w:p>
      <w:pPr>
        <w:pStyle w:val="Normal"/>
        <w:jc w:val="both"/>
        <w:rPr>
          <w:sz w:val="22"/>
          <w:szCs w:val="22"/>
        </w:rPr>
      </w:pPr>
      <w:r>
        <w:rPr>
          <w:sz w:val="22"/>
          <w:szCs w:val="22"/>
        </w:rPr>
        <w:t xml:space="preserve">Točnost dielektričnih svojstava ljudskog tkiva bitna je za procjenu jakosti induciranog polja. Međutim, pri visokim frekvencijama, veću ulogu igra varijabilnost dimenzija i morfologija izloženog tkiva [27]. Naime, debljina kože je iznimno bitan faktor za izloženost milimetarskim frekvencijama jer direktno određuje količinu slobodnih polarnih molekula koje indirektno utječu na apsorpciju polja. Od iznimnog značaja za dozimetrijsku analizu je i sami oblik izloženog tkiva koji se u većini literature aproksimira ravnom plohom korištenjem jednoslojnih [28, 29, 30] ili višeslojnih [4, 31, 27, 32, 33, 34] modela. Ovakav pristup, prihvaćen i u ICNIRP smjernicama i IEEE standardu, može dovesti do grubih pogreški u situacijama izloženosti dijelova tijela izražene zakrivljenosti i drugim nepravilnostima u morfološkim obilježjima (za ilustraciju, izloženost prsta ili uha prilikom telefonskog razgovora). Glavna motivacija ove doktorske disertacije temeljito je istraživanje utjecaja geometrijskih značajki tkiva složene površinske morfologije na vrijednost ekstrahiranih vrijednosti APD-a i IPD-a iznad 6 GHz. Valja naglasiti da korištenje numeričkih tehnika temeljenih na konačnim diferencijama povlači i potrebu korištenja vokseliziranih modela ljudskog tijela. Ovakvi modeli učestalo dovode do aproksimacijskih pogrešaka i čine dozimetrijsku analizu manje preciznom. Korištenje numeričkih tehnika baziranih na konačnim i rubnim elementima (ili analitičkih tehnika, kada je to moguće) osigurava eliminaciju numeričkih greški i šumova ali zahtjeva kompleksne metode za ekstrakciju površinski usrednjenih vrijednosti. Stoga, druga motivacija je razvoj numeričkog integratora za prostorno usrednjavanje toka snage bez obzira na ishodišnu numeričku/analitičku tehniku korištenu prilikom proračuna EM polja. Konačno, automatsko otkrivanje područja tzv. vruće točke (eng. </w:t>
      </w:r>
      <w:r>
        <w:rPr>
          <w:i/>
          <w:iCs/>
          <w:sz w:val="22"/>
          <w:szCs w:val="22"/>
        </w:rPr>
        <w:t>hot-spot</w:t>
      </w:r>
      <w:r>
        <w:rPr>
          <w:sz w:val="22"/>
          <w:szCs w:val="22"/>
        </w:rPr>
        <w:t>) izložene površine tkiva proizvoljne geometrije je također od iznimnog značaja s obzirom na male dimenzije antena korištenih u neposrednoj blizini ljudskog tijela i potencijalno heterogene raspodjele EM polja na površini anatomskih modela.</w:t>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sz w:val="22"/>
                <w:szCs w:val="22"/>
              </w:rPr>
            </w:pPr>
            <w:r>
              <w:rPr>
                <w:rFonts w:ascii="Calibri" w:hAnsi="Calibri"/>
                <w:b/>
                <w:bCs/>
                <w:sz w:val="22"/>
                <w:szCs w:val="22"/>
              </w:rPr>
              <w:t>2. Pregled dosadašnjih istraživanja</w:t>
            </w:r>
          </w:p>
        </w:tc>
      </w:tr>
    </w:tbl>
    <w:p>
      <w:pPr>
        <w:pStyle w:val="Normal"/>
        <w:jc w:val="both"/>
        <w:rPr>
          <w:sz w:val="22"/>
          <w:szCs w:val="22"/>
        </w:rPr>
      </w:pPr>
      <w:r>
        <w:rPr>
          <w:sz w:val="22"/>
          <w:szCs w:val="22"/>
        </w:rPr>
        <w:t>Otkako je u prvoj polovici 20. stoljeća puštena u rad i počela s emitiranjem prva komercijalna radijska postaja, u javnosti postoji interes za procjenu izloženosti ljudi radio-frekvencijama [35]. Ozbiljni napori u znanstvenom istraživanju interakcije EM valova u radio-frekvencijskom spektru i ljudskog tkiva pokrenuti su tijekom 20-ih godina prošlog stoljeća s obzirom na proširenu medicinsku primjenu dijatermije – metode terapijskog zagrijavanja tkiva [36].</w:t>
      </w:r>
    </w:p>
    <w:p>
      <w:pPr>
        <w:pStyle w:val="Normal"/>
        <w:jc w:val="both"/>
        <w:rPr>
          <w:sz w:val="22"/>
          <w:szCs w:val="22"/>
        </w:rPr>
      </w:pPr>
      <w:r>
        <w:rPr>
          <w:sz w:val="22"/>
          <w:szCs w:val="22"/>
        </w:rPr>
      </w:r>
    </w:p>
    <w:p>
      <w:pPr>
        <w:pStyle w:val="Normal"/>
        <w:jc w:val="both"/>
        <w:rPr>
          <w:sz w:val="22"/>
          <w:szCs w:val="22"/>
        </w:rPr>
      </w:pPr>
      <w:r>
        <w:rPr>
          <w:sz w:val="22"/>
          <w:szCs w:val="22"/>
        </w:rPr>
        <w:t xml:space="preserve">Početkom 50-ih godina prošlog stoljeća, Ministarstvo obrane SAD-a pustilo je u rad veći broj radijskih odašiljača radi testiranja naprednog korištenja bežičnih komunikacija i radarskih sustava u vojne svrhe. Kako je većina odašiljača radila u režimu maksimalne izlazne snage u neposrednoj blizini osoblja, postavlja se pitanje mogućih štetnih učinaka na zdravlje. Kao odgovor, pokrenut je tzv. </w:t>
      </w:r>
      <w:r>
        <w:rPr>
          <w:i/>
          <w:iCs/>
          <w:sz w:val="22"/>
          <w:szCs w:val="22"/>
        </w:rPr>
        <w:t>Tri-Service Program</w:t>
      </w:r>
      <w:r>
        <w:rPr>
          <w:sz w:val="22"/>
          <w:szCs w:val="22"/>
        </w:rPr>
        <w:t xml:space="preserve"> (1956-1960.) koji je za glavni cilj imao konačnu znanstveno potkrijepljenu potvrdu utjecaja EM polja na ljudski organizam [37].</w:t>
      </w:r>
    </w:p>
    <w:p>
      <w:pPr>
        <w:pStyle w:val="Normal"/>
        <w:jc w:val="both"/>
        <w:rPr>
          <w:sz w:val="22"/>
          <w:szCs w:val="22"/>
        </w:rPr>
      </w:pPr>
      <w:r>
        <w:rPr>
          <w:sz w:val="22"/>
          <w:szCs w:val="22"/>
        </w:rPr>
      </w:r>
    </w:p>
    <w:p>
      <w:pPr>
        <w:pStyle w:val="Normal"/>
        <w:jc w:val="both"/>
        <w:rPr>
          <w:sz w:val="22"/>
          <w:szCs w:val="22"/>
        </w:rPr>
      </w:pPr>
      <w:r>
        <w:rPr>
          <w:sz w:val="22"/>
          <w:szCs w:val="22"/>
        </w:rPr>
        <w:t>Iako su istraživanja u ovom području tijekom 70-ih godina prošlog stoljeća dovedena na znatno višu razinu kvalitete [38], među općom populacijom raslo je nepovjerenje zbog sve većeg broja bežičnih elektroničkih uređaja koji rade u neposrednoj blizini ljudskog tijela a čija je sigurnost upitna. Zbog kroničnog nedostatka konkretnih ograničenja i propisa definiranih na temelju rigorozno provjerenih znanstvenih činjenica, pojavljivao se i sve veći broj kontroverznih tvrdnji i stavova o sprezi EM polja i ljudskog tijela. S obzirom na to, objavljen je niz studija baziranih na računalnoj dozimetriji, uglavnom razmatrajući izloženost ravnim valovima s obzirom na stanje tehnologije u to vrijeme, što kulminira i objavom prvog priručnika sponzoriranog od strane Zračnih snaga SAD-a [39]. Prvi skup službenih sigurnosnih standarda u SAD-u objavljen je tijekom kasnih 60-ih godina prošlog stoljeća iz kojih proizlazi IEEE obitelj standarda za sigurnosne razine s obzirom na izloženost ljudi radio-frekventnim poljima u rasponu do 300 GHz (C95.1-x, gdje x odgovara godini izdanja). Rana ograničenja su se izražavala kroz gustoću snage upadne na tijelo modelirano kanonskim geometrijama [40]. Tijekom narednih desetljeća, došlo je do razvoja niza međunarodnih, često neovisnih, regulatornih tijela, uključujući Američki nacionalni institut za standarde (ANSI), Federalnu komisiju za komunikacije (FCC), ICNIRP, IEEE/ICES, itd.</w:t>
      </w:r>
    </w:p>
    <w:p>
      <w:pPr>
        <w:pStyle w:val="Normal"/>
        <w:jc w:val="both"/>
        <w:rPr>
          <w:sz w:val="22"/>
          <w:szCs w:val="22"/>
        </w:rPr>
      </w:pPr>
      <w:r>
        <w:rPr>
          <w:sz w:val="22"/>
          <w:szCs w:val="22"/>
        </w:rPr>
      </w:r>
    </w:p>
    <w:p>
      <w:pPr>
        <w:pStyle w:val="Normal"/>
        <w:jc w:val="both"/>
        <w:rPr>
          <w:sz w:val="22"/>
          <w:szCs w:val="22"/>
        </w:rPr>
      </w:pPr>
      <w:r>
        <w:rPr>
          <w:sz w:val="22"/>
          <w:szCs w:val="22"/>
        </w:rPr>
        <w:t>Tijekom posljednjeg desetljeća, istraživanja su se barem udvostručila na svim frontama: od eksperimentalnih preko epidemioloških do dozimetrijskih/tehničkih studija. Ipak, najveći napredak vidljiv je u kvaliteti i broju objavljenih studija provedenih u računalnim dozimetrijskim istraživanjima, čija je glavna ideja realizacija preciznih simulacija na visokim frekvencijama u bliskom polju [34]. U većini studija, pokazano je da su učinci zagrijavanja dobro su povezani s količinom snage EM polja koju apsorbira biološko tkivo [41]. Međutim, s nadolazećom masovnom implementacijom 5G mrežnog standarda, bežične mreže će biti heterogene u smislu frekvencije i pokrivenosti. Osim već postojećih pojaseva ispod 6 GHz (npr. raspon ispod 1 GHz koji podržava širokopojasnu pokrivenost, raspon 3.3-4.2 GHz koji podržava većina davatelja komunikacijskih usluga, itd.), planira se i uvođenje malih ćelija u rasponu 24-28 GHz [42] ali se istodobno posvećuje velika pozornost frekvencijama oko 60 GHz [43]. Na ovim je frekvencijama apsorpcija u ljudskom tijelu uglavnom površinska zbog iznimno male dubine prodiranja EM valova [3].</w:t>
      </w:r>
    </w:p>
    <w:p>
      <w:pPr>
        <w:pStyle w:val="Normal"/>
        <w:jc w:val="both"/>
        <w:rPr>
          <w:sz w:val="22"/>
          <w:szCs w:val="22"/>
        </w:rPr>
      </w:pPr>
      <w:r>
        <w:rPr>
          <w:sz w:val="22"/>
          <w:szCs w:val="22"/>
        </w:rPr>
      </w:r>
    </w:p>
    <w:p>
      <w:pPr>
        <w:pStyle w:val="Normal"/>
        <w:jc w:val="both"/>
        <w:rPr>
          <w:sz w:val="22"/>
          <w:szCs w:val="22"/>
        </w:rPr>
      </w:pPr>
      <w:r>
        <w:rPr>
          <w:sz w:val="22"/>
          <w:szCs w:val="22"/>
        </w:rPr>
        <w:t>Na pitanje koja je odgovarajuća metrika izloženosti u rasponu 1-10 GHz – SAR ili IPD, raspravljalo se u dvije studije iste istraživačke skupine korištenjem 1-D ravnog modela [44] i složenih modela ljudskog tijela [45]. Numerički rezultati pokazuju da maksimalni porast temperature na površini bolje korelira s vršnim 10-g SAR-om do 6 GHz u usporedbi s IPD-om. S druge strane, značajno bolju korelaciju ostvaruje IPD iznad 6 GHz. Uzimajući u obzir kombinirane zaključke iz obje studije, autori sugeriraju da bi prijelazna frekvencija trebala biti postavljena na 6 GHz. Naknadno, u [18], pokazano je postojanje fizikalno neopravdanih diskontinuiteta u maksimalnoj snazi zračenja pri prijelazu sa SAR-a na IPD. Sam prijelaz implicira da bi uređaji trebali koristiti znatno manju snagu zračenja (reda nekoliko dB) kako bi postigli usklađenost iznad 6 GHz. Slični rezultati su dobiveni i u opsežnoj numeričkoj studiji [46] koristeći realistične izvore i scenarije izloženosti. Sustavno je razmatran utjecaj parametara kao što su frekvencija, veličina niza, topologija niza, udaljenost od antene do tijela i raspon usmjeravanja snopa te je uspoređen s mjerenim podacima. Zaključak je da je potrebno globalno usklađivanje granica izloženosti iznad 6 GHz kako bi se izbjeglo neopravdano smanjenje maksimalne snage prijenosa 5G korisničke opreme u usporedbi s prethodnim generacijama.</w:t>
      </w:r>
    </w:p>
    <w:p>
      <w:pPr>
        <w:pStyle w:val="Normal"/>
        <w:jc w:val="both"/>
        <w:rPr>
          <w:sz w:val="22"/>
          <w:szCs w:val="22"/>
        </w:rPr>
      </w:pPr>
      <w:r>
        <w:rPr>
          <w:sz w:val="22"/>
          <w:szCs w:val="22"/>
        </w:rPr>
      </w:r>
    </w:p>
    <w:p>
      <w:pPr>
        <w:pStyle w:val="Normal"/>
        <w:jc w:val="both"/>
        <w:rPr>
          <w:sz w:val="22"/>
          <w:szCs w:val="22"/>
        </w:rPr>
      </w:pPr>
      <w:r>
        <w:rPr>
          <w:sz w:val="22"/>
          <w:szCs w:val="22"/>
        </w:rPr>
        <w:t>Prethodne tvrdnje su potvrđene u neovisnoj studiji [24] pri čemu se, umjesto IPD-a, kao relevantno temeljno ograničenje koristi prostorno usrednjeni TPD. Prednost korištenja TPD-a leži u činjenici što se uzima u obzir apsorbirano umjesto upadnog polja te se osigurava mogućnost demonstracije usklađenosti s ograničenjima izloženosti i u području bliskog polja [47]. U [48], provedena je dodatna rasprava o TPD-u kao metrici relevantnoj za ažuriranu verziju ICNIRP smjernica i za nacrt IEEE C95.1 verzije standarda iz 2019. Za jednostavne scenarije izloženosti homogenih modela, usrednjeni TPD se da aproksimirati kao produkt koeficijenta prijenosa izvedenog iz faktora refleksije s vrijednošću usrednjenog IPD-a, dobivenog koristeći apsolutnu vrijednost ili realne komponente vremenski usrednjenog Poyntingovog vektor na ravnini koja predstavlja izloženu površinu modela u slobodnom prostoru.</w:t>
      </w:r>
    </w:p>
    <w:p>
      <w:pPr>
        <w:pStyle w:val="Normal"/>
        <w:jc w:val="both"/>
        <w:rPr>
          <w:sz w:val="22"/>
          <w:szCs w:val="22"/>
        </w:rPr>
      </w:pPr>
      <w:r>
        <w:rPr>
          <w:sz w:val="22"/>
          <w:szCs w:val="22"/>
        </w:rPr>
      </w:r>
    </w:p>
    <w:p>
      <w:pPr>
        <w:pStyle w:val="Normal"/>
        <w:jc w:val="both"/>
        <w:rPr>
          <w:sz w:val="22"/>
          <w:szCs w:val="22"/>
        </w:rPr>
      </w:pPr>
      <w:r>
        <w:rPr>
          <w:sz w:val="22"/>
          <w:szCs w:val="22"/>
        </w:rPr>
        <w:t>Studije bazirane na toplinskom modeliranju [20] i analitičkim rješenjima problema EM i toplinske dozimetrije [21] sugeriraju da područje od 2 × 2 cm2 ostvaruje blisku aproksimaciju lokalnog maksimalnog porasta temperature s obzirom na prirodu lokaliziranog zagrijavanja izloženog tkiva na frekvencijama iznad 6 GHz. Ovi zaključci su dodatno potkrijepljeni izračunima za realistične scenarije izloženosti [32]. Ovakve dimenzije kvadratnog područja za površinsko usrednjavanje osim toga osiguravaju i dosljednost između lokalnog SAR-a i gustoće apsorbirane snage – površina prednje strane volumena od 10 g u obliku kocke za volumno usrednjavanje SAR-a je približno 4 cm2. Bitno je voditi računa da je područje usrednjavanja gustoće apsorbirane snage relevantne za porast temperature ovisno o frekvenciji; potrebna su manja područja usrednjavanja kako se frekvencija povećava zbog suženja snopa upadnih zraka. Stoga je kao dodatni kriterij za frekvencije iznad 30 GHz potrebno odrediti i vršnu gustoću apsorbirane snage usrednjenu na području od 1 × 1 cm2, uz uvjet da je dobivena vrijednost najviše 2 puta veća od odgovarajuće vrijednosti za područje usrednjavanja od 2 × 2 cm2 [21].</w:t>
      </w:r>
    </w:p>
    <w:p>
      <w:pPr>
        <w:pStyle w:val="Normal"/>
        <w:jc w:val="both"/>
        <w:rPr>
          <w:sz w:val="22"/>
          <w:szCs w:val="22"/>
        </w:rPr>
      </w:pPr>
      <w:r>
        <w:rPr>
          <w:sz w:val="22"/>
          <w:szCs w:val="22"/>
        </w:rPr>
      </w:r>
    </w:p>
    <w:p>
      <w:pPr>
        <w:pStyle w:val="Normal"/>
        <w:jc w:val="both"/>
        <w:rPr>
          <w:sz w:val="22"/>
          <w:szCs w:val="22"/>
        </w:rPr>
      </w:pPr>
      <w:r>
        <w:rPr>
          <w:sz w:val="22"/>
          <w:szCs w:val="22"/>
        </w:rPr>
        <w:t>Od posljednjeg izdanja ICNIRP smjernica i IEEE standarda, istraživanje u području računalne dozimetrije uglavnom je usmjereno kako bi dalo odgovor na pitanja ekvivalencije definicija APD-a, odgovarajuće plohe za usrednjavanje te prikladnog definiranja IPD-a (normalne komponente ili magnituda vremenski usrednjenog Poyntingovog vektora). U [49], dana je kvantitativna usporedba usrednjenih IPD-a i APD-a koji se odnose na izloženost u bliskom polju na frekvencijama u rasponu 6-100 GHz. Analiza se odnosi na okomito upadne EM valove emitirane od strane realističnih izvora (poluvalni dipol i antenski nizovi) na višeslojni ravni model postavljen na udaljenosti u rasponu 2-10 mm. Izvan reaktivne zone bliskog polja, postoji zanemariva razlika između dviju interpretacija IPD-a (unutar 0.7 dB). Razlika između IPD-a dobivenog koristeći normalne komponente ili magnitudu vremenski usrednjenog Poyntingovog vektora u usporedbi s usrednjenim APD-om iznosi 0.9 odnosno 1.4 dB. Unutar reaktivne zone bliskog polja, IPD se pokazao kao neprikladna metrika za procjenu usklađenosti. Konačno, rezultati sugeriraju da sama definicija IPD-a nije značajan čimbenik koji utječe na procjenu izloženosti u usporedbi s drugim čimbenicima poput frekvencije, položaja antene u odnosu na tkivo i dimenzija površine korištene za usrednjavanje gustoće snage. Slični zaključci su izvedeni i u [22] gdje je dodatno provedena sveobuhvatna statistička analiza uz pripadne testove značajnosti. Svi izvedeni zaključci prethodnih studija potvrđeni su naknadno u internacionalnoj komparativnoj studiji [50]. Ova studija pojašnjava glavne uzroke numeričkih pogrešaka u dozimetrijskoj analizi uspoređujući rezultate izračuna 6 međunarodnih laboratorija korištenjem vlastitih numeričkih metoda s različitim modelima tijela i antena. Pojedinosti su izostavljene radi sažetosti ali valja naglasiti da ostvareno slaganje među istraživačkim grupama indicira da su greške numeričkog izračuna dozimetrijske analize uzrokovane definicijom IPD-a tek granične.</w:t>
      </w:r>
    </w:p>
    <w:p>
      <w:pPr>
        <w:pStyle w:val="Normal"/>
        <w:jc w:val="both"/>
        <w:rPr>
          <w:sz w:val="22"/>
          <w:szCs w:val="22"/>
        </w:rPr>
      </w:pPr>
      <w:r>
        <w:rPr>
          <w:sz w:val="22"/>
          <w:szCs w:val="22"/>
        </w:rPr>
      </w:r>
    </w:p>
    <w:p>
      <w:pPr>
        <w:pStyle w:val="Normal"/>
        <w:jc w:val="both"/>
        <w:rPr>
          <w:sz w:val="22"/>
          <w:szCs w:val="22"/>
        </w:rPr>
      </w:pPr>
      <w:r>
        <w:rPr>
          <w:sz w:val="22"/>
          <w:szCs w:val="22"/>
        </w:rPr>
        <w:t>Također, kosi upad EM polja na tkivo je tema od posebnog interesa. U [51], autori su pokazali da propusnost transverzalno magnetskog upadnog EM vala raste s povećanjem kuta do maksimalnog kuta propusnosti zbog Brewsterovog efekta. U skladu sa studijama [34, 52], pokazano je da okomiti upad odgovara najgorem scenariju lokalne izloženosti. Dodatno, rezultati također ukazuju na to da u rasponu od 6-1000 GHz, TPD snažno korelira s porastom površinske temperature i predstavlja prikladnu veličinu za procjenu EM dozimetrije iznad 6 GHz. U 2021. godini, objavljen je i IEEE vodič za definiciju IPD-a za korelaciju maksimalnog porasta površinske temperature [53] kako bi se razjasnile sve eventualno preostale nejasnoće oko matematičke definicije IPD-a, površine za usrednjavanje ali i mogućnosti praktične uporabe i utjecaja upadnog kuta EM polja. Ovaj vodič uključuje realistične scenarije izloženosti višeslojnih ravnih modela ljudske kože (već predstavljene u [50]) uz različite izvore zračenja, upadne kutove i frekvencije unutar raspona 10-90 GHz na udaljenostima od 2-150 mm. Osim statističke analize, rezultati su verificirani i termografskim mjerenjima. Konačno, izvedena su i tri temeljna zaključka: (i) magnituda površinski usrednjenog IPD-a rezultira najvišim koeficijentima korelacije s temperaturom, međutim, obje definicije snažno koreliraju s porastom temperature za scenarij kvazi-okomitog upada (Pearsonovi koeficijenti korelacije &gt; 0.7 u oba slučaja), (ii) magnituda površinski usrednjenog IPD-a daje bolju procjenu induciranog povećanja temperature od normalne definicije uz graničnu razliku prisutnu isključivo uz pretpostavku uvjeta bliskog polja, i (iii) faktor zagrijavanja (omjer maksimalnog temperaturnog porasta i usrednjene gustoće snage) kao funkcija upadnog kuta pokazuje da normalna definicija IPD-a bolje korelira s maksimalnim porastom površinske temperature u usporedbi s magnitudom jer je manje osjetljiva na varijaciju upadnog kuta; upotreba magnitude rezultira konzervativnijim procjenama izloženosti.</w:t>
      </w:r>
    </w:p>
    <w:p>
      <w:pPr>
        <w:pStyle w:val="Normal"/>
        <w:jc w:val="both"/>
        <w:rPr>
          <w:sz w:val="22"/>
          <w:szCs w:val="22"/>
        </w:rPr>
      </w:pPr>
      <w:r>
        <w:rPr>
          <w:sz w:val="22"/>
          <w:szCs w:val="22"/>
        </w:rPr>
      </w:r>
    </w:p>
    <w:p>
      <w:pPr>
        <w:pStyle w:val="Normal"/>
        <w:jc w:val="both"/>
        <w:rPr>
          <w:sz w:val="22"/>
          <w:szCs w:val="22"/>
        </w:rPr>
      </w:pPr>
      <w:r>
        <w:rPr>
          <w:sz w:val="22"/>
          <w:szCs w:val="22"/>
        </w:rPr>
        <w:t xml:space="preserve">Radna skupina 5 uključena u djelovanje IEEE/ICES tehničkog odbora (eng. </w:t>
      </w:r>
      <w:r>
        <w:rPr>
          <w:i/>
          <w:iCs/>
          <w:sz w:val="22"/>
          <w:szCs w:val="22"/>
        </w:rPr>
        <w:t>tehnical committee</w:t>
      </w:r>
      <w:r>
        <w:rPr>
          <w:sz w:val="22"/>
          <w:szCs w:val="22"/>
        </w:rPr>
        <w:t xml:space="preserve">, TC) 95 pododbora (eng. </w:t>
      </w:r>
      <w:r>
        <w:rPr>
          <w:i/>
          <w:iCs/>
          <w:sz w:val="22"/>
          <w:szCs w:val="22"/>
        </w:rPr>
        <w:t>subcommittee</w:t>
      </w:r>
      <w:r>
        <w:rPr>
          <w:sz w:val="22"/>
          <w:szCs w:val="22"/>
        </w:rPr>
        <w:t>, SC) 6 za EM dozimetrijsko modeliranje uspostavila je dvije različite definicije IPD-a površinski usrednjenog na evaluacijskoj plohi – kontrolna površina na ozračenoj ravnoj projekciji ljudske kože u slobodnom prostoru [53]. Do danas, većina studija procjene izloženosti bazirana na EM dozimetriji iznad 6 GHz, uključujući i milimetarske valove, koristi ravni ekvivalent jednoslojnog [52, 28, 29, 30, 54] ili višeslojnog [4, 55, 27, 34, 32, 33, 31, 56] modela ljudske kože. Međutim, problem u takvom pristupu je procjena gustoće snage na zakrivljenim dijelovima tijela čiji red veličine polumjera zakrivljenost odgovara valnoj duljini upadnog EM polja [26]. Istraživači u [57] su se na ovaj problem već osvrnuli za raspon frekvencija 900-3700 MHz s obzirom na apsorpciju EM polja u ljudskim šakama. Rezultati usporedbe apsorpcije u ruci u odnosu na standardizirani ravni fantom pokazali su poboljšanja od nekoliko dB. Pretpostavljeni uzrok ovog fenomena je rezonancija ostvarena između izloženih prstiju i EM polja na korištenim frekvencijama s obzirom na dimenziju i oblik. Nadalje, utjecaj zakrivljenosti različitih dijelova tijela modeliranih korištenjem kanonskih geometrija, npr. cilindra ili izduženog cilindra, s radijusima reda veličine nekoliko mm pri milimetarskim valovima istražen je u [26], ali zbog smanjenih dimenzija modela, nije uzeto u obzir površinsko usrednjavanje.</w:t>
      </w:r>
    </w:p>
    <w:p>
      <w:pPr>
        <w:pStyle w:val="Normal"/>
        <w:jc w:val="both"/>
        <w:rPr>
          <w:sz w:val="22"/>
          <w:szCs w:val="22"/>
        </w:rPr>
      </w:pPr>
      <w:r>
        <w:rPr>
          <w:sz w:val="22"/>
          <w:szCs w:val="22"/>
        </w:rPr>
      </w:r>
    </w:p>
    <w:p>
      <w:pPr>
        <w:pStyle w:val="Normal"/>
        <w:jc w:val="both"/>
        <w:rPr>
          <w:sz w:val="22"/>
          <w:szCs w:val="22"/>
        </w:rPr>
      </w:pPr>
      <w:r>
        <w:rPr>
          <w:sz w:val="22"/>
          <w:szCs w:val="22"/>
        </w:rPr>
        <w:t>Radna skupina 7 (IEEE/ICES TC 95 SC 6) je okupljena s ciljem unifikacije sheme površinskog usrednjavanja za procjenu APD-a. Osim već postojećih ravnih modela, predložena su i dva kanonska zakrivljena modela: kugla i cilindar. Ovaj prijedlog je izravno motiviran rezultatima studije [58] u kojoj Diao i suradnici predlažu 4 različita pristupa usrednjavanja APD-a na sfernoj i cilindričnoj površini u rasponu od 6-60 GHz te potvrđuju rezultate koristeći realistični model podlaktice. Rezultati istraživanja izloženosti sfernog modela ljudske glave fiksnih dimenzija EM poljima do 100 GHz proizašli iz naše istraživačke skupine pokazuju da površinsko usrednjavanje gustoće upadne snage biva i do 30 % veće od odgovarajućih vrijednosti dobivenih koristeći uobičajenu ravnu kontrolnu plohu. Dodatni doprinos ove studije je i korištenje efikasne Gauss-Legendre numeričke integracijske tehnike koja osigurava točnost i preciznost proračuna i za relativno mali broj točaka proračuna upadnog EM polja.</w:t>
      </w:r>
    </w:p>
    <w:p>
      <w:pPr>
        <w:pStyle w:val="Normal"/>
        <w:jc w:val="both"/>
        <w:rPr>
          <w:sz w:val="22"/>
          <w:szCs w:val="22"/>
        </w:rPr>
      </w:pPr>
      <w:r>
        <w:rPr>
          <w:sz w:val="22"/>
          <w:szCs w:val="22"/>
        </w:rPr>
      </w:r>
    </w:p>
    <w:p>
      <w:pPr>
        <w:pStyle w:val="Normal"/>
        <w:jc w:val="both"/>
        <w:rPr>
          <w:sz w:val="22"/>
          <w:szCs w:val="22"/>
        </w:rPr>
      </w:pPr>
      <w:r>
        <w:rPr>
          <w:sz w:val="22"/>
          <w:szCs w:val="22"/>
        </w:rPr>
        <w:t>Naposljetku, od iznimnog značaja je i mogućnost određivanja prostorno usrednjenih dozimetrijskih veličina na složenim konformnim anatomskim modelima – najveća važnost za preciznu dozimetriju na visokim frekvencijama relevantnu za nadolazeće komunikacijske standarde. Upravo ovo je postavljeno kao jedan od najvažnijih ciljeva u ovom dokumentu i doktorskom istraživanju na kojeg se odnosi.</w:t>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b/>
                <w:sz w:val="22"/>
                <w:szCs w:val="22"/>
              </w:rPr>
            </w:pPr>
            <w:r>
              <w:rPr>
                <w:rFonts w:ascii="Calibri" w:hAnsi="Calibri"/>
                <w:b/>
                <w:bCs/>
                <w:sz w:val="22"/>
                <w:szCs w:val="22"/>
              </w:rPr>
              <w:t>3. Hipoteza</w:t>
            </w:r>
          </w:p>
        </w:tc>
      </w:tr>
    </w:tbl>
    <w:p>
      <w:pPr>
        <w:pStyle w:val="Normal"/>
        <w:jc w:val="both"/>
        <w:rPr>
          <w:sz w:val="22"/>
          <w:szCs w:val="22"/>
        </w:rPr>
      </w:pPr>
      <w:r>
        <w:rPr>
          <w:sz w:val="22"/>
          <w:szCs w:val="22"/>
        </w:rPr>
        <w:t>Jedna od glavnih značajki 5G tehnološkog standarda za širokopojasne mobilne komunikacije temelji se na proširenju frekvencijskog pojasa u područje visokih mikro (&gt; 6 GHz) i milimetarskih valova (&gt; 30 GHz). Utjecaj EM polja na ljudsko tijelo pri ovim frekvencijama uglavnom je lokalnog karaktera i manifestira se porastom temperature na površini kože. Iz tog razloga, temeljno ograničenje (i odgovarajuća referentna razina) definirano je kao gustoća apsorbirane (i upadne) snage usrednjena na ograničenom području najveće izloženosti.</w:t>
      </w:r>
    </w:p>
    <w:p>
      <w:pPr>
        <w:pStyle w:val="Normal"/>
        <w:jc w:val="both"/>
        <w:rPr>
          <w:sz w:val="22"/>
          <w:szCs w:val="22"/>
        </w:rPr>
      </w:pPr>
      <w:r>
        <w:rPr>
          <w:sz w:val="22"/>
          <w:szCs w:val="22"/>
        </w:rPr>
      </w:r>
    </w:p>
    <w:p>
      <w:pPr>
        <w:pStyle w:val="Normal"/>
        <w:jc w:val="both"/>
        <w:rPr>
          <w:sz w:val="22"/>
          <w:szCs w:val="22"/>
        </w:rPr>
      </w:pPr>
      <w:r>
        <w:rPr>
          <w:sz w:val="22"/>
          <w:szCs w:val="22"/>
        </w:rPr>
        <w:t>Do danas, prilikom dozimetrijske analize, područje usrednjavanja je aproksimirano kao ravna ploha čija je površina funkcija frekvencije. Međutim, pri visokim frekvencijama EM polja čija je valna duljina usporediva s polumjerom zakrivljenosti izloženih dijelova tijela, ravna ploha predstavlja grubu aproksimaciju i potencijalno dovodi do poddimenzioniranja površinski usrednjenih dozimetrijskih veličina.</w:t>
      </w:r>
    </w:p>
    <w:p>
      <w:pPr>
        <w:pStyle w:val="Normal"/>
        <w:jc w:val="both"/>
        <w:rPr>
          <w:sz w:val="22"/>
          <w:szCs w:val="22"/>
        </w:rPr>
      </w:pPr>
      <w:r>
        <w:rPr>
          <w:sz w:val="22"/>
          <w:szCs w:val="22"/>
        </w:rPr>
      </w:r>
    </w:p>
    <w:p>
      <w:pPr>
        <w:pStyle w:val="Normal"/>
        <w:jc w:val="both"/>
        <w:rPr>
          <w:sz w:val="22"/>
          <w:szCs w:val="22"/>
        </w:rPr>
      </w:pPr>
      <w:r>
        <w:rPr>
          <w:sz w:val="22"/>
          <w:szCs w:val="22"/>
        </w:rPr>
        <w:t>Iz ovog razloga, kao temeljna pretpostavka doktorskog istraživanja postavlja se da korištenje zakrivljenih modela nužno dovodi do vrijednosti srednje gustoće snage bliže stvarnim vrijednostima. Kako su prilikom praktičnih scenarija izloženosti u najvećoj ugrozi od površinskog pregrijavanja na lokalnoj skali prsti šake te vanjsko uho i glava, odgovarajući cilindrični ili sferni modeli nameću se kao najprikladniji.</w:t>
      </w:r>
    </w:p>
    <w:p>
      <w:pPr>
        <w:pStyle w:val="Normal"/>
        <w:jc w:val="both"/>
        <w:rPr>
          <w:sz w:val="22"/>
          <w:szCs w:val="22"/>
        </w:rPr>
      </w:pPr>
      <w:r>
        <w:rPr>
          <w:sz w:val="22"/>
          <w:szCs w:val="22"/>
        </w:rPr>
      </w:r>
    </w:p>
    <w:p>
      <w:pPr>
        <w:pStyle w:val="Normal"/>
        <w:jc w:val="both"/>
        <w:rPr>
          <w:sz w:val="22"/>
          <w:szCs w:val="22"/>
        </w:rPr>
      </w:pPr>
      <w:r>
        <w:rPr>
          <w:sz w:val="22"/>
          <w:szCs w:val="22"/>
        </w:rPr>
        <w:t>S obzirom da iznimno kompleksne površinske geometrije poput one vanjskog uha ne mogu biti adekvatno opisane kanonskim modelima, javlja se potreba i za korištenjem ekvivalentnih anatomskih modela. Matematički opis zakrivljenosti površine ovakvih modela je moguć isključivo koristeći preciznu numeričku procjenu normalnih jediničnih vektora na površinu. Usrednjavanje gustoće snage je potom moguće parametrizacijom površine i numeričkim pristupom aproksimacije plošnih integrala vektorskog polja.</w:t>
      </w:r>
    </w:p>
    <w:p>
      <w:pPr>
        <w:pStyle w:val="Normal"/>
        <w:jc w:val="both"/>
        <w:rPr>
          <w:sz w:val="22"/>
          <w:szCs w:val="22"/>
        </w:rPr>
      </w:pPr>
      <w:r>
        <w:rPr>
          <w:sz w:val="22"/>
          <w:szCs w:val="22"/>
        </w:rPr>
      </w:r>
    </w:p>
    <w:p>
      <w:pPr>
        <w:pStyle w:val="Normal"/>
        <w:jc w:val="both"/>
        <w:rPr>
          <w:sz w:val="22"/>
          <w:szCs w:val="22"/>
        </w:rPr>
      </w:pPr>
      <w:r>
        <w:rPr>
          <w:sz w:val="22"/>
          <w:szCs w:val="22"/>
        </w:rPr>
        <w:t>Dakle, sljedeća pretpostavka je da raspodjela normalnih vektora na površini anatomskih modela uvjetovana morfološkim nepravilnostima, nesimetrijama i eventualnim deformitetima promatranog tkiva, značajno utječe na apsorpciju upadnog EM polja. Za posljedicu, vrijednosti usrednjene gustoće snage potencijalno mogu biti drastično veće u usporedbi s ravnim modelima ali i zakrivljenim modelima simetrične geometrije, ovisno o položaju antene, polarizaciji upadnog polja, i površini integracijske domene.</w:t>
      </w:r>
    </w:p>
    <w:p>
      <w:pPr>
        <w:pStyle w:val="Normal"/>
        <w:jc w:val="both"/>
        <w:rPr>
          <w:sz w:val="22"/>
          <w:szCs w:val="22"/>
        </w:rPr>
      </w:pPr>
      <w:r>
        <w:rPr>
          <w:sz w:val="22"/>
          <w:szCs w:val="22"/>
        </w:rPr>
      </w:r>
    </w:p>
    <w:p>
      <w:pPr>
        <w:pStyle w:val="Normal"/>
        <w:jc w:val="both"/>
        <w:rPr>
          <w:sz w:val="22"/>
          <w:szCs w:val="22"/>
        </w:rPr>
      </w:pPr>
      <w:r>
        <w:rPr>
          <w:sz w:val="22"/>
          <w:szCs w:val="22"/>
        </w:rPr>
        <w:t>Otkrivanje ograničenog područja najvećeg temperaturnog porasta na anatomskim modelima nije moguća izravno u usporedbi s ravnim ili zakrivljenim modelima simetričnih geometrijskih karakteristika. S obzirom da će raspodjela apsorbiranih komponenti EM polja biti izrazito heterogena, poglavito u području bliskog polja, potrebno je evaluirati srednju gustoću snage na kompletnoj površini izloženog dijela tijela. Ovakav proces zahtjeva korištenje velikih računalnih resursa posebno kod detaljnih, višeslojnih modela.</w:t>
      </w:r>
    </w:p>
    <w:p>
      <w:pPr>
        <w:pStyle w:val="Normal"/>
        <w:jc w:val="both"/>
        <w:rPr>
          <w:sz w:val="22"/>
          <w:szCs w:val="22"/>
        </w:rPr>
      </w:pPr>
      <w:r>
        <w:rPr>
          <w:sz w:val="22"/>
          <w:szCs w:val="22"/>
        </w:rPr>
      </w:r>
    </w:p>
    <w:p>
      <w:pPr>
        <w:pStyle w:val="Normal"/>
        <w:jc w:val="both"/>
        <w:rPr>
          <w:sz w:val="22"/>
          <w:szCs w:val="22"/>
        </w:rPr>
      </w:pPr>
      <w:r>
        <w:rPr>
          <w:sz w:val="22"/>
          <w:szCs w:val="22"/>
        </w:rPr>
        <w:t>Ovo doktorsko istraživanje tako za cilj postavlja i razvoj hibridne metode bazirane na principima strojnog učenja i standardnih numeričkih metoda koje na efikasan način indirektno ostvaruje automatsko otkrivanje prethodno definiranih područja vruće točke – ograničenih područja lokalno povišene temperature u usporedbi s okolinom.</w:t>
      </w:r>
    </w:p>
    <w:p>
      <w:pPr>
        <w:pStyle w:val="Normal"/>
        <w:jc w:val="both"/>
        <w:rPr>
          <w:sz w:val="22"/>
          <w:szCs w:val="22"/>
        </w:rPr>
      </w:pPr>
      <w:r>
        <w:rPr>
          <w:sz w:val="22"/>
          <w:szCs w:val="22"/>
        </w:rPr>
      </w:r>
    </w:p>
    <w:p>
      <w:pPr>
        <w:pStyle w:val="Normal"/>
        <w:jc w:val="both"/>
        <w:rPr>
          <w:sz w:val="22"/>
          <w:szCs w:val="22"/>
        </w:rPr>
      </w:pPr>
      <w:r>
        <w:rPr>
          <w:sz w:val="22"/>
          <w:szCs w:val="22"/>
        </w:rPr>
        <w:t>Točnost usrednjavanja bit će osigurana koristeći suvremenu tehnologiju, ideje i značajke iz računalne grafike i računalnog vida prilagođene potrebama dozimetrijske analize. Kako bi se izbjeglo pojednostavljenje prostorne domene na bilo koji način, npr. kanonizacija zakrivljenih područja, zaglađivanje nepravilnih morfoloških značajki, itd., i kako bi se osigurala točna procjena usrednjene gustoće snage, kontrolna površina će biti parametrizirana u odgovarajućem prostoru određenom ortonormalnom bazom izvedene iz svojstvenih vrijednosti lokalne zakrivljenosti.</w:t>
      </w:r>
    </w:p>
    <w:p>
      <w:pPr>
        <w:pStyle w:val="Normal"/>
        <w:jc w:val="both"/>
        <w:rPr>
          <w:sz w:val="22"/>
          <w:szCs w:val="22"/>
        </w:rPr>
      </w:pPr>
      <w:r>
        <w:rPr>
          <w:sz w:val="22"/>
          <w:szCs w:val="22"/>
        </w:rPr>
      </w:r>
    </w:p>
    <w:p>
      <w:pPr>
        <w:pStyle w:val="Normal"/>
        <w:jc w:val="both"/>
        <w:rPr>
          <w:sz w:val="22"/>
          <w:szCs w:val="22"/>
        </w:rPr>
      </w:pPr>
      <w:r>
        <w:rPr>
          <w:sz w:val="22"/>
          <w:szCs w:val="22"/>
        </w:rPr>
        <w:t>Opisani pristup integracije ima i dodatnu pogodnost – neovisnost o ishodišnoj numeričkoj ili analitičkoj metodi proračuna apsorbiranog EM polja na površini modela. Naime, predložena tehnika se oslanja isključivo na vrijednosti izračunate u neorganiziranom skupu točaka uzorkovanih na izloženoj površini modela. Na ovaj način, nakon parametrizacije, integracijska površina može biti funkcionalno rekonstruirana korištenjem bivarijatne interpolacije s obzirom na bilo koji smjer koji nije dio tangencijalne ravnine. Određivanje raspodjele normalnih vektora je tako svedeno na strojnu preciznost parcijalnim deriviranjem bivarijatnog interpolata po ortogonalnim komponentama tangencijalne ravnine. Tako je eliminirana i potreba za formalnom definicijom prostornih veza između točaka u kojima je definiran integrand, npr. razvoj Voronoi dijagrama ili mreže konačnih elemenata, te je osigurana mogućnost korištenja numeričke integracije visoke točnosti, npr. Gaussova integracija.</w:t>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b/>
                <w:color w:val="000000"/>
                <w:sz w:val="22"/>
                <w:szCs w:val="22"/>
              </w:rPr>
            </w:pPr>
            <w:r>
              <w:rPr>
                <w:rFonts w:ascii="Calibri" w:hAnsi="Calibri"/>
                <w:b/>
                <w:color w:val="000000"/>
                <w:sz w:val="22"/>
                <w:szCs w:val="22"/>
              </w:rPr>
              <w:t>4. Opis i metodologija istraživanja</w:t>
            </w:r>
          </w:p>
        </w:tc>
      </w:tr>
    </w:tbl>
    <w:p>
      <w:pPr>
        <w:pStyle w:val="Normal"/>
        <w:jc w:val="both"/>
        <w:rPr>
          <w:sz w:val="22"/>
          <w:szCs w:val="22"/>
        </w:rPr>
      </w:pPr>
      <w:r>
        <w:rPr>
          <w:b/>
          <w:bCs/>
          <w:sz w:val="22"/>
          <w:szCs w:val="22"/>
        </w:rPr>
        <w:t>Razvoj adekvatnih zakrivljenih i anatomskih modela dijelova ljudskog tijela.</w:t>
      </w:r>
      <w:r>
        <w:rPr>
          <w:sz w:val="22"/>
          <w:szCs w:val="22"/>
        </w:rPr>
        <w:t xml:space="preserve"> U prvom dijelu istraživačkog rada provest će se sustavni pregled literature i prikupljanje relevantnih podataka za realizaciju referentnih modela ljudskog tkiva baziranim na sfernoj/cilindričnoj geometriji ili koristeći realistična morfološka obilježja. U većini postojeće literature, modeli tkiva, s obzirom na primjenu i tip dozimetrijske analize za koju se koriste, realiziraju se kao ravni poluprostor sačinjen od jednog ili više slojeva. Najčešće je riječ o 3 sloja koji po širini i dielektričnim svojstvima odgovaraju dvama slojevima kože i masnom potkožnom tkivu [27]. S obzirom na niski udio slobodnih polarnih molekula, prilikom EM dozimetrijske analize iznad 6 GHz, rožnati sloj se klasificira kao odvojeni sloj od epiderme kojoj strukturalno pripada [59]. Sljedeći sloj je sačinjen od epiderme i derme zbog sličnih dielektričnih svojstava i apsortivnosti EM energije [3]. Treći sloj je adipozno tkivo koje zbog iznimno slabe apsorpcije ostvaruje karakteristike toplinske barijere. Dielektrična svojstva ljudske kože dobivaju se mjerenjem njezine relativne kompleksne permitivnosti koja ovisi o vodljivosti i frekvenciji EM polja apsorbiranog u koži. Rezultati mjerenja kompleksne permitivnosti kože do sada objavljeni u literaturi pokazali su izrazitu korelaciju s tehnikom mjerenja i modelom kože (</w:t>
      </w:r>
      <w:r>
        <w:rPr>
          <w:i/>
          <w:iCs/>
          <w:sz w:val="22"/>
          <w:szCs w:val="22"/>
        </w:rPr>
        <w:t>in vivo</w:t>
      </w:r>
      <w:r>
        <w:rPr>
          <w:sz w:val="22"/>
          <w:szCs w:val="22"/>
        </w:rPr>
        <w:t xml:space="preserve"> ili </w:t>
      </w:r>
      <w:r>
        <w:rPr>
          <w:i/>
          <w:iCs/>
          <w:sz w:val="22"/>
          <w:szCs w:val="22"/>
        </w:rPr>
        <w:t>in vitro</w:t>
      </w:r>
      <w:r>
        <w:rPr>
          <w:sz w:val="22"/>
          <w:szCs w:val="22"/>
        </w:rPr>
        <w:t xml:space="preserve">, temperatura kože, položaj na tijelu i debljina različitih slojeva). Tako su primjerice Gabriel i suradnici [60] objavili ekstrapoliranu kompleksnu permitivnost ljudske kože do 110 GHz na temelju mjerenja izvedenih ispod 20 GHz. Nadalje, rezultati koje su prikazali Gandhi i Riazi [61] na 60 GHz dobiveni su pomoću Debyeovog modela temeljenog na mjerenjima izvedenim koristeći kožu kunića na 23 GHz. Osim toga, brojni istraživači su pokušali precizno utvrditi kompleksnu permitivnost na temelju tehnike slobodnog prostora, </w:t>
      </w:r>
      <w:r>
        <w:rPr>
          <w:i/>
          <w:iCs/>
          <w:sz w:val="22"/>
          <w:szCs w:val="22"/>
        </w:rPr>
        <w:t>in vivo</w:t>
      </w:r>
      <w:r>
        <w:rPr>
          <w:sz w:val="22"/>
          <w:szCs w:val="22"/>
        </w:rPr>
        <w:t xml:space="preserve"> mjerenja koaksijalnim sondama, </w:t>
      </w:r>
      <w:r>
        <w:rPr>
          <w:i/>
          <w:iCs/>
          <w:sz w:val="22"/>
          <w:szCs w:val="22"/>
        </w:rPr>
        <w:t>in vitro</w:t>
      </w:r>
      <w:r>
        <w:rPr>
          <w:sz w:val="22"/>
          <w:szCs w:val="22"/>
        </w:rPr>
        <w:t xml:space="preserve"> mjerenja refleksije s otvorenim valovodom, itd. Do danas, kao referenca se uzimaju podaci predstavljeni u [60] uglavnom jer se širokodostupne baze dielektričnih i toplinskih parametara [62] baziraju upravo na njima. Potrebno je dakle uzeti u obzir individualiziranu varijabilnost debljine pojedinih slojeva kože te dielektričnih svojstava koje dodatno ovise i o dijelovima tijela izloženim EM poljima. Kod jednostavnih zakrivljenih geometrija (kugla i cilindar), varijacija parametara je moguća primjenom Monte Carlo analize dok je kod anatomskih modela ovakav pristup iznimno računalno zahtjevan. Zato, na temelju dostupne literature, anatomski modeli trebaju biti razvijeni u svrhu postizanja kompatibilnosti s većinom populacije koristeći očekivane vrijednosti dimenzija modeliranog dijela tijela, njegove strukture i anatomije, te vrijednosti dielektričnih parametara od interesa.</w:t>
      </w:r>
    </w:p>
    <w:p>
      <w:pPr>
        <w:pStyle w:val="Normal"/>
        <w:jc w:val="both"/>
        <w:rPr>
          <w:sz w:val="22"/>
          <w:szCs w:val="22"/>
        </w:rPr>
      </w:pPr>
      <w:r>
        <w:rPr>
          <w:sz w:val="22"/>
          <w:szCs w:val="22"/>
        </w:rPr>
      </w:r>
    </w:p>
    <w:p>
      <w:pPr>
        <w:pStyle w:val="Normal"/>
        <w:jc w:val="both"/>
        <w:rPr>
          <w:sz w:val="22"/>
          <w:szCs w:val="22"/>
        </w:rPr>
      </w:pPr>
      <w:r>
        <w:rPr>
          <w:b/>
          <w:bCs/>
          <w:sz w:val="22"/>
          <w:szCs w:val="22"/>
        </w:rPr>
        <w:t>Rigorozni  proračun fizikalnih veličina za dozimetrijsku analizu.</w:t>
      </w:r>
      <w:r>
        <w:rPr>
          <w:sz w:val="22"/>
          <w:szCs w:val="22"/>
        </w:rPr>
        <w:t xml:space="preserve"> U posljednjem izdanju IEEE standarda [11] i ICNIRP smjernica [10] za sigurnosne razine s obzirom na izloženost ljudi EM poljima do 300 GHz, temeljna ograničenja iznad 6 GHz za situacije lokalne izloženosti u stacionarnom stanju dane su u vidu dvije matematičke definicije gustoće apsorbirane snage na kontrolnoj površini. Obje definicije su postavljene kao plošni integrali pri čemu se podintegralne funkcije bitno razlikuju. U prvoj definiciji, podintegralna funkcija je skalarno polje dobiveno linijskom integracijom produkta SAR-a i gustoće tkiva po dubini istoga. U drugoj definiciji, podintegralna funkcija je izvedena direktno iz vremenski usrednjenog Poyntingovog vektora i predstavlja vektorsko polje čija je orijentacija određena raspodjelom normalnih vektora promatrane kontrolne površine. Prema teoremu o divergenciji, s obzirom da integracijska površina nije zatvorena, navedene definicije APD-a kako ih definira ICNIRP i IEEE/ICES nisu ekvivalentne. Međutim, s obzirom na iznimno malu dubinu prodiranja EM snage u tkivo (generalno, više od 90% snage na površini je apsorbirano u 1 mm tkiva), konačna usrednjena vrijednost će biti tek neznatno različita na ravnim modelima [63]. S druge strane, raspodjela apsorbiranog EM polja na površini anatomskih modela je iznimno heterogena i teško je predvidjeti fizikalna svojstva površinski usrednjenih vrijednosti. Iz tog razloga je potrebno, koristeći prethodno opisane zakrivljene modele, usporediti vrijednosti dobivene dvjema definicijama APD-a i potvrditi dobivene rezultate referirajući se na postojeće rezultate temeljene na ravnim modelima.</w:t>
      </w:r>
    </w:p>
    <w:p>
      <w:pPr>
        <w:pStyle w:val="Normal"/>
        <w:jc w:val="both"/>
        <w:rPr>
          <w:sz w:val="22"/>
          <w:szCs w:val="22"/>
        </w:rPr>
      </w:pPr>
      <w:r>
        <w:rPr>
          <w:sz w:val="22"/>
          <w:szCs w:val="22"/>
        </w:rPr>
      </w:r>
    </w:p>
    <w:p>
      <w:pPr>
        <w:pStyle w:val="Normal"/>
        <w:jc w:val="both"/>
        <w:rPr>
          <w:sz w:val="22"/>
          <w:szCs w:val="22"/>
        </w:rPr>
      </w:pPr>
      <w:r>
        <w:rPr>
          <w:b/>
          <w:bCs/>
          <w:sz w:val="22"/>
          <w:szCs w:val="22"/>
        </w:rPr>
        <w:t>Proračun normala na integracijskim površinama.</w:t>
      </w:r>
      <w:r>
        <w:rPr>
          <w:sz w:val="22"/>
          <w:szCs w:val="22"/>
        </w:rPr>
        <w:t xml:space="preserve"> Kako je spomenuto u opisu druge definicije APD-a, oblik i zakrivljenost kontrolne površine su određeni raspodjelom jediničnih normalnih vektora. Kod kanonskih geometrija zakrivljenih modela, proračun normala je izravan koristeći analitičke izraze u odgovarajućem koordinatnom sustavu (sferni ili cilindrični koordinatni sustav temeljen na ISO 80000-2:2019 konvenciji). S druge strane, kod anatomskih modela, integracijska površina se matematički može opisati kao 2-D Riemannova mnogostruktost (eng. </w:t>
      </w:r>
      <w:r>
        <w:rPr>
          <w:i/>
          <w:iCs/>
          <w:sz w:val="22"/>
          <w:szCs w:val="22"/>
        </w:rPr>
        <w:t>manifold</w:t>
      </w:r>
      <w:r>
        <w:rPr>
          <w:sz w:val="22"/>
          <w:szCs w:val="22"/>
        </w:rPr>
        <w:t xml:space="preserve">) u 3-D Euklidskom prostoru. U svim točkama promatrane površine postoji zasebna tangencijalna ravnina. Pravac u bilo kojoj točki okomit na pripadnu tangencijalnu ravninu sadržava normalni i jedinični normalni vektor proizvoljne orijentacije. Zakrivljenost površine u promatranoj točki se potom može opisati koristeći dvije ravnine koje sadržavaju vektor normale a koje karakterizira najveća i najmanja zakrivljenost krivulje dobivene kao presjek ovih ravnina i kontrolne površine. Zakrivljenost krivulja se dobije izravno iz Frenet-Serret formula kao obrnuto proporcionalna vrijednost polumjera oskulirajućeg kruga – krug koji najbolje lokalno odgovara zakrivljenosti krivulje i dodiruje je u samo jednoj točki. Na temelju svojstvenih zakrivljenosti izvodi se Gaussova zakrivljenost koja omogućuje formalnu definiciju operatora oblika promatrane površine i posljedično njezinu funkcionalnu rekonstrukciju. Bilo koja pravilna i glatka (diferencijabilna) površina može se lokalno izraziti kao graf bivarijantne "funkcije visine" u odnosu na bilo koji </w:t>
      </w:r>
      <w:r>
        <w:rPr>
          <w:i/>
          <w:iCs/>
          <w:sz w:val="22"/>
          <w:szCs w:val="22"/>
        </w:rPr>
        <w:t>z</w:t>
      </w:r>
      <w:r>
        <w:rPr>
          <w:sz w:val="22"/>
          <w:szCs w:val="22"/>
        </w:rPr>
        <w:t xml:space="preserve">-smjer koji ne pripada tangencijalnom 2-D prostoru. Određivanje tzv. </w:t>
      </w:r>
      <w:r>
        <w:rPr>
          <w:i/>
          <w:iCs/>
          <w:sz w:val="22"/>
          <w:szCs w:val="22"/>
        </w:rPr>
        <w:t>z</w:t>
      </w:r>
      <w:r>
        <w:rPr>
          <w:sz w:val="22"/>
          <w:szCs w:val="22"/>
        </w:rPr>
        <w:t>-smjera je moguće transformacijom originalnog koordinatnog sustava koristeći analizu glavnih komponenti ili faktorsku analizu. Vektor normale tada se računa kao vektorski produkt parcijalne derivacije parametrizirane površine po tangencijalnim komponentama.</w:t>
      </w:r>
    </w:p>
    <w:p>
      <w:pPr>
        <w:pStyle w:val="Normal"/>
        <w:jc w:val="both"/>
        <w:rPr>
          <w:sz w:val="22"/>
          <w:szCs w:val="22"/>
        </w:rPr>
      </w:pPr>
      <w:r>
        <w:rPr>
          <w:sz w:val="22"/>
          <w:szCs w:val="22"/>
        </w:rPr>
      </w:r>
    </w:p>
    <w:p>
      <w:pPr>
        <w:pStyle w:val="Normal"/>
        <w:jc w:val="both"/>
        <w:rPr>
          <w:sz w:val="22"/>
          <w:szCs w:val="22"/>
        </w:rPr>
      </w:pPr>
      <w:r>
        <w:rPr>
          <w:b/>
          <w:bCs/>
          <w:sz w:val="22"/>
          <w:szCs w:val="22"/>
        </w:rPr>
        <w:t>Plošna integracija.</w:t>
      </w:r>
      <w:r>
        <w:rPr>
          <w:sz w:val="22"/>
          <w:szCs w:val="22"/>
        </w:rPr>
        <w:t xml:space="preserve"> Prethodno opisani proračun normala ne zahtjeva konstrukciju položajnih veza između točaka u 3-D prostoru u kojem se računa EM polje. Rekonstrukcija parametrizirane površine izvodi se funkcionalno primjenom 3-D interpolacijske tehnike iz čega se direktno izvode normalni vektori po interpoliranoj površini. Prilikom proračuna apsorbiranog polja, potrebno je definirati raspodjelu normalne komponente polja po površini što u je matematičkom smislu određeno skalarnim produktom vektorskog polja jediničnih normala i kompleksnih EM komponenti. Plošni integral vektorskog polja tada se može aproksimirati korištenjem 2-D Gauss-Legendreove kvadrature budući da samo polje (podintegralna funkcija) prolazi parametarskom površinom. Ova parametarska površina, postavljena okomito na smjer upada, predstavlja projekciju konformne površine u 2-D prostoru i integracijsku domenu. Važno je napomenuti da je konformna površine općenito veća od parametarske (fiksirana na predefiniranu vrijednost). Normalizacija, prilikom proračuna APD-a, se ostvaruje korištenjem vrijednosti površine odgovarajućeg konformnog područja.</w:t>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b/>
                <w:color w:val="000000"/>
                <w:sz w:val="22"/>
                <w:szCs w:val="22"/>
              </w:rPr>
            </w:pPr>
            <w:r>
              <w:rPr>
                <w:rFonts w:ascii="Calibri" w:hAnsi="Calibri"/>
                <w:b/>
                <w:color w:val="000000"/>
                <w:sz w:val="22"/>
                <w:szCs w:val="22"/>
              </w:rPr>
              <w:t>5. Očekivani znanstveni doprinos</w:t>
            </w:r>
          </w:p>
        </w:tc>
      </w:tr>
    </w:tbl>
    <w:p>
      <w:pPr>
        <w:pStyle w:val="Normal"/>
        <w:jc w:val="both"/>
        <w:rPr>
          <w:sz w:val="22"/>
          <w:szCs w:val="22"/>
        </w:rPr>
      </w:pPr>
      <w:r>
        <w:rPr>
          <w:sz w:val="22"/>
          <w:szCs w:val="22"/>
        </w:rPr>
        <w:t>U skladu s izloženom hipotezom doktorskog istraživanja uz odgovarajući opis i metodologiju, glavni očekivani znanstveni doprinos je realizacija tehnike i pripadnog računalnog alata za efikasno usrednjavanje dozimetrijskih veličina na površini zakrivljenih dijelova ljudskog tijela izloženih EM poljima iznad 6 GHz. Time bi se omogućio uvid u utjecaj geometrijskih obilježja površine tkiva, njegovih morfoloških obilježja, zakrivljenosti i geometrije područja usrednjavanja. Posredno, osigurali bi se i temelji za razvoj referentnih modela ekvivalentnih izloženom tkivu u budućim smjernicama i standardima za ograničenje izloženosti EM poljima do 300 GHz.</w:t>
      </w:r>
    </w:p>
    <w:p>
      <w:pPr>
        <w:pStyle w:val="Normal"/>
        <w:jc w:val="both"/>
        <w:rPr>
          <w:sz w:val="22"/>
          <w:szCs w:val="22"/>
        </w:rPr>
      </w:pPr>
      <w:r>
        <w:rPr>
          <w:sz w:val="22"/>
          <w:szCs w:val="22"/>
        </w:rPr>
      </w:r>
    </w:p>
    <w:p>
      <w:pPr>
        <w:pStyle w:val="Normal"/>
        <w:jc w:val="both"/>
        <w:rPr>
          <w:sz w:val="22"/>
          <w:szCs w:val="22"/>
        </w:rPr>
      </w:pPr>
      <w:r>
        <w:rPr>
          <w:sz w:val="22"/>
          <w:szCs w:val="22"/>
        </w:rPr>
        <w:t>Glavni doprinosi ovog rada su sljedeći:</w:t>
      </w:r>
    </w:p>
    <w:p>
      <w:pPr>
        <w:pStyle w:val="Normal"/>
        <w:numPr>
          <w:ilvl w:val="0"/>
          <w:numId w:val="4"/>
        </w:numPr>
        <w:jc w:val="both"/>
        <w:rPr>
          <w:sz w:val="22"/>
          <w:szCs w:val="22"/>
        </w:rPr>
      </w:pPr>
      <w:r>
        <w:rPr>
          <w:sz w:val="22"/>
          <w:szCs w:val="22"/>
        </w:rPr>
        <w:t>Razvijen je niz realističnih modela dijelova ljudskog tijela izloženih zračenju poljima iznad 6 GHz kojima se zamjenjuju dosadašnji ravni modeli široko zastupljeni u literaturi u svrhu vjernije aproksimacije zakrivljenih dijelova ljudskog tijela nepravilne strukture čiji je polumjer zakrivljenosti usporediv s valnom duljinom upadnog polja. Radi se o homogenom/slojevitom sfernom i cilindričnom modelu glave te homogenom/slojevitom anatomskom modelu vanjskog uha. Uho je odabrano zbog morfološke složenosti uslijed koje dolazi do izrazito heterogene raspodjele apsorbiranog polja, za razliku od ravnog, sfernog i cilindričnog modela. Također, vanjsko uho predstavlja najizloženiji dio tijela prilikom praktičnih scenarija izloženosti.</w:t>
      </w:r>
    </w:p>
    <w:p>
      <w:pPr>
        <w:pStyle w:val="Normal"/>
        <w:numPr>
          <w:ilvl w:val="0"/>
          <w:numId w:val="4"/>
        </w:numPr>
        <w:jc w:val="both"/>
        <w:rPr>
          <w:sz w:val="22"/>
          <w:szCs w:val="22"/>
        </w:rPr>
      </w:pPr>
      <w:r>
        <w:rPr>
          <w:sz w:val="22"/>
          <w:szCs w:val="22"/>
        </w:rPr>
        <w:t xml:space="preserve">Razvijen je algoritam automatskog otkrivanja područja tzv. vruće točke (eng. </w:t>
      </w:r>
      <w:r>
        <w:rPr>
          <w:i/>
          <w:iCs/>
          <w:sz w:val="22"/>
          <w:szCs w:val="22"/>
        </w:rPr>
        <w:t>hot-spot</w:t>
      </w:r>
      <w:r>
        <w:rPr>
          <w:sz w:val="22"/>
          <w:szCs w:val="22"/>
        </w:rPr>
        <w:t xml:space="preserve">) – ograničeno područje maksimalnog temperaturnog porasta u odnosu na prosječnu temperaturu okoline izvan utjecaja EM polja. Ova tehnika zasniva se na iterativnoj primjeni analize glavnih komponenta (eng. </w:t>
      </w:r>
      <w:r>
        <w:rPr>
          <w:i/>
          <w:iCs/>
          <w:sz w:val="22"/>
          <w:szCs w:val="22"/>
        </w:rPr>
        <w:t>principal component analysis</w:t>
      </w:r>
      <w:r>
        <w:rPr>
          <w:sz w:val="22"/>
          <w:szCs w:val="22"/>
        </w:rPr>
        <w:t>, PCA) ili faktorske analize koristeći bilo zakrivljene modele jednostavne geometrije ili anatomske modele transformirane u neorganizirani oblak točaka – komplet 3-D koordinata, gdje svaka koordinata predstavlja jednu točku na površini modela.</w:t>
      </w:r>
    </w:p>
    <w:p>
      <w:pPr>
        <w:pStyle w:val="Normal"/>
        <w:numPr>
          <w:ilvl w:val="0"/>
          <w:numId w:val="4"/>
        </w:numPr>
        <w:jc w:val="both"/>
        <w:rPr>
          <w:sz w:val="22"/>
          <w:szCs w:val="22"/>
        </w:rPr>
      </w:pPr>
      <w:r>
        <w:rPr>
          <w:sz w:val="22"/>
          <w:szCs w:val="22"/>
        </w:rPr>
        <w:t>Proveden je proračun usrednjene gustoće apsorbirane i upadne EM snage koristeći rigorozne matematičke definicije temeljene na plošnoj integraciji vektorskog toka gustoće snage kroz kontrolnu površinu proizvoljnog oblika. Kako je temeljni dio podintegralne funkcije plošnog integrala diferencijal elementa integracijske domene, potrebno je odrediti i raspodjelu normalnih vektora na površini modela. Doprinos ove doktorske disertacije je i razvoj napredne, efikasne numeričke tehnike za procjenu plošnog integrala skalarnog i vektorskog polja, u potpunosti neovisne o ishodišnoj EM metodi.</w:t>
      </w:r>
    </w:p>
    <w:p>
      <w:pPr>
        <w:pStyle w:val="Normal"/>
        <w:jc w:val="both"/>
        <w:rPr>
          <w:sz w:val="22"/>
          <w:szCs w:val="22"/>
        </w:rPr>
      </w:pPr>
      <w:r>
        <w:rPr>
          <w:sz w:val="22"/>
          <w:szCs w:val="22"/>
        </w:rPr>
      </w:r>
    </w:p>
    <w:p>
      <w:pPr>
        <w:pStyle w:val="Normal"/>
        <w:jc w:val="both"/>
        <w:rPr>
          <w:sz w:val="22"/>
          <w:szCs w:val="22"/>
        </w:rPr>
      </w:pPr>
      <w:r>
        <w:rPr>
          <w:sz w:val="22"/>
          <w:szCs w:val="22"/>
        </w:rPr>
        <w:t>Osim znanstvenog doprinosa, daljnja primjena rezultata istraživanja predložene doktorske disertacije bi ostvarila i:</w:t>
      </w:r>
    </w:p>
    <w:p>
      <w:pPr>
        <w:pStyle w:val="Normal"/>
        <w:numPr>
          <w:ilvl w:val="0"/>
          <w:numId w:val="3"/>
        </w:numPr>
        <w:jc w:val="both"/>
        <w:rPr>
          <w:sz w:val="22"/>
          <w:szCs w:val="22"/>
        </w:rPr>
      </w:pPr>
      <w:r>
        <w:rPr>
          <w:sz w:val="22"/>
          <w:szCs w:val="22"/>
        </w:rPr>
        <w:t>potvrdu valjanosti gustoće apsorbirane snage kao temeljnog ograničenja za procjenu temperaturnog porasta za lokalnu izloženost zakrivljenih dijelova tijela iznad 6 GHz u stacionarnom stanju;</w:t>
      </w:r>
    </w:p>
    <w:p>
      <w:pPr>
        <w:pStyle w:val="Normal"/>
        <w:numPr>
          <w:ilvl w:val="0"/>
          <w:numId w:val="3"/>
        </w:numPr>
        <w:jc w:val="both"/>
        <w:rPr>
          <w:sz w:val="22"/>
          <w:szCs w:val="22"/>
        </w:rPr>
      </w:pPr>
      <w:r>
        <w:rPr>
          <w:sz w:val="22"/>
          <w:szCs w:val="22"/>
        </w:rPr>
        <w:t>uvid o efikasnosti zakrivljenih i anatomskih modela za EM dozimetriju pri visokim frekvencijama kao temelj buduće rasprave i djelatnosti radne grupe 7 pod IEEE/ICES TC 95 SC 6 za EM dozimetrijsko modeliranje; i</w:t>
      </w:r>
    </w:p>
    <w:p>
      <w:pPr>
        <w:pStyle w:val="Normal"/>
        <w:numPr>
          <w:ilvl w:val="0"/>
          <w:numId w:val="3"/>
        </w:numPr>
        <w:jc w:val="both"/>
        <w:rPr>
          <w:sz w:val="22"/>
          <w:szCs w:val="22"/>
        </w:rPr>
      </w:pPr>
      <w:r>
        <w:rPr>
          <w:sz w:val="22"/>
          <w:szCs w:val="22"/>
        </w:rPr>
        <w:t>temelje za diskusiju o realizaciji zakrivljenih modela kao referentnih za buduće generacije ICNIRP smjernica i IEEE standarda.</w:t>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b/>
                <w:color w:val="000000"/>
                <w:sz w:val="22"/>
                <w:szCs w:val="22"/>
              </w:rPr>
            </w:pPr>
            <w:r>
              <w:rPr>
                <w:rFonts w:ascii="Calibri" w:hAnsi="Calibri"/>
                <w:b/>
                <w:color w:val="000000"/>
                <w:sz w:val="22"/>
                <w:szCs w:val="22"/>
              </w:rPr>
              <w:t>6. Bibliografski podaci o relevantnoj literaturi</w:t>
            </w:r>
          </w:p>
        </w:tc>
      </w:tr>
    </w:tbl>
    <w:p>
      <w:pPr>
        <w:pStyle w:val="Normal"/>
        <w:numPr>
          <w:ilvl w:val="0"/>
          <w:numId w:val="5"/>
        </w:numPr>
        <w:jc w:val="both"/>
        <w:rPr/>
      </w:pPr>
      <w:r>
        <w:rPr>
          <w:sz w:val="22"/>
          <w:szCs w:val="22"/>
        </w:rPr>
        <w:t xml:space="preserve">T. S. Rappaport, S. Sun, R. Mayzus, H. Zhao, Y. Azar, K. Wang, G. N. Wong, J. K. Schulz, M. Samimi, and F. Gutierrez. “Millimeter wave mobile communications for 5G cellular: It will work!” </w:t>
      </w:r>
      <w:r>
        <w:rPr>
          <w:rStyle w:val="DefaultParagraphFont"/>
          <w:i/>
          <w:iCs/>
          <w:sz w:val="22"/>
          <w:szCs w:val="22"/>
        </w:rPr>
        <w:t>IEEE Access</w:t>
      </w:r>
      <w:r>
        <w:rPr>
          <w:sz w:val="22"/>
          <w:szCs w:val="22"/>
        </w:rPr>
        <w:t>, 1:335-349, 2013.</w:t>
      </w:r>
    </w:p>
    <w:p>
      <w:pPr>
        <w:pStyle w:val="Normal"/>
        <w:numPr>
          <w:ilvl w:val="0"/>
          <w:numId w:val="5"/>
        </w:numPr>
        <w:jc w:val="both"/>
        <w:rPr/>
      </w:pPr>
      <w:r>
        <w:rPr>
          <w:sz w:val="22"/>
          <w:szCs w:val="22"/>
        </w:rPr>
        <w:t xml:space="preserve">J. G. Andrews, S. Buzzi, W. Choi, S. V. Hanly, A. Lozano, A. C. K. Soong, and J. C. Zhang. “What will 5G be?” </w:t>
      </w:r>
      <w:r>
        <w:rPr>
          <w:rStyle w:val="DefaultParagraphFont"/>
          <w:i/>
          <w:iCs/>
          <w:sz w:val="22"/>
          <w:szCs w:val="22"/>
        </w:rPr>
        <w:t>IEEE Journal on Selected Areas in Communications</w:t>
      </w:r>
      <w:r>
        <w:rPr>
          <w:sz w:val="22"/>
          <w:szCs w:val="22"/>
        </w:rPr>
        <w:t>, 32(6):1065-1082, 2014.</w:t>
      </w:r>
    </w:p>
    <w:p>
      <w:pPr>
        <w:pStyle w:val="Normal"/>
        <w:numPr>
          <w:ilvl w:val="0"/>
          <w:numId w:val="5"/>
        </w:numPr>
        <w:jc w:val="both"/>
        <w:rPr/>
      </w:pPr>
      <w:r>
        <w:rPr>
          <w:sz w:val="22"/>
          <w:szCs w:val="22"/>
        </w:rPr>
        <w:t xml:space="preserve">M. Zhadobov, N. Chahat, R. Sauleau, C. Le Quement, and Y. Le Drean. “Millimeter-wave interactions with the human body: state of knowledge and recent advances.” </w:t>
      </w:r>
      <w:r>
        <w:rPr>
          <w:rStyle w:val="DefaultParagraphFont"/>
          <w:i/>
          <w:iCs/>
          <w:sz w:val="22"/>
          <w:szCs w:val="22"/>
        </w:rPr>
        <w:t>International Journal of Microwave and Wireless Technologies</w:t>
      </w:r>
      <w:r>
        <w:rPr>
          <w:sz w:val="22"/>
          <w:szCs w:val="22"/>
        </w:rPr>
        <w:t>, 3(2):237-247, 2011.</w:t>
      </w:r>
    </w:p>
    <w:p>
      <w:pPr>
        <w:pStyle w:val="Normal"/>
        <w:numPr>
          <w:ilvl w:val="0"/>
          <w:numId w:val="5"/>
        </w:numPr>
        <w:jc w:val="both"/>
        <w:rPr/>
      </w:pPr>
      <w:r>
        <w:rPr>
          <w:sz w:val="22"/>
          <w:szCs w:val="22"/>
        </w:rPr>
        <w:t xml:space="preserve">T. Wu, T. S. Rappaport, and C. M. Collins. “Safe for generations to come: Considerations of safety for millimeter waves in wireless communications.” </w:t>
      </w:r>
      <w:r>
        <w:rPr>
          <w:rStyle w:val="DefaultParagraphFont"/>
          <w:i/>
          <w:iCs/>
          <w:sz w:val="22"/>
          <w:szCs w:val="22"/>
        </w:rPr>
        <w:t>IEEE Microwave Magazine</w:t>
      </w:r>
      <w:r>
        <w:rPr>
          <w:sz w:val="22"/>
          <w:szCs w:val="22"/>
        </w:rPr>
        <w:t>, 16(2):65-84, 2015.</w:t>
      </w:r>
    </w:p>
    <w:p>
      <w:pPr>
        <w:pStyle w:val="Normal"/>
        <w:numPr>
          <w:ilvl w:val="0"/>
          <w:numId w:val="5"/>
        </w:numPr>
        <w:jc w:val="both"/>
        <w:rPr>
          <w:sz w:val="22"/>
          <w:szCs w:val="22"/>
        </w:rPr>
      </w:pPr>
      <w:r>
        <w:rPr>
          <w:sz w:val="22"/>
          <w:szCs w:val="22"/>
        </w:rPr>
        <w:t>R. F. Cleveland and J. L. Ulcek. “Questions and answers about biological effects and potential hazards of radio-frequency electromagnetic fields.” Federal Communication Commission, Office of Engineering and Technology Bulletin, 56, 1999.</w:t>
      </w:r>
    </w:p>
    <w:p>
      <w:pPr>
        <w:pStyle w:val="Normal"/>
        <w:numPr>
          <w:ilvl w:val="0"/>
          <w:numId w:val="5"/>
        </w:numPr>
        <w:jc w:val="both"/>
        <w:rPr/>
      </w:pPr>
      <w:r>
        <w:rPr>
          <w:sz w:val="22"/>
          <w:szCs w:val="22"/>
        </w:rPr>
        <w:t xml:space="preserve">Y. Le Dréan, Y. S. Mahamoud, Y. Le Page, D. Habauzit, C. Le Quément, M. Zhadobov, and R. Sauleau. “State of knowledge on biological effects at 40-60 GHz.” </w:t>
      </w:r>
      <w:r>
        <w:rPr>
          <w:rStyle w:val="DefaultParagraphFont"/>
          <w:i/>
          <w:iCs/>
          <w:sz w:val="22"/>
          <w:szCs w:val="22"/>
        </w:rPr>
        <w:t>Comptes Rendus Physique</w:t>
      </w:r>
      <w:r>
        <w:rPr>
          <w:sz w:val="22"/>
          <w:szCs w:val="22"/>
        </w:rPr>
        <w:t>, 14(5):402-411, 2013.</w:t>
      </w:r>
    </w:p>
    <w:p>
      <w:pPr>
        <w:pStyle w:val="Normal"/>
        <w:numPr>
          <w:ilvl w:val="0"/>
          <w:numId w:val="5"/>
        </w:numPr>
        <w:jc w:val="both"/>
        <w:rPr/>
      </w:pPr>
      <w:r>
        <w:rPr>
          <w:sz w:val="22"/>
          <w:szCs w:val="22"/>
        </w:rPr>
        <w:t xml:space="preserve">S. Romanenko, R. Begley, A. R. Harvey, L. Hool, and V. P. Wallace. “The interaction between electromagnetic fields at megahertz, gigahertz and terahertz frequencies with cells, tissues and organisms: Risks and potential.” </w:t>
      </w:r>
      <w:r>
        <w:rPr>
          <w:rStyle w:val="DefaultParagraphFont"/>
          <w:i/>
          <w:iCs/>
          <w:sz w:val="22"/>
          <w:szCs w:val="22"/>
        </w:rPr>
        <w:t>Journal of The Royal Society Interface</w:t>
      </w:r>
      <w:r>
        <w:rPr>
          <w:sz w:val="22"/>
          <w:szCs w:val="22"/>
        </w:rPr>
        <w:t>, 14(137):20170585, 2017.</w:t>
      </w:r>
    </w:p>
    <w:p>
      <w:pPr>
        <w:pStyle w:val="Normal"/>
        <w:numPr>
          <w:ilvl w:val="0"/>
          <w:numId w:val="5"/>
        </w:numPr>
        <w:jc w:val="both"/>
        <w:rPr/>
      </w:pPr>
      <w:r>
        <w:rPr>
          <w:sz w:val="22"/>
          <w:szCs w:val="22"/>
        </w:rPr>
        <w:t xml:space="preserve">International Commission on Non-Ionizing Radiation Protection (ICNIRP). “Principles for non-ionizing radiation protection.” </w:t>
      </w:r>
      <w:r>
        <w:rPr>
          <w:rStyle w:val="DefaultParagraphFont"/>
          <w:i/>
          <w:iCs/>
          <w:sz w:val="22"/>
          <w:szCs w:val="22"/>
        </w:rPr>
        <w:t>Health Physics</w:t>
      </w:r>
      <w:r>
        <w:rPr>
          <w:sz w:val="22"/>
          <w:szCs w:val="22"/>
        </w:rPr>
        <w:t>, 118(5):477-482, 2020.</w:t>
      </w:r>
    </w:p>
    <w:p>
      <w:pPr>
        <w:pStyle w:val="Normal"/>
        <w:numPr>
          <w:ilvl w:val="0"/>
          <w:numId w:val="5"/>
        </w:numPr>
        <w:jc w:val="both"/>
        <w:rPr/>
      </w:pPr>
      <w:r>
        <w:rPr>
          <w:sz w:val="22"/>
          <w:szCs w:val="22"/>
        </w:rPr>
        <w:t xml:space="preserve">A. Hirata, Y. Diao, T. Onishi, K. Sasaki, S. Ahn, D. Colombi, V. De Santis, I. Laakso, L. Giaccone, W. Joseph, E. A. Rashed, W. Kainz, and J. Chen. “Assessment of human exposure to electromagnetic fields: Review and future directions.” </w:t>
      </w:r>
      <w:r>
        <w:rPr>
          <w:rStyle w:val="DefaultParagraphFont"/>
          <w:i/>
          <w:iCs/>
          <w:sz w:val="22"/>
          <w:szCs w:val="22"/>
        </w:rPr>
        <w:t>IEEE Transactions on Electromagnetic Compatibility</w:t>
      </w:r>
      <w:r>
        <w:rPr>
          <w:sz w:val="22"/>
          <w:szCs w:val="22"/>
        </w:rPr>
        <w:t>, 63(5):1619-1630, 2021.</w:t>
      </w:r>
    </w:p>
    <w:p>
      <w:pPr>
        <w:pStyle w:val="Normal"/>
        <w:numPr>
          <w:ilvl w:val="0"/>
          <w:numId w:val="5"/>
        </w:numPr>
        <w:jc w:val="both"/>
        <w:rPr/>
      </w:pPr>
      <w:r>
        <w:rPr>
          <w:sz w:val="22"/>
          <w:szCs w:val="22"/>
        </w:rPr>
        <w:t xml:space="preserve">International Commission on Non-Ionizing Radiation Protection (ICNIRP). “Guidelines for limiting exposure to electromagnetic fields (100 kHz to 300 GHz).” </w:t>
      </w:r>
      <w:r>
        <w:rPr>
          <w:rStyle w:val="DefaultParagraphFont"/>
          <w:i/>
          <w:iCs/>
          <w:sz w:val="22"/>
          <w:szCs w:val="22"/>
        </w:rPr>
        <w:t>Health Physics</w:t>
      </w:r>
      <w:r>
        <w:rPr>
          <w:sz w:val="22"/>
          <w:szCs w:val="22"/>
        </w:rPr>
        <w:t>, 118:483-524, 2020.</w:t>
      </w:r>
    </w:p>
    <w:p>
      <w:pPr>
        <w:pStyle w:val="Normal"/>
        <w:numPr>
          <w:ilvl w:val="0"/>
          <w:numId w:val="5"/>
        </w:numPr>
        <w:jc w:val="both"/>
        <w:rPr>
          <w:sz w:val="22"/>
          <w:szCs w:val="22"/>
        </w:rPr>
      </w:pPr>
      <w:r>
        <w:rPr>
          <w:sz w:val="22"/>
          <w:szCs w:val="22"/>
        </w:rPr>
        <w:t>IEEE standard for safety levels with respect to human exposure to electric, magnetic, and electromagnetic fields, 0 Hz to 300 GHz. IEEE Std C95.1-2019 (Revision of IEEE Std C95.1-2005/ Incorporates IEEE Std C95.1-2019/Cor 1-2019), 2019.</w:t>
      </w:r>
    </w:p>
    <w:p>
      <w:pPr>
        <w:pStyle w:val="Normal"/>
        <w:numPr>
          <w:ilvl w:val="0"/>
          <w:numId w:val="5"/>
        </w:numPr>
        <w:jc w:val="both"/>
        <w:rPr/>
      </w:pPr>
      <w:r>
        <w:rPr>
          <w:sz w:val="22"/>
          <w:szCs w:val="22"/>
        </w:rPr>
        <w:t xml:space="preserve">A. M. J. van den Heuvel, B. J. Haberley, D. J. R. Hoyle, N. A. S. Taylor, and R. J. Croft. “The independent influences of heat strain and dehydration upon cognition.” </w:t>
      </w:r>
      <w:r>
        <w:rPr>
          <w:rStyle w:val="DefaultParagraphFont"/>
          <w:i/>
          <w:iCs/>
          <w:sz w:val="22"/>
          <w:szCs w:val="22"/>
        </w:rPr>
        <w:t>European Journal of Applied Physiology</w:t>
      </w:r>
      <w:r>
        <w:rPr>
          <w:sz w:val="22"/>
          <w:szCs w:val="22"/>
        </w:rPr>
        <w:t>, 117:1025-1037, 2017.</w:t>
      </w:r>
    </w:p>
    <w:p>
      <w:pPr>
        <w:pStyle w:val="Normal"/>
        <w:numPr>
          <w:ilvl w:val="0"/>
          <w:numId w:val="5"/>
        </w:numPr>
        <w:jc w:val="both"/>
        <w:rPr/>
      </w:pPr>
      <w:r>
        <w:rPr>
          <w:sz w:val="22"/>
          <w:szCs w:val="22"/>
        </w:rPr>
        <w:t xml:space="preserve">T. J. Walters, D. W. Blick, L. R. Johnson, E. R. Adair, and K R Foster. “Heating and pain sensation produced in human skin by millimeter waves: Comparison to a simple thermal model.” </w:t>
      </w:r>
      <w:r>
        <w:rPr>
          <w:rStyle w:val="DefaultParagraphFont"/>
          <w:i/>
          <w:iCs/>
          <w:sz w:val="22"/>
          <w:szCs w:val="22"/>
        </w:rPr>
        <w:t>Health Physics</w:t>
      </w:r>
      <w:r>
        <w:rPr>
          <w:sz w:val="22"/>
          <w:szCs w:val="22"/>
        </w:rPr>
        <w:t>, 78:259-267, 2000.</w:t>
      </w:r>
    </w:p>
    <w:p>
      <w:pPr>
        <w:pStyle w:val="Normal"/>
        <w:numPr>
          <w:ilvl w:val="0"/>
          <w:numId w:val="5"/>
        </w:numPr>
        <w:jc w:val="both"/>
        <w:rPr/>
      </w:pPr>
      <w:r>
        <w:rPr>
          <w:sz w:val="22"/>
          <w:szCs w:val="22"/>
        </w:rPr>
        <w:t xml:space="preserve">M. W. Dewhirst, B. L. Viglianti, M. Lora-Michiels, M. Hanson, and P. J. Hoopes. “Basic principles of thermal dosimetry and thermal thresholds for tissue damage from hyperthermia.” </w:t>
      </w:r>
      <w:r>
        <w:rPr>
          <w:rStyle w:val="DefaultParagraphFont"/>
          <w:i/>
          <w:iCs/>
          <w:sz w:val="22"/>
          <w:szCs w:val="22"/>
        </w:rPr>
        <w:t>International Journal of Hyperthermia</w:t>
      </w:r>
      <w:r>
        <w:rPr>
          <w:sz w:val="22"/>
          <w:szCs w:val="22"/>
        </w:rPr>
        <w:t>, 19(3):267-294, 2003.</w:t>
      </w:r>
    </w:p>
    <w:p>
      <w:pPr>
        <w:pStyle w:val="Normal"/>
        <w:numPr>
          <w:ilvl w:val="0"/>
          <w:numId w:val="5"/>
        </w:numPr>
        <w:jc w:val="both"/>
        <w:rPr/>
      </w:pPr>
      <w:r>
        <w:rPr>
          <w:sz w:val="22"/>
          <w:szCs w:val="22"/>
        </w:rPr>
        <w:t>A. Hirata, D. Funahashi, and S. Kodera. “Setting exposure guidelines and product safety standards for radio-frequency exposure at frequencies above 6 GHz: Brief review.” A</w:t>
      </w:r>
      <w:r>
        <w:rPr>
          <w:rStyle w:val="DefaultParagraphFont"/>
          <w:i/>
          <w:iCs/>
          <w:sz w:val="22"/>
          <w:szCs w:val="22"/>
        </w:rPr>
        <w:t>nnals of Telecommunications</w:t>
      </w:r>
      <w:r>
        <w:rPr>
          <w:sz w:val="22"/>
          <w:szCs w:val="22"/>
        </w:rPr>
        <w:t>, 74:17-24, 2019.</w:t>
      </w:r>
    </w:p>
    <w:p>
      <w:pPr>
        <w:pStyle w:val="Normal"/>
        <w:numPr>
          <w:ilvl w:val="0"/>
          <w:numId w:val="5"/>
        </w:numPr>
        <w:jc w:val="both"/>
        <w:rPr/>
      </w:pPr>
      <w:r>
        <w:rPr>
          <w:sz w:val="22"/>
          <w:szCs w:val="22"/>
        </w:rPr>
        <w:t xml:space="preserve">Ministarstvo zdravstva RH. “Pravilnik o zaštiti od elektromagnetskih polja,” </w:t>
      </w:r>
      <w:r>
        <w:rPr>
          <w:rStyle w:val="DefaultParagraphFont"/>
          <w:i/>
          <w:iCs/>
          <w:sz w:val="22"/>
          <w:szCs w:val="22"/>
        </w:rPr>
        <w:t>online</w:t>
      </w:r>
      <w:r>
        <w:rPr>
          <w:sz w:val="22"/>
          <w:szCs w:val="22"/>
        </w:rPr>
        <w:t xml:space="preserve">: </w:t>
      </w:r>
      <w:hyperlink r:id="rId2" w:tgtFrame="_top">
        <w:r>
          <w:rPr>
            <w:rStyle w:val="InternetLink"/>
            <w:sz w:val="22"/>
            <w:szCs w:val="22"/>
          </w:rPr>
          <w:t>https://narodne-novine.nn.hr/clanci/sluzbeni/2014_12_146_2740.html</w:t>
        </w:r>
      </w:hyperlink>
      <w:r>
        <w:rPr>
          <w:sz w:val="22"/>
          <w:szCs w:val="22"/>
        </w:rPr>
        <w:t xml:space="preserve"> (pristupljeno 28.2.2022.), 2014.</w:t>
      </w:r>
    </w:p>
    <w:p>
      <w:pPr>
        <w:pStyle w:val="Normal"/>
        <w:numPr>
          <w:ilvl w:val="0"/>
          <w:numId w:val="5"/>
        </w:numPr>
        <w:jc w:val="both"/>
        <w:rPr/>
      </w:pPr>
      <w:r>
        <w:rPr>
          <w:sz w:val="22"/>
          <w:szCs w:val="22"/>
        </w:rPr>
        <w:t xml:space="preserve">Ministarstvo zdravstva RH. “Pravilnik o izmjenama i dopunama pravilnika o zaštiti od elektromagnetskih polja,” </w:t>
      </w:r>
      <w:r>
        <w:rPr>
          <w:rStyle w:val="DefaultParagraphFont"/>
          <w:i/>
          <w:iCs/>
          <w:sz w:val="22"/>
          <w:szCs w:val="22"/>
        </w:rPr>
        <w:t xml:space="preserve">online: </w:t>
      </w:r>
      <w:hyperlink r:id="rId3" w:tgtFrame="_top">
        <w:r>
          <w:rPr>
            <w:rStyle w:val="InternetLink"/>
            <w:i/>
            <w:iCs/>
            <w:sz w:val="22"/>
            <w:szCs w:val="22"/>
          </w:rPr>
          <w:t>https://narodne-novine.nn.hr/clanci/sluzbeni/2019_03_31_627.html</w:t>
        </w:r>
      </w:hyperlink>
      <w:r>
        <w:rPr>
          <w:rStyle w:val="DefaultParagraphFont"/>
          <w:i/>
          <w:iCs/>
          <w:sz w:val="22"/>
          <w:szCs w:val="22"/>
        </w:rPr>
        <w:t xml:space="preserve"> (pristupljeno 28.2.2023.),</w:t>
      </w:r>
      <w:r>
        <w:rPr>
          <w:sz w:val="22"/>
          <w:szCs w:val="22"/>
        </w:rPr>
        <w:t xml:space="preserve"> 2019.</w:t>
      </w:r>
    </w:p>
    <w:p>
      <w:pPr>
        <w:pStyle w:val="Normal"/>
        <w:numPr>
          <w:ilvl w:val="0"/>
          <w:numId w:val="5"/>
        </w:numPr>
        <w:jc w:val="both"/>
        <w:rPr/>
      </w:pPr>
      <w:r>
        <w:rPr>
          <w:sz w:val="22"/>
          <w:szCs w:val="22"/>
        </w:rPr>
        <w:t xml:space="preserve">D. Colombi, B. Thors, and C. Törnevik. “Implications of emf exposure limits on output power levels for 5G devices above 6 GHz.” </w:t>
      </w:r>
      <w:r>
        <w:rPr>
          <w:rStyle w:val="DefaultParagraphFont"/>
          <w:i/>
          <w:iCs/>
          <w:sz w:val="22"/>
          <w:szCs w:val="22"/>
        </w:rPr>
        <w:t>IEEE Antennas and Wireless Propagation Letters</w:t>
      </w:r>
      <w:r>
        <w:rPr>
          <w:sz w:val="22"/>
          <w:szCs w:val="22"/>
        </w:rPr>
        <w:t>, 14:1247-1249, 2015.</w:t>
      </w:r>
    </w:p>
    <w:p>
      <w:pPr>
        <w:pStyle w:val="Normal"/>
        <w:numPr>
          <w:ilvl w:val="0"/>
          <w:numId w:val="5"/>
        </w:numPr>
        <w:jc w:val="both"/>
        <w:rPr/>
      </w:pPr>
      <w:r>
        <w:rPr>
          <w:sz w:val="22"/>
          <w:szCs w:val="22"/>
        </w:rPr>
        <w:t xml:space="preserve">K. Sasaki, M. Mizuno, K. Wake, and S. Watanabe. “Monte Carlo simulations of skin exposure to electromagnetic field from 10 GHz to 1 THz.” </w:t>
      </w:r>
      <w:r>
        <w:rPr>
          <w:rStyle w:val="DefaultParagraphFont"/>
          <w:i/>
          <w:iCs/>
          <w:sz w:val="22"/>
          <w:szCs w:val="22"/>
        </w:rPr>
        <w:t>Physics in Medicine &amp; Biology</w:t>
      </w:r>
      <w:r>
        <w:rPr>
          <w:sz w:val="22"/>
          <w:szCs w:val="22"/>
        </w:rPr>
        <w:t>, 62:6993-7010, 2017.</w:t>
      </w:r>
    </w:p>
    <w:p>
      <w:pPr>
        <w:pStyle w:val="Normal"/>
        <w:numPr>
          <w:ilvl w:val="0"/>
          <w:numId w:val="5"/>
        </w:numPr>
        <w:jc w:val="both"/>
        <w:rPr/>
      </w:pPr>
      <w:r>
        <w:rPr>
          <w:sz w:val="22"/>
          <w:szCs w:val="22"/>
        </w:rPr>
        <w:t xml:space="preserve">Y. Hashimoto, A. Hirata, R. Morimoto, S. Aonuma, I. Laakso, K. Jokela, and K. Foster. “On the averaging area for incident power density for human exposure limits at frequencies over 6 GHz.” </w:t>
      </w:r>
      <w:r>
        <w:rPr>
          <w:rStyle w:val="DefaultParagraphFont"/>
          <w:i/>
          <w:iCs/>
          <w:sz w:val="22"/>
          <w:szCs w:val="22"/>
        </w:rPr>
        <w:t>Physics in Medicine &amp; Biology</w:t>
      </w:r>
      <w:r>
        <w:rPr>
          <w:sz w:val="22"/>
          <w:szCs w:val="22"/>
        </w:rPr>
        <w:t>, 62(8):3124-3138, 2017.</w:t>
      </w:r>
    </w:p>
    <w:p>
      <w:pPr>
        <w:pStyle w:val="Normal"/>
        <w:numPr>
          <w:ilvl w:val="0"/>
          <w:numId w:val="5"/>
        </w:numPr>
        <w:jc w:val="both"/>
        <w:rPr/>
      </w:pPr>
      <w:r>
        <w:rPr>
          <w:sz w:val="22"/>
          <w:szCs w:val="22"/>
        </w:rPr>
        <w:t xml:space="preserve">K. R Foster, M. C Ziskin, and Q. Balzano. “Thermal response of human skin to microwave energy: A critical review.” </w:t>
      </w:r>
      <w:r>
        <w:rPr>
          <w:rStyle w:val="DefaultParagraphFont"/>
          <w:i/>
          <w:iCs/>
          <w:sz w:val="22"/>
          <w:szCs w:val="22"/>
        </w:rPr>
        <w:t>Health Physics</w:t>
      </w:r>
      <w:r>
        <w:rPr>
          <w:sz w:val="22"/>
          <w:szCs w:val="22"/>
        </w:rPr>
        <w:t>, 111(6):528-541, 2016.</w:t>
      </w:r>
    </w:p>
    <w:p>
      <w:pPr>
        <w:pStyle w:val="Normal"/>
        <w:numPr>
          <w:ilvl w:val="0"/>
          <w:numId w:val="5"/>
        </w:numPr>
        <w:jc w:val="both"/>
        <w:rPr/>
      </w:pPr>
      <w:r>
        <w:rPr>
          <w:sz w:val="22"/>
          <w:szCs w:val="22"/>
        </w:rPr>
        <w:t xml:space="preserve">V. De Santis, A. Di Francesco, G. Bit-Babik, J. Roman, and W. El Hajj. “On the correlation between incident power density and temperature increase for exposures at frequencies above 6 GHz.” </w:t>
      </w:r>
      <w:r>
        <w:rPr>
          <w:rStyle w:val="DefaultParagraphFont"/>
          <w:i/>
          <w:iCs/>
          <w:sz w:val="22"/>
          <w:szCs w:val="22"/>
        </w:rPr>
        <w:t>IEEE Access</w:t>
      </w:r>
      <w:r>
        <w:rPr>
          <w:sz w:val="22"/>
          <w:szCs w:val="22"/>
        </w:rPr>
        <w:t>, 10:82236-82245, 2022.</w:t>
      </w:r>
    </w:p>
    <w:p>
      <w:pPr>
        <w:pStyle w:val="Normal"/>
        <w:numPr>
          <w:ilvl w:val="0"/>
          <w:numId w:val="5"/>
        </w:numPr>
        <w:jc w:val="both"/>
        <w:rPr/>
      </w:pPr>
      <w:r>
        <w:rPr>
          <w:sz w:val="22"/>
          <w:szCs w:val="22"/>
        </w:rPr>
        <w:t xml:space="preserve">A. Hirata. “Review on human dosimetry for radio-frequency exposure above 6 GHz - international exposure standards.” </w:t>
      </w:r>
      <w:r>
        <w:rPr>
          <w:rStyle w:val="DefaultParagraphFont"/>
          <w:i/>
          <w:iCs/>
          <w:sz w:val="22"/>
          <w:szCs w:val="22"/>
        </w:rPr>
        <w:t>In proceedings of Asia-Pacific Microwave Conference</w:t>
      </w:r>
      <w:r>
        <w:rPr>
          <w:sz w:val="22"/>
          <w:szCs w:val="22"/>
        </w:rPr>
        <w:t>, 681-683, 2018.</w:t>
      </w:r>
    </w:p>
    <w:p>
      <w:pPr>
        <w:pStyle w:val="Normal"/>
        <w:numPr>
          <w:ilvl w:val="0"/>
          <w:numId w:val="5"/>
        </w:numPr>
        <w:jc w:val="both"/>
        <w:rPr/>
      </w:pPr>
      <w:r>
        <w:rPr>
          <w:sz w:val="22"/>
          <w:szCs w:val="22"/>
        </w:rPr>
        <w:t xml:space="preserve">D. Funahashi, A. Hirata, S. Kodera, and K. R. Foster. “Area-averaged transmitted power density at skin surface as metric to estimate surface temperature elevation.” </w:t>
      </w:r>
      <w:r>
        <w:rPr>
          <w:rStyle w:val="DefaultParagraphFont"/>
          <w:i/>
          <w:iCs/>
          <w:sz w:val="22"/>
          <w:szCs w:val="22"/>
        </w:rPr>
        <w:t>IEEE Access</w:t>
      </w:r>
      <w:r>
        <w:rPr>
          <w:sz w:val="22"/>
          <w:szCs w:val="22"/>
        </w:rPr>
        <w:t>, 6:77665-77674, 2018.</w:t>
      </w:r>
    </w:p>
    <w:p>
      <w:pPr>
        <w:pStyle w:val="Normal"/>
        <w:numPr>
          <w:ilvl w:val="0"/>
          <w:numId w:val="5"/>
        </w:numPr>
        <w:jc w:val="both"/>
        <w:rPr/>
      </w:pPr>
      <w:r>
        <w:rPr>
          <w:sz w:val="22"/>
          <w:szCs w:val="22"/>
        </w:rPr>
        <w:t xml:space="preserve">A. Hirata, S. Kodera, K. Sasaki, J. Gomez-Tames, I. Laakso, A. Wood, S. Watanabe, and K. R. Foster. “Human exposure to radio-frequency energy above 6 GHz: Review of computational dosimetry studies.” </w:t>
      </w:r>
      <w:r>
        <w:rPr>
          <w:rStyle w:val="DefaultParagraphFont"/>
          <w:i/>
          <w:iCs/>
          <w:sz w:val="22"/>
          <w:szCs w:val="22"/>
        </w:rPr>
        <w:t>Physics in Medicine &amp; Biology</w:t>
      </w:r>
      <w:r>
        <w:rPr>
          <w:sz w:val="22"/>
          <w:szCs w:val="22"/>
        </w:rPr>
        <w:t>, 66(8):08TR01, 2021.</w:t>
      </w:r>
    </w:p>
    <w:p>
      <w:pPr>
        <w:pStyle w:val="Normal"/>
        <w:numPr>
          <w:ilvl w:val="0"/>
          <w:numId w:val="5"/>
        </w:numPr>
        <w:jc w:val="both"/>
        <w:rPr/>
      </w:pPr>
      <w:r>
        <w:rPr>
          <w:sz w:val="22"/>
          <w:szCs w:val="22"/>
        </w:rPr>
        <w:t xml:space="preserve">G. Sacco, Z. Haider, and M. Zhadobov. “Exposure levels induced in curved body parts at mmWaves.” </w:t>
      </w:r>
      <w:r>
        <w:rPr>
          <w:rStyle w:val="DefaultParagraphFont"/>
          <w:i/>
          <w:iCs/>
          <w:sz w:val="22"/>
          <w:szCs w:val="22"/>
        </w:rPr>
        <w:t>IEEE Journal of Electromagnetics, RF and Microwaves in Medicine and Biology</w:t>
      </w:r>
      <w:r>
        <w:rPr>
          <w:sz w:val="22"/>
          <w:szCs w:val="22"/>
        </w:rPr>
        <w:t>, 6(3):413-419, 2022.</w:t>
      </w:r>
    </w:p>
    <w:p>
      <w:pPr>
        <w:pStyle w:val="Normal"/>
        <w:numPr>
          <w:ilvl w:val="0"/>
          <w:numId w:val="5"/>
        </w:numPr>
        <w:jc w:val="both"/>
        <w:rPr/>
      </w:pPr>
      <w:r>
        <w:rPr>
          <w:sz w:val="22"/>
          <w:szCs w:val="22"/>
        </w:rPr>
        <w:t xml:space="preserve">M. C. Ziskin, S. I. Alekseev, K. R. Foster, and Q. Balzano. “Tissue models for RF exposure evaluation at frequencies above 6 GHz.” </w:t>
      </w:r>
      <w:r>
        <w:rPr>
          <w:rStyle w:val="DefaultParagraphFont"/>
          <w:i/>
          <w:iCs/>
          <w:sz w:val="22"/>
          <w:szCs w:val="22"/>
        </w:rPr>
        <w:t>Bioelectromagnetics</w:t>
      </w:r>
      <w:r>
        <w:rPr>
          <w:sz w:val="22"/>
          <w:szCs w:val="22"/>
        </w:rPr>
        <w:t>, 39(3):173-189, 2018.</w:t>
      </w:r>
    </w:p>
    <w:p>
      <w:pPr>
        <w:pStyle w:val="Normal"/>
        <w:numPr>
          <w:ilvl w:val="0"/>
          <w:numId w:val="5"/>
        </w:numPr>
        <w:jc w:val="both"/>
        <w:rPr/>
      </w:pPr>
      <w:r>
        <w:rPr>
          <w:sz w:val="22"/>
          <w:szCs w:val="22"/>
        </w:rPr>
        <w:t xml:space="preserve">T. Nakae, D. Funahashi, J. Higashiyama, T. Onishi, and A. Hirata. “Skin temperature elevation for incident power densities from dipole arrays at 28 GHz.” </w:t>
      </w:r>
      <w:r>
        <w:rPr>
          <w:rStyle w:val="DefaultParagraphFont"/>
          <w:i/>
          <w:iCs/>
          <w:sz w:val="22"/>
          <w:szCs w:val="22"/>
        </w:rPr>
        <w:t>IEEE Access</w:t>
      </w:r>
      <w:r>
        <w:rPr>
          <w:sz w:val="22"/>
          <w:szCs w:val="22"/>
        </w:rPr>
        <w:t>, 8:26863-26871, 2020.</w:t>
      </w:r>
    </w:p>
    <w:p>
      <w:pPr>
        <w:pStyle w:val="Normal"/>
        <w:numPr>
          <w:ilvl w:val="0"/>
          <w:numId w:val="5"/>
        </w:numPr>
        <w:jc w:val="both"/>
        <w:rPr/>
      </w:pPr>
      <w:r>
        <w:rPr>
          <w:sz w:val="22"/>
          <w:szCs w:val="22"/>
        </w:rPr>
        <w:t xml:space="preserve">D. Poljak and M. Cvetković. “Assessment of absorbed power density at the surface of flat lossy medium in GHz frequency range: A case of Hertz dipole.” </w:t>
      </w:r>
      <w:r>
        <w:rPr>
          <w:rStyle w:val="DefaultParagraphFont"/>
          <w:i/>
          <w:iCs/>
          <w:sz w:val="22"/>
          <w:szCs w:val="22"/>
        </w:rPr>
        <w:t>In proceedings of International Conference on Smart and Sustainable Technologies</w:t>
      </w:r>
      <w:r>
        <w:rPr>
          <w:sz w:val="22"/>
          <w:szCs w:val="22"/>
        </w:rPr>
        <w:t>, 1-4, 2020.</w:t>
      </w:r>
    </w:p>
    <w:p>
      <w:pPr>
        <w:pStyle w:val="Normal"/>
        <w:numPr>
          <w:ilvl w:val="0"/>
          <w:numId w:val="5"/>
        </w:numPr>
        <w:jc w:val="both"/>
        <w:rPr/>
      </w:pPr>
      <w:r>
        <w:rPr>
          <w:sz w:val="22"/>
          <w:szCs w:val="22"/>
        </w:rPr>
        <w:t xml:space="preserve">M. Ziane, R. Sauleau, and M. Zhadobov. “Antenna/body coupling in the near-field at 60 GHz: Impact on the absorbed power density.” </w:t>
      </w:r>
      <w:r>
        <w:rPr>
          <w:rStyle w:val="DefaultParagraphFont"/>
          <w:i/>
          <w:iCs/>
          <w:sz w:val="22"/>
          <w:szCs w:val="22"/>
        </w:rPr>
        <w:t>Applied Sciences</w:t>
      </w:r>
      <w:r>
        <w:rPr>
          <w:sz w:val="22"/>
          <w:szCs w:val="22"/>
        </w:rPr>
        <w:t>, 10(21), 2020.</w:t>
      </w:r>
    </w:p>
    <w:p>
      <w:pPr>
        <w:pStyle w:val="Normal"/>
        <w:numPr>
          <w:ilvl w:val="0"/>
          <w:numId w:val="5"/>
        </w:numPr>
        <w:jc w:val="both"/>
        <w:rPr/>
      </w:pPr>
      <w:r>
        <w:rPr>
          <w:sz w:val="22"/>
          <w:szCs w:val="22"/>
        </w:rPr>
        <w:t xml:space="preserve">K. R. Foster, M. C. Ziskin, Q. Balzano, and A. Hirata. “Thermal analysis of averaging times in radio-frequency exposure limits above 1 GHz.” </w:t>
      </w:r>
      <w:r>
        <w:rPr>
          <w:rStyle w:val="DefaultParagraphFont"/>
          <w:i/>
          <w:iCs/>
          <w:sz w:val="22"/>
          <w:szCs w:val="22"/>
        </w:rPr>
        <w:t>IEEE Access</w:t>
      </w:r>
      <w:r>
        <w:rPr>
          <w:sz w:val="22"/>
          <w:szCs w:val="22"/>
        </w:rPr>
        <w:t>, 6:74536-74546, 2018.</w:t>
      </w:r>
    </w:p>
    <w:p>
      <w:pPr>
        <w:pStyle w:val="Normal"/>
        <w:numPr>
          <w:ilvl w:val="0"/>
          <w:numId w:val="5"/>
        </w:numPr>
        <w:jc w:val="both"/>
        <w:rPr/>
      </w:pPr>
      <w:r>
        <w:rPr>
          <w:sz w:val="22"/>
          <w:szCs w:val="22"/>
        </w:rPr>
        <w:t xml:space="preserve">W. He, B. Xu, M. Gustafsson, Z. Ying, and S. He. “RF compliance study of temperature elevation in human head model around 28 GHz for 5G user equipment application: Simulation analysis.” </w:t>
      </w:r>
      <w:r>
        <w:rPr>
          <w:rStyle w:val="DefaultParagraphFont"/>
          <w:i/>
          <w:iCs/>
          <w:sz w:val="22"/>
          <w:szCs w:val="22"/>
        </w:rPr>
        <w:t>IEEE Access</w:t>
      </w:r>
      <w:r>
        <w:rPr>
          <w:sz w:val="22"/>
          <w:szCs w:val="22"/>
        </w:rPr>
        <w:t>, 6:830-838, 2018.</w:t>
      </w:r>
    </w:p>
    <w:p>
      <w:pPr>
        <w:pStyle w:val="Normal"/>
        <w:numPr>
          <w:ilvl w:val="0"/>
          <w:numId w:val="5"/>
        </w:numPr>
        <w:jc w:val="both"/>
        <w:rPr>
          <w:sz w:val="22"/>
          <w:szCs w:val="22"/>
        </w:rPr>
      </w:pPr>
      <w:r>
        <w:rPr>
          <w:sz w:val="22"/>
          <w:szCs w:val="22"/>
        </w:rPr>
        <w:t>E. Carrasco, D. Colombi, K. R. Foster, M. Ziskin, and Q. Balzano. “Exposure assessment of portable wireless devices above 6 GHz. Radiation Protection Dosimetry,” 183(4):489-496, 2019.</w:t>
      </w:r>
    </w:p>
    <w:p>
      <w:pPr>
        <w:pStyle w:val="Normal"/>
        <w:numPr>
          <w:ilvl w:val="0"/>
          <w:numId w:val="5"/>
        </w:numPr>
        <w:jc w:val="both"/>
        <w:rPr/>
      </w:pPr>
      <w:r>
        <w:rPr>
          <w:sz w:val="22"/>
          <w:szCs w:val="22"/>
        </w:rPr>
        <w:t xml:space="preserve">Y. Diao, K. Li, K. Sasaki, S. Kodera, I. Laakso, W. El Hajj, and A. Hirata. “Effect of incidence angle on the spatial-average of incident power density definition to correlate skin temperature rise for millimeter wave exposures.” </w:t>
      </w:r>
      <w:r>
        <w:rPr>
          <w:rStyle w:val="DefaultParagraphFont"/>
          <w:i/>
          <w:iCs/>
          <w:sz w:val="22"/>
          <w:szCs w:val="22"/>
        </w:rPr>
        <w:t>IEEE Transactions on Electromagnetic Compatibility</w:t>
      </w:r>
      <w:r>
        <w:rPr>
          <w:sz w:val="22"/>
          <w:szCs w:val="22"/>
        </w:rPr>
        <w:t>, 63(5):1709-1716, 2021.</w:t>
      </w:r>
    </w:p>
    <w:p>
      <w:pPr>
        <w:pStyle w:val="Normal"/>
        <w:numPr>
          <w:ilvl w:val="0"/>
          <w:numId w:val="5"/>
        </w:numPr>
        <w:jc w:val="both"/>
        <w:rPr/>
      </w:pPr>
      <w:r>
        <w:rPr>
          <w:sz w:val="22"/>
          <w:szCs w:val="22"/>
        </w:rPr>
        <w:t xml:space="preserve">K. R. Foster, M. C. Ziskin, and Q. Balzano. “Three quarters of a century of research on RF exposure assessment and dosimetry – what have we learned?” </w:t>
      </w:r>
      <w:r>
        <w:rPr>
          <w:rStyle w:val="DefaultParagraphFont"/>
          <w:i/>
          <w:iCs/>
          <w:sz w:val="22"/>
          <w:szCs w:val="22"/>
        </w:rPr>
        <w:t>International Journal of Environmental Research and Public Health</w:t>
      </w:r>
      <w:r>
        <w:rPr>
          <w:sz w:val="22"/>
          <w:szCs w:val="22"/>
        </w:rPr>
        <w:t>, 19(4), 2022.</w:t>
      </w:r>
    </w:p>
    <w:p>
      <w:pPr>
        <w:pStyle w:val="Normal"/>
        <w:numPr>
          <w:ilvl w:val="0"/>
          <w:numId w:val="5"/>
        </w:numPr>
        <w:jc w:val="both"/>
        <w:rPr/>
      </w:pPr>
      <w:r>
        <w:rPr>
          <w:sz w:val="22"/>
          <w:szCs w:val="22"/>
        </w:rPr>
        <w:t xml:space="preserve">R. Kovacs. “Electrotherapy &amp; Light Therapy, 5th edition.” </w:t>
      </w:r>
      <w:r>
        <w:rPr>
          <w:rStyle w:val="DefaultParagraphFont"/>
          <w:i/>
          <w:iCs/>
          <w:sz w:val="22"/>
          <w:szCs w:val="22"/>
        </w:rPr>
        <w:t>Lea &amp; Febiger</w:t>
      </w:r>
      <w:r>
        <w:rPr>
          <w:sz w:val="22"/>
          <w:szCs w:val="22"/>
        </w:rPr>
        <w:t>, 1945.</w:t>
      </w:r>
    </w:p>
    <w:p>
      <w:pPr>
        <w:pStyle w:val="Normal"/>
        <w:numPr>
          <w:ilvl w:val="0"/>
          <w:numId w:val="5"/>
        </w:numPr>
        <w:jc w:val="both"/>
        <w:rPr/>
      </w:pPr>
      <w:r>
        <w:rPr>
          <w:sz w:val="22"/>
          <w:szCs w:val="22"/>
        </w:rPr>
        <w:t xml:space="preserve">J. C. Lin. “Early Contributions to Electromagnetic Fields in Living Systems,” </w:t>
      </w:r>
      <w:r>
        <w:rPr>
          <w:rStyle w:val="DefaultParagraphFont"/>
          <w:i/>
          <w:iCs/>
          <w:sz w:val="22"/>
          <w:szCs w:val="22"/>
        </w:rPr>
        <w:t>Springer</w:t>
      </w:r>
      <w:r>
        <w:rPr>
          <w:sz w:val="22"/>
          <w:szCs w:val="22"/>
        </w:rPr>
        <w:t>, 1994.</w:t>
      </w:r>
    </w:p>
    <w:p>
      <w:pPr>
        <w:pStyle w:val="Normal"/>
        <w:numPr>
          <w:ilvl w:val="0"/>
          <w:numId w:val="5"/>
        </w:numPr>
        <w:jc w:val="both"/>
        <w:rPr/>
      </w:pPr>
      <w:r>
        <w:rPr>
          <w:sz w:val="22"/>
          <w:szCs w:val="22"/>
        </w:rPr>
        <w:t xml:space="preserve">A. W. Guy. “Analyses of electromagnetic fields induced in biological tissues by thermographic studies on equivalent phantom models.” </w:t>
      </w:r>
      <w:r>
        <w:rPr>
          <w:rStyle w:val="DefaultParagraphFont"/>
          <w:i/>
          <w:iCs/>
          <w:sz w:val="22"/>
          <w:szCs w:val="22"/>
        </w:rPr>
        <w:t>IEEE Transactions on Microwave Theory and Techniques</w:t>
      </w:r>
      <w:r>
        <w:rPr>
          <w:sz w:val="22"/>
          <w:szCs w:val="22"/>
        </w:rPr>
        <w:t>, 19(2):205-214, 1971.</w:t>
      </w:r>
    </w:p>
    <w:p>
      <w:pPr>
        <w:pStyle w:val="Normal"/>
        <w:numPr>
          <w:ilvl w:val="0"/>
          <w:numId w:val="5"/>
        </w:numPr>
        <w:jc w:val="both"/>
        <w:rPr>
          <w:sz w:val="22"/>
          <w:szCs w:val="22"/>
        </w:rPr>
      </w:pPr>
      <w:r>
        <w:rPr>
          <w:sz w:val="22"/>
          <w:szCs w:val="22"/>
        </w:rPr>
        <w:t>C. H. Durney, H. Massoudi, and M. F. Iskander. “Radio-frequency radiation dosimetry handbook, 4th edition.” Brooks Air Force Base, TX: USAF School of Aerospace Medicine, Aerospace Medical Division (AFSC), 1986.</w:t>
      </w:r>
    </w:p>
    <w:p>
      <w:pPr>
        <w:pStyle w:val="Normal"/>
        <w:numPr>
          <w:ilvl w:val="0"/>
          <w:numId w:val="5"/>
        </w:numPr>
        <w:jc w:val="both"/>
        <w:rPr>
          <w:sz w:val="22"/>
          <w:szCs w:val="22"/>
        </w:rPr>
      </w:pPr>
      <w:r>
        <w:rPr>
          <w:sz w:val="22"/>
          <w:szCs w:val="22"/>
        </w:rPr>
        <w:t>W. P. Roach. “Radio-frequency radiation dosimetry handbook, 5th edition.” Air Force Research Lab Brooks Air Force Base, TX: Human Effectiveness Directorate, 2009.</w:t>
      </w:r>
    </w:p>
    <w:p>
      <w:pPr>
        <w:pStyle w:val="Normal"/>
        <w:numPr>
          <w:ilvl w:val="0"/>
          <w:numId w:val="5"/>
        </w:numPr>
        <w:jc w:val="both"/>
        <w:rPr/>
      </w:pPr>
      <w:r>
        <w:rPr>
          <w:sz w:val="22"/>
          <w:szCs w:val="22"/>
        </w:rPr>
        <w:t xml:space="preserve">R. L. McIntosh and V. Anderson. “SAR vs. VAR, and the size and shape that provide the most appropriate RF exposure metric in the range of 0.5-6 GHz.” </w:t>
      </w:r>
      <w:r>
        <w:rPr>
          <w:rStyle w:val="DefaultParagraphFont"/>
          <w:i/>
          <w:iCs/>
          <w:sz w:val="22"/>
          <w:szCs w:val="22"/>
        </w:rPr>
        <w:t>Bioelectromagnetics</w:t>
      </w:r>
      <w:r>
        <w:rPr>
          <w:sz w:val="22"/>
          <w:szCs w:val="22"/>
        </w:rPr>
        <w:t>, 32(4):312-321, 2011.</w:t>
      </w:r>
    </w:p>
    <w:p>
      <w:pPr>
        <w:pStyle w:val="Normal"/>
        <w:numPr>
          <w:ilvl w:val="0"/>
          <w:numId w:val="5"/>
        </w:numPr>
        <w:jc w:val="both"/>
        <w:rPr/>
      </w:pPr>
      <w:r>
        <w:rPr>
          <w:sz w:val="22"/>
          <w:szCs w:val="22"/>
        </w:rPr>
        <w:t xml:space="preserve">Federal Communications Commission. “Auction 101: Spectrum Frontiers – 28 GHz,” </w:t>
      </w:r>
      <w:r>
        <w:rPr>
          <w:rStyle w:val="DefaultParagraphFont"/>
          <w:i/>
          <w:iCs/>
          <w:sz w:val="22"/>
          <w:szCs w:val="22"/>
        </w:rPr>
        <w:t>online</w:t>
      </w:r>
      <w:r>
        <w:rPr>
          <w:sz w:val="22"/>
          <w:szCs w:val="22"/>
        </w:rPr>
        <w:t xml:space="preserve">: </w:t>
      </w:r>
      <w:hyperlink r:id="rId4" w:tgtFrame="_top">
        <w:r>
          <w:rPr>
            <w:rStyle w:val="InternetLink"/>
            <w:sz w:val="22"/>
            <w:szCs w:val="22"/>
          </w:rPr>
          <w:t>https://www.fcc.gov/auction/101/factsheet</w:t>
        </w:r>
      </w:hyperlink>
      <w:r>
        <w:rPr>
          <w:sz w:val="22"/>
          <w:szCs w:val="22"/>
        </w:rPr>
        <w:t xml:space="preserve"> (pristupljeno: 1.3.2023.), 2019.</w:t>
      </w:r>
    </w:p>
    <w:p>
      <w:pPr>
        <w:pStyle w:val="Normal"/>
        <w:numPr>
          <w:ilvl w:val="0"/>
          <w:numId w:val="5"/>
        </w:numPr>
        <w:jc w:val="both"/>
        <w:rPr/>
      </w:pPr>
      <w:r>
        <w:rPr>
          <w:sz w:val="22"/>
          <w:szCs w:val="22"/>
        </w:rPr>
        <w:t xml:space="preserve">Federal Communications Commission. “Fact sheet on Spectrum Frontiers item,” </w:t>
      </w:r>
      <w:r>
        <w:rPr>
          <w:rStyle w:val="DefaultParagraphFont"/>
          <w:i/>
          <w:iCs/>
          <w:sz w:val="22"/>
          <w:szCs w:val="22"/>
        </w:rPr>
        <w:t>online</w:t>
      </w:r>
      <w:r>
        <w:rPr>
          <w:sz w:val="22"/>
          <w:szCs w:val="22"/>
        </w:rPr>
        <w:t xml:space="preserve">: </w:t>
      </w:r>
      <w:hyperlink r:id="rId5" w:tgtFrame="_top">
        <w:r>
          <w:rPr>
            <w:rStyle w:val="InternetLink"/>
            <w:sz w:val="22"/>
            <w:szCs w:val="22"/>
          </w:rPr>
          <w:t>https://www.fcc.gov/document/fact-sheet-spectrum-frontiers-item</w:t>
        </w:r>
      </w:hyperlink>
      <w:r>
        <w:rPr>
          <w:sz w:val="22"/>
          <w:szCs w:val="22"/>
        </w:rPr>
        <w:t xml:space="preserve"> (pristupljeno: 1.3.2023.), 2016.</w:t>
      </w:r>
    </w:p>
    <w:p>
      <w:pPr>
        <w:pStyle w:val="Normal"/>
        <w:numPr>
          <w:ilvl w:val="0"/>
          <w:numId w:val="5"/>
        </w:numPr>
        <w:jc w:val="both"/>
        <w:rPr/>
      </w:pPr>
      <w:r>
        <w:rPr>
          <w:sz w:val="22"/>
          <w:szCs w:val="22"/>
        </w:rPr>
        <w:t>V. Anderson, R. Croft, and R. L. McIntosh. “SAR vs. S</w:t>
      </w:r>
      <w:r>
        <w:rPr>
          <w:rStyle w:val="DefaultParagraphFont"/>
          <w:position w:val="-1"/>
          <w:sz w:val="22"/>
          <w:szCs w:val="22"/>
        </w:rPr>
        <w:t>inc</w:t>
      </w:r>
      <w:r>
        <w:rPr>
          <w:sz w:val="22"/>
          <w:szCs w:val="22"/>
        </w:rPr>
        <w:t xml:space="preserve"> : What is the appropriate RF exposure metric in the range 1-10 GHz? Part I: Using planar body models.” </w:t>
      </w:r>
      <w:r>
        <w:rPr>
          <w:rStyle w:val="DefaultParagraphFont"/>
          <w:i/>
          <w:iCs/>
          <w:sz w:val="22"/>
          <w:szCs w:val="22"/>
        </w:rPr>
        <w:t>Bioelectromagnetics</w:t>
      </w:r>
      <w:r>
        <w:rPr>
          <w:sz w:val="22"/>
          <w:szCs w:val="22"/>
        </w:rPr>
        <w:t>, 31(6):454-466, 2010.</w:t>
      </w:r>
    </w:p>
    <w:p>
      <w:pPr>
        <w:pStyle w:val="Normal"/>
        <w:numPr>
          <w:ilvl w:val="0"/>
          <w:numId w:val="5"/>
        </w:numPr>
        <w:jc w:val="both"/>
        <w:rPr/>
      </w:pPr>
      <w:r>
        <w:rPr>
          <w:sz w:val="22"/>
          <w:szCs w:val="22"/>
        </w:rPr>
        <w:t>R. L. McIntosh and V. Anderson. “SAR vs. S</w:t>
      </w:r>
      <w:r>
        <w:rPr>
          <w:rStyle w:val="DefaultParagraphFont"/>
          <w:position w:val="-1"/>
          <w:sz w:val="22"/>
          <w:szCs w:val="22"/>
        </w:rPr>
        <w:t>inc</w:t>
      </w:r>
      <w:r>
        <w:rPr>
          <w:sz w:val="22"/>
          <w:szCs w:val="22"/>
        </w:rPr>
        <w:t xml:space="preserve"> : What is the appropriate RF exposure metric in the range 1-10 GHz? Part II: Using complex human body models.” </w:t>
      </w:r>
      <w:r>
        <w:rPr>
          <w:rStyle w:val="DefaultParagraphFont"/>
          <w:i/>
          <w:iCs/>
          <w:sz w:val="22"/>
          <w:szCs w:val="22"/>
        </w:rPr>
        <w:t>Bioelectromagnetics</w:t>
      </w:r>
      <w:r>
        <w:rPr>
          <w:sz w:val="22"/>
          <w:szCs w:val="22"/>
        </w:rPr>
        <w:t>, 31(6):467-478, 2010.</w:t>
      </w:r>
    </w:p>
    <w:p>
      <w:pPr>
        <w:pStyle w:val="Normal"/>
        <w:numPr>
          <w:ilvl w:val="0"/>
          <w:numId w:val="5"/>
        </w:numPr>
        <w:jc w:val="both"/>
        <w:rPr/>
      </w:pPr>
      <w:r>
        <w:rPr>
          <w:sz w:val="22"/>
          <w:szCs w:val="22"/>
        </w:rPr>
        <w:t xml:space="preserve">B. Thors, D. Colombi, Z. Ying, T. Bolin, and C. Törnevik. “Exposure to RF EMF from array antennas in 5G mobile communication equipment.” </w:t>
      </w:r>
      <w:r>
        <w:rPr>
          <w:rStyle w:val="DefaultParagraphFont"/>
          <w:i/>
          <w:iCs/>
          <w:sz w:val="22"/>
          <w:szCs w:val="22"/>
        </w:rPr>
        <w:t>IEEE Access</w:t>
      </w:r>
      <w:r>
        <w:rPr>
          <w:sz w:val="22"/>
          <w:szCs w:val="22"/>
        </w:rPr>
        <w:t>, 4:7469-7478, 2016.</w:t>
      </w:r>
    </w:p>
    <w:p>
      <w:pPr>
        <w:pStyle w:val="Normal"/>
        <w:numPr>
          <w:ilvl w:val="0"/>
          <w:numId w:val="5"/>
        </w:numPr>
        <w:jc w:val="both"/>
        <w:rPr/>
      </w:pPr>
      <w:r>
        <w:rPr>
          <w:sz w:val="22"/>
          <w:szCs w:val="22"/>
        </w:rPr>
        <w:t xml:space="preserve">A. Christ, T. Samaras, E. Neufeld, and N. Kuster. “Limitations of incident power density as a proxy for induced electromagnetic fields.” </w:t>
      </w:r>
      <w:r>
        <w:rPr>
          <w:rStyle w:val="DefaultParagraphFont"/>
          <w:i/>
          <w:iCs/>
          <w:sz w:val="22"/>
          <w:szCs w:val="22"/>
        </w:rPr>
        <w:t>Bioelectromagnetics</w:t>
      </w:r>
      <w:r>
        <w:rPr>
          <w:sz w:val="22"/>
          <w:szCs w:val="22"/>
        </w:rPr>
        <w:t>, 41:348-359, 2020.</w:t>
      </w:r>
    </w:p>
    <w:p>
      <w:pPr>
        <w:pStyle w:val="Normal"/>
        <w:numPr>
          <w:ilvl w:val="0"/>
          <w:numId w:val="5"/>
        </w:numPr>
        <w:jc w:val="both"/>
        <w:rPr/>
      </w:pPr>
      <w:r>
        <w:rPr>
          <w:sz w:val="22"/>
          <w:szCs w:val="22"/>
        </w:rPr>
        <w:t xml:space="preserve">D. Funahashi, T. Ito, A. Hirata, T. Iyama, and T. Onishi. “Averaging area of incident power density for human exposure from patch antenna arrays.” </w:t>
      </w:r>
      <w:r>
        <w:rPr>
          <w:rStyle w:val="DefaultParagraphFont"/>
          <w:i/>
          <w:iCs/>
          <w:sz w:val="22"/>
          <w:szCs w:val="22"/>
        </w:rPr>
        <w:t>IEICE Transactions on Electronics</w:t>
      </w:r>
      <w:r>
        <w:rPr>
          <w:sz w:val="22"/>
          <w:szCs w:val="22"/>
        </w:rPr>
        <w:t>, E101.C(8):644-646, 2018.</w:t>
      </w:r>
    </w:p>
    <w:p>
      <w:pPr>
        <w:pStyle w:val="Normal"/>
        <w:numPr>
          <w:ilvl w:val="0"/>
          <w:numId w:val="5"/>
        </w:numPr>
        <w:jc w:val="both"/>
        <w:rPr/>
      </w:pPr>
      <w:r>
        <w:rPr>
          <w:sz w:val="22"/>
          <w:szCs w:val="22"/>
        </w:rPr>
        <w:t xml:space="preserve">K. Li, K. Sasaki, K. Wake, T. Onishi, and S. Watanabe. “Quantitative comparison of power densities related to electromagnetic near-field exposures with safety guidelines from 6 to 100 GHz.” </w:t>
      </w:r>
      <w:r>
        <w:rPr>
          <w:rStyle w:val="DefaultParagraphFont"/>
          <w:i/>
          <w:iCs/>
          <w:sz w:val="22"/>
          <w:szCs w:val="22"/>
        </w:rPr>
        <w:t>IEEE Access</w:t>
      </w:r>
      <w:r>
        <w:rPr>
          <w:sz w:val="22"/>
          <w:szCs w:val="22"/>
        </w:rPr>
        <w:t>, 9:115801-115812, 2021.</w:t>
      </w:r>
    </w:p>
    <w:p>
      <w:pPr>
        <w:pStyle w:val="Normal"/>
        <w:numPr>
          <w:ilvl w:val="0"/>
          <w:numId w:val="5"/>
        </w:numPr>
        <w:jc w:val="both"/>
        <w:rPr/>
      </w:pPr>
      <w:r>
        <w:rPr>
          <w:sz w:val="22"/>
          <w:szCs w:val="22"/>
        </w:rPr>
        <w:t xml:space="preserve">K. Li, Y. Diao, K. Sasaki, A. Prokop, D. Poljak, V. Doric, J. Xi, S. Kodera, A. Hirata, and W. El Hajj. “Intercomparison of calculated incident power density and temperature rise for exposure from different antennas at 10-90 GHz.” </w:t>
      </w:r>
      <w:r>
        <w:rPr>
          <w:rStyle w:val="DefaultParagraphFont"/>
          <w:i/>
          <w:iCs/>
          <w:sz w:val="22"/>
          <w:szCs w:val="22"/>
        </w:rPr>
        <w:t>IEEE Access</w:t>
      </w:r>
      <w:r>
        <w:rPr>
          <w:sz w:val="22"/>
          <w:szCs w:val="22"/>
        </w:rPr>
        <w:t>, 9:151654-151666, 2021.</w:t>
      </w:r>
    </w:p>
    <w:p>
      <w:pPr>
        <w:pStyle w:val="Normal"/>
        <w:numPr>
          <w:ilvl w:val="0"/>
          <w:numId w:val="5"/>
        </w:numPr>
        <w:jc w:val="both"/>
        <w:rPr/>
      </w:pPr>
      <w:r>
        <w:rPr>
          <w:sz w:val="22"/>
          <w:szCs w:val="22"/>
        </w:rPr>
        <w:t xml:space="preserve">K. Li, K. Sasaki, S. Watanabe, and H. Shirai. “Relationship between power density and surface temperature elevation for human skin exposure to electromagnetic waves with oblique incidence angle from 6 GHz to 1 THz.” </w:t>
      </w:r>
      <w:r>
        <w:rPr>
          <w:rStyle w:val="DefaultParagraphFont"/>
          <w:i/>
          <w:iCs/>
          <w:sz w:val="22"/>
          <w:szCs w:val="22"/>
        </w:rPr>
        <w:t>Physics in Medicine &amp; Biology</w:t>
      </w:r>
      <w:r>
        <w:rPr>
          <w:sz w:val="22"/>
          <w:szCs w:val="22"/>
        </w:rPr>
        <w:t>, 64(6):065016, 2019.</w:t>
      </w:r>
    </w:p>
    <w:p>
      <w:pPr>
        <w:pStyle w:val="Normal"/>
        <w:numPr>
          <w:ilvl w:val="0"/>
          <w:numId w:val="5"/>
        </w:numPr>
        <w:jc w:val="both"/>
        <w:rPr/>
      </w:pPr>
      <w:r>
        <w:rPr>
          <w:sz w:val="22"/>
          <w:szCs w:val="22"/>
        </w:rPr>
        <w:t xml:space="preserve">D. Poljak, M. Cvetković, O: Bottauscio, A.Hirata, I. Laakso, E. Neufeld, S. Reboux, C. Warren, A. Giannopoulos, and F. Costen. “On the use of conformal models and methods in dosimetry for nonuniform field exposure.” </w:t>
      </w:r>
      <w:r>
        <w:rPr>
          <w:rStyle w:val="DefaultParagraphFont"/>
          <w:i/>
          <w:iCs/>
          <w:sz w:val="22"/>
          <w:szCs w:val="22"/>
        </w:rPr>
        <w:t>IEEE Transactions on Electromagnetic Compatibility</w:t>
      </w:r>
      <w:r>
        <w:rPr>
          <w:sz w:val="22"/>
          <w:szCs w:val="22"/>
        </w:rPr>
        <w:t>, 60(2):328-337, 2018.</w:t>
      </w:r>
    </w:p>
    <w:p>
      <w:pPr>
        <w:pStyle w:val="Normal"/>
        <w:numPr>
          <w:ilvl w:val="0"/>
          <w:numId w:val="5"/>
        </w:numPr>
        <w:jc w:val="both"/>
        <w:rPr>
          <w:sz w:val="22"/>
          <w:szCs w:val="22"/>
        </w:rPr>
      </w:pPr>
      <w:r>
        <w:rPr>
          <w:sz w:val="22"/>
          <w:szCs w:val="22"/>
        </w:rPr>
        <w:t>IEEE guide for the definition of incident power density to correlate surface temperature elevation. IEEE Std 2889-2021, 2021.</w:t>
      </w:r>
    </w:p>
    <w:p>
      <w:pPr>
        <w:pStyle w:val="Normal"/>
        <w:numPr>
          <w:ilvl w:val="0"/>
          <w:numId w:val="5"/>
        </w:numPr>
        <w:jc w:val="both"/>
        <w:rPr/>
      </w:pPr>
      <w:r>
        <w:rPr>
          <w:sz w:val="22"/>
          <w:szCs w:val="22"/>
        </w:rPr>
        <w:t xml:space="preserve">A. Kapetanović and D. Poljak. “Application of automatic differentiation in electromagnetic dosimetry – Assessment of the absorbed power density in the mmWave frequency spectrum.” </w:t>
      </w:r>
      <w:r>
        <w:rPr>
          <w:rStyle w:val="DefaultParagraphFont"/>
          <w:i/>
          <w:iCs/>
          <w:sz w:val="22"/>
          <w:szCs w:val="22"/>
        </w:rPr>
        <w:t>In proceedings of the International Conference on Smart and Sustainable Technologies</w:t>
      </w:r>
      <w:r>
        <w:rPr>
          <w:sz w:val="22"/>
          <w:szCs w:val="22"/>
        </w:rPr>
        <w:t>, 1-6, 2021.</w:t>
      </w:r>
    </w:p>
    <w:p>
      <w:pPr>
        <w:pStyle w:val="Normal"/>
        <w:numPr>
          <w:ilvl w:val="0"/>
          <w:numId w:val="5"/>
        </w:numPr>
        <w:jc w:val="both"/>
        <w:rPr/>
      </w:pPr>
      <w:r>
        <w:rPr>
          <w:sz w:val="22"/>
          <w:szCs w:val="22"/>
        </w:rPr>
        <w:t xml:space="preserve">T. Wu, T. S. Rappaport, and C. M. Collins. “The human body and millimeter-wave wireless communication systems: Interactions and implications.” </w:t>
      </w:r>
      <w:r>
        <w:rPr>
          <w:rStyle w:val="DefaultParagraphFont"/>
          <w:i/>
          <w:iCs/>
          <w:sz w:val="22"/>
          <w:szCs w:val="22"/>
        </w:rPr>
        <w:t>In proceedings of the IEEE International Conference on Communications (ICC)</w:t>
      </w:r>
      <w:r>
        <w:rPr>
          <w:sz w:val="22"/>
          <w:szCs w:val="22"/>
        </w:rPr>
        <w:t>, 2423-2429, 2015.</w:t>
      </w:r>
    </w:p>
    <w:p>
      <w:pPr>
        <w:pStyle w:val="Normal"/>
        <w:numPr>
          <w:ilvl w:val="0"/>
          <w:numId w:val="5"/>
        </w:numPr>
        <w:jc w:val="both"/>
        <w:rPr/>
      </w:pPr>
      <w:r>
        <w:rPr>
          <w:sz w:val="22"/>
          <w:szCs w:val="22"/>
        </w:rPr>
        <w:t xml:space="preserve">K. R. Foster, M. C. Ziskin, Q. Balzano, and G. Bit-Babik. “Modeling tissue heating from exposure to radio-frequency energy and relevance of tissue heating to exposure limits: Heating factor.” </w:t>
      </w:r>
      <w:r>
        <w:rPr>
          <w:rStyle w:val="DefaultParagraphFont"/>
          <w:i/>
          <w:iCs/>
          <w:sz w:val="22"/>
          <w:szCs w:val="22"/>
        </w:rPr>
        <w:t>Health Physics</w:t>
      </w:r>
      <w:r>
        <w:rPr>
          <w:sz w:val="22"/>
          <w:szCs w:val="22"/>
        </w:rPr>
        <w:t>, 115(2):295-307, 2018.</w:t>
      </w:r>
    </w:p>
    <w:p>
      <w:pPr>
        <w:pStyle w:val="Normal"/>
        <w:numPr>
          <w:ilvl w:val="0"/>
          <w:numId w:val="5"/>
        </w:numPr>
        <w:jc w:val="both"/>
        <w:rPr/>
      </w:pPr>
      <w:r>
        <w:rPr>
          <w:sz w:val="22"/>
          <w:szCs w:val="22"/>
        </w:rPr>
        <w:t xml:space="preserve">C.-H. Li, M. Douglas, E. Ofli, N. Chavannes, Q. Balzano, and N. Kuster. “Mechanisms of RF electromagnetic field absorption in human hands and fingers.” </w:t>
      </w:r>
      <w:r>
        <w:rPr>
          <w:rStyle w:val="DefaultParagraphFont"/>
          <w:i/>
          <w:iCs/>
          <w:sz w:val="22"/>
          <w:szCs w:val="22"/>
        </w:rPr>
        <w:t>IEEE Transactions on Microwave Theory and Techniques</w:t>
      </w:r>
      <w:r>
        <w:rPr>
          <w:sz w:val="22"/>
          <w:szCs w:val="22"/>
        </w:rPr>
        <w:t>, 60(7):2267-2276, 2012.</w:t>
      </w:r>
    </w:p>
    <w:p>
      <w:pPr>
        <w:pStyle w:val="Normal"/>
        <w:numPr>
          <w:ilvl w:val="0"/>
          <w:numId w:val="5"/>
        </w:numPr>
        <w:jc w:val="both"/>
        <w:rPr/>
      </w:pPr>
      <w:r>
        <w:rPr>
          <w:sz w:val="22"/>
          <w:szCs w:val="22"/>
        </w:rPr>
        <w:t xml:space="preserve">Y. Diao, E. A. Rashed, and A. Hirata. “Assessment of absorbed power density and temperature rise for nonplanar body model under electromagnetic exposure above 6 GHz.” </w:t>
      </w:r>
      <w:r>
        <w:rPr>
          <w:rStyle w:val="DefaultParagraphFont"/>
          <w:i/>
          <w:iCs/>
          <w:sz w:val="22"/>
          <w:szCs w:val="22"/>
        </w:rPr>
        <w:t>Physics in Medicine &amp; Biology</w:t>
      </w:r>
      <w:r>
        <w:rPr>
          <w:sz w:val="22"/>
          <w:szCs w:val="22"/>
        </w:rPr>
        <w:t>, 65(22):224001, 2020.</w:t>
      </w:r>
    </w:p>
    <w:p>
      <w:pPr>
        <w:pStyle w:val="Normal"/>
        <w:numPr>
          <w:ilvl w:val="0"/>
          <w:numId w:val="5"/>
        </w:numPr>
        <w:jc w:val="both"/>
        <w:rPr/>
      </w:pPr>
      <w:r>
        <w:rPr>
          <w:sz w:val="22"/>
          <w:szCs w:val="22"/>
        </w:rPr>
        <w:t xml:space="preserve">W. S. Snyder, M. J. Cook, E.S. Nasset, L. R. Karhausen, G. Parry Howells, and I. H. Tipton. “Report of the task group on reference man.” </w:t>
      </w:r>
      <w:r>
        <w:rPr>
          <w:rStyle w:val="DefaultParagraphFont"/>
          <w:i/>
          <w:iCs/>
          <w:sz w:val="22"/>
          <w:szCs w:val="22"/>
        </w:rPr>
        <w:t>Annals of the ICRP</w:t>
      </w:r>
      <w:r>
        <w:rPr>
          <w:sz w:val="22"/>
          <w:szCs w:val="22"/>
        </w:rPr>
        <w:t>, 3(23), 1979.</w:t>
      </w:r>
    </w:p>
    <w:p>
      <w:pPr>
        <w:pStyle w:val="Normal"/>
        <w:numPr>
          <w:ilvl w:val="0"/>
          <w:numId w:val="5"/>
        </w:numPr>
        <w:jc w:val="both"/>
        <w:rPr>
          <w:sz w:val="22"/>
          <w:szCs w:val="22"/>
        </w:rPr>
      </w:pPr>
      <w:r>
        <w:rPr>
          <w:sz w:val="22"/>
          <w:szCs w:val="22"/>
        </w:rPr>
        <w:t>C. Gabriel. “Compilation of the dielectric properties of body tissues at RF and microwave frequencies.” US Air Force, Final Technical Report, TR–1996–0037, 1996.</w:t>
      </w:r>
    </w:p>
    <w:p>
      <w:pPr>
        <w:pStyle w:val="Normal"/>
        <w:numPr>
          <w:ilvl w:val="0"/>
          <w:numId w:val="5"/>
        </w:numPr>
        <w:jc w:val="both"/>
        <w:rPr/>
      </w:pPr>
      <w:r>
        <w:rPr>
          <w:sz w:val="22"/>
          <w:szCs w:val="22"/>
        </w:rPr>
        <w:t xml:space="preserve">O.P. Gandhi and A. Riazi. “Absorption of millimeter waves by human beings and its biological implications.” </w:t>
      </w:r>
      <w:r>
        <w:rPr>
          <w:rStyle w:val="DefaultParagraphFont"/>
          <w:i/>
          <w:iCs/>
          <w:sz w:val="22"/>
          <w:szCs w:val="22"/>
        </w:rPr>
        <w:t>IEEE Transactions on Microwave Theory and Techniques</w:t>
      </w:r>
      <w:r>
        <w:rPr>
          <w:sz w:val="22"/>
          <w:szCs w:val="22"/>
        </w:rPr>
        <w:t>, 34(2):228-235, 1986.</w:t>
      </w:r>
    </w:p>
    <w:p>
      <w:pPr>
        <w:pStyle w:val="Normal"/>
        <w:numPr>
          <w:ilvl w:val="0"/>
          <w:numId w:val="5"/>
        </w:numPr>
        <w:jc w:val="both"/>
        <w:rPr/>
      </w:pPr>
      <w:r>
        <w:rPr>
          <w:sz w:val="22"/>
          <w:szCs w:val="22"/>
        </w:rPr>
        <w:t xml:space="preserve">P. A. Hasgall, E. Neufeld, M. C. Gosselin, A. Klingenböck, and N. Kuster. “IT’IS database for thermal and electromagnetic parameters of biological tissues, ver. 4.1”, </w:t>
      </w:r>
      <w:r>
        <w:rPr>
          <w:rStyle w:val="DefaultParagraphFont"/>
          <w:i/>
          <w:iCs/>
          <w:sz w:val="22"/>
          <w:szCs w:val="22"/>
        </w:rPr>
        <w:t>online</w:t>
      </w:r>
      <w:r>
        <w:rPr>
          <w:sz w:val="22"/>
          <w:szCs w:val="22"/>
        </w:rPr>
        <w:t xml:space="preserve">: </w:t>
      </w:r>
      <w:hyperlink r:id="rId6" w:tgtFrame="_top">
        <w:r>
          <w:rPr>
            <w:rStyle w:val="InternetLink"/>
            <w:sz w:val="22"/>
            <w:szCs w:val="22"/>
          </w:rPr>
          <w:t>www.itis.ethz.ch/database</w:t>
        </w:r>
      </w:hyperlink>
      <w:r>
        <w:rPr>
          <w:sz w:val="22"/>
          <w:szCs w:val="22"/>
        </w:rPr>
        <w:t xml:space="preserve"> (pristupljeno 28.2.2023), 2022.</w:t>
      </w:r>
    </w:p>
    <w:p>
      <w:pPr>
        <w:pStyle w:val="Normal"/>
        <w:numPr>
          <w:ilvl w:val="0"/>
          <w:numId w:val="5"/>
        </w:numPr>
        <w:jc w:val="both"/>
        <w:rPr/>
      </w:pPr>
      <w:r>
        <w:rPr>
          <w:sz w:val="22"/>
          <w:szCs w:val="22"/>
        </w:rPr>
        <w:t xml:space="preserve">K. Li, S. Kodera, D. Poljak, Y. Diao, K. Sasaki, A. Šušnjara, A. Prokop, K. Taguchi, J. Xi, S. Zhang, M. Yao, G. Sacco, M. Zhadobov, W. El Hajj, and A. Hirata. “Calculated epithelial/absorbed power density for exposure from antennas at 10-90 GHz: Intercomparison study using a planar skin model.” </w:t>
      </w:r>
      <w:r>
        <w:rPr>
          <w:rStyle w:val="DefaultParagraphFont"/>
          <w:i/>
          <w:iCs/>
          <w:sz w:val="22"/>
          <w:szCs w:val="22"/>
        </w:rPr>
        <w:t>IEEE Access</w:t>
      </w:r>
      <w:r>
        <w:rPr>
          <w:sz w:val="22"/>
          <w:szCs w:val="22"/>
        </w:rPr>
        <w:t>, 11:7420-7435, 2023.</w:t>
      </w:r>
      <w:r>
        <w:br w:type="page"/>
      </w:r>
    </w:p>
    <w:p>
      <w:pPr>
        <w:pStyle w:val="Normal"/>
        <w:ind w:left="340" w:hanging="340"/>
        <w:jc w:val="center"/>
        <w:rPr>
          <w:rFonts w:ascii="Calibri" w:hAnsi="Calibri"/>
          <w:b/>
          <w:color w:val="000000"/>
          <w:sz w:val="28"/>
          <w:szCs w:val="28"/>
        </w:rPr>
      </w:pPr>
      <w:r>
        <w:rPr>
          <w:rFonts w:ascii="Calibri" w:hAnsi="Calibri"/>
          <w:b/>
          <w:color w:val="000000"/>
          <w:sz w:val="28"/>
          <w:szCs w:val="28"/>
        </w:rPr>
        <w:t>KRATAK ŽIVOTOPIS PRISTUPNIKA</w:t>
      </w:r>
    </w:p>
    <w:p>
      <w:pPr>
        <w:pStyle w:val="Normal"/>
        <w:jc w:val="right"/>
        <w:rPr>
          <w:rFonts w:ascii="Calibri" w:hAnsi="Calibri"/>
          <w:sz w:val="28"/>
          <w:szCs w:val="28"/>
        </w:rPr>
      </w:pPr>
      <w:r>
        <w:rPr>
          <w:rFonts w:ascii="Calibri" w:hAnsi="Calibri"/>
          <w:sz w:val="28"/>
          <w:szCs w:val="28"/>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3150"/>
        <w:gridCol w:w="5921"/>
      </w:tblGrid>
      <w:tr>
        <w:trPr>
          <w:cantSplit w:val="true"/>
        </w:trPr>
        <w:tc>
          <w:tcPr>
            <w:tcW w:w="3150" w:type="dxa"/>
            <w:tcBorders>
              <w:right w:val="single" w:sz="2" w:space="0" w:color="000000"/>
            </w:tcBorders>
          </w:tcPr>
          <w:p>
            <w:pPr>
              <w:pStyle w:val="CVHeading1"/>
              <w:widowControl w:val="false"/>
              <w:spacing w:before="0" w:after="0"/>
              <w:rPr>
                <w:rFonts w:ascii="Calibri" w:hAnsi="Calibri"/>
                <w:szCs w:val="24"/>
                <w:lang w:val="hr-HR"/>
              </w:rPr>
            </w:pPr>
            <w:r>
              <w:rPr>
                <w:rFonts w:ascii="Calibri" w:hAnsi="Calibri"/>
                <w:szCs w:val="24"/>
                <w:lang w:val="hr-HR"/>
              </w:rPr>
              <w:t>Osobni podaci</w:t>
            </w:r>
          </w:p>
        </w:tc>
        <w:tc>
          <w:tcPr>
            <w:tcW w:w="5921" w:type="dxa"/>
            <w:tcBorders/>
          </w:tcPr>
          <w:p>
            <w:pPr>
              <w:pStyle w:val="CVNormal"/>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2-FirstLine"/>
              <w:widowControl w:val="false"/>
              <w:spacing w:before="0" w:after="0"/>
              <w:rPr>
                <w:rFonts w:ascii="Calibri" w:hAnsi="Calibri"/>
                <w:szCs w:val="22"/>
                <w:lang w:val="hr-HR"/>
              </w:rPr>
            </w:pPr>
            <w:r>
              <w:rPr>
                <w:rFonts w:ascii="Calibri" w:hAnsi="Calibri"/>
              </w:rPr>
              <w:t xml:space="preserve"> </w:t>
            </w:r>
            <w:r>
              <w:rPr>
                <w:rFonts w:ascii="Calibri" w:hAnsi="Calibri"/>
                <w:szCs w:val="22"/>
                <w:lang w:val="hr-HR"/>
              </w:rPr>
              <w:t>Prezime / Ime</w:t>
            </w:r>
          </w:p>
        </w:tc>
        <w:tc>
          <w:tcPr>
            <w:tcW w:w="5921" w:type="dxa"/>
            <w:tcBorders/>
          </w:tcPr>
          <w:p>
            <w:pPr>
              <w:pStyle w:val="CVMajor-FirstLine"/>
              <w:widowControl w:val="false"/>
              <w:suppressAutoHyphens w:val="true"/>
              <w:bidi w:val="0"/>
              <w:spacing w:before="0" w:after="0"/>
              <w:ind w:left="89" w:right="89" w:hanging="0"/>
              <w:jc w:val="left"/>
              <w:rPr>
                <w:rFonts w:ascii="Calibri" w:hAnsi="Calibri"/>
                <w:b w:val="false"/>
                <w:sz w:val="20"/>
                <w:lang w:val="hr-HR"/>
              </w:rPr>
            </w:pPr>
            <w:r>
              <w:rPr>
                <w:rFonts w:ascii="Calibri" w:hAnsi="Calibri"/>
                <w:b w:val="false"/>
                <w:sz w:val="20"/>
                <w:lang w:val="hr-HR"/>
              </w:rPr>
              <w:t>Kapetanović, Ante</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1"/>
              <w:widowControl w:val="false"/>
              <w:spacing w:before="0" w:after="0"/>
              <w:rPr>
                <w:rFonts w:ascii="Calibri" w:hAnsi="Calibri"/>
              </w:rPr>
            </w:pPr>
            <w:r>
              <w:rPr>
                <w:rFonts w:ascii="Calibri" w:hAnsi="Calibri"/>
                <w:szCs w:val="24"/>
              </w:rPr>
              <w:t xml:space="preserve"> </w:t>
            </w:r>
            <w:r>
              <w:rPr>
                <w:rFonts w:ascii="Calibri" w:hAnsi="Calibri"/>
                <w:szCs w:val="24"/>
                <w:lang w:val="hr-HR"/>
              </w:rPr>
              <w:t>Radno iskustvo</w:t>
            </w:r>
            <w:r>
              <w:rPr>
                <w:rFonts w:ascii="Calibri" w:hAnsi="Calibri"/>
              </w:rPr>
              <w:t xml:space="preserve"> </w:t>
            </w:r>
          </w:p>
        </w:tc>
        <w:tc>
          <w:tcPr>
            <w:tcW w:w="5921" w:type="dxa"/>
            <w:tcBorders/>
          </w:tcPr>
          <w:p>
            <w:pPr>
              <w:pStyle w:val="CVNormal-FirstLine"/>
              <w:widowControl w:val="false"/>
              <w:spacing w:before="0" w:after="0"/>
              <w:rPr>
                <w:rFonts w:ascii="Calibri" w:hAnsi="Calibri"/>
              </w:rPr>
            </w:pPr>
            <w:r>
              <w:rPr>
                <w:rFonts w:ascii="Calibri" w:hAnsi="Calibri"/>
              </w:rPr>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3"/>
              <w:widowControl w:val="false"/>
              <w:rPr>
                <w:rFonts w:ascii="Calibri" w:hAnsi="Calibri"/>
                <w:lang w:val="hr-HR"/>
              </w:rPr>
            </w:pPr>
            <w:r>
              <w:rPr>
                <w:rFonts w:ascii="Calibri" w:hAnsi="Calibri"/>
                <w:lang w:val="hr-HR"/>
              </w:rPr>
              <w:t>Datumi</w:t>
            </w:r>
          </w:p>
        </w:tc>
        <w:tc>
          <w:tcPr>
            <w:tcW w:w="5921" w:type="dxa"/>
            <w:tcBorders/>
          </w:tcPr>
          <w:p>
            <w:pPr>
              <w:pStyle w:val="CVNormal"/>
              <w:widowControl w:val="false"/>
              <w:suppressAutoHyphens w:val="true"/>
              <w:bidi w:val="0"/>
              <w:spacing w:before="0" w:after="0"/>
              <w:ind w:left="89" w:right="89" w:hanging="0"/>
              <w:jc w:val="left"/>
              <w:rPr>
                <w:rFonts w:ascii="Calibri" w:hAnsi="Calibri"/>
                <w:lang w:val="hr-HR"/>
              </w:rPr>
            </w:pPr>
            <w:r>
              <w:rPr>
                <w:rFonts w:ascii="sans-serif" w:hAnsi="sans-serif"/>
                <w:lang w:val="hr-HR"/>
              </w:rPr>
              <w:t>Listopad, 2019 - danas</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Zanimanje ili radno mjesto</w:t>
            </w:r>
          </w:p>
        </w:tc>
        <w:tc>
          <w:tcPr>
            <w:tcW w:w="5921" w:type="dxa"/>
            <w:tcBorders/>
          </w:tcPr>
          <w:p>
            <w:pPr>
              <w:pStyle w:val="CVNormal"/>
              <w:widowControl w:val="false"/>
              <w:ind w:left="113" w:right="113" w:hanging="0"/>
              <w:rPr>
                <w:rFonts w:ascii="Calibri" w:hAnsi="Calibri"/>
              </w:rPr>
            </w:pPr>
            <w:r>
              <w:rPr>
                <w:rFonts w:ascii="sans-serif" w:hAnsi="sans-serif"/>
              </w:rPr>
              <w:t>mlađi istraživač</w:t>
            </w:r>
            <w:r>
              <w:rPr>
                <w:rFonts w:ascii="Calibri" w:hAnsi="Calibri"/>
              </w:rPr>
              <w:t xml:space="preserve"> </w:t>
            </w:r>
            <w:r>
              <w:rPr>
                <w:rFonts w:ascii="sans-serif" w:hAnsi="sans-serif"/>
              </w:rPr>
              <w:t>na projektu</w:t>
            </w:r>
          </w:p>
        </w:tc>
      </w:tr>
      <w:tr>
        <w:trPr>
          <w:cantSplit w:val="true"/>
        </w:trPr>
        <w:tc>
          <w:tcPr>
            <w:tcW w:w="3150" w:type="dxa"/>
            <w:tcBorders>
              <w:right w:val="single" w:sz="2" w:space="0" w:color="000000"/>
            </w:tcBorders>
          </w:tcPr>
          <w:p>
            <w:pPr>
              <w:pStyle w:val="CVHeading3"/>
              <w:widowControl w:val="false"/>
              <w:rPr>
                <w:rFonts w:ascii="Calibri" w:hAnsi="Calibri"/>
                <w:lang w:val="hr-HR"/>
              </w:rPr>
            </w:pPr>
            <w:r>
              <w:rPr>
                <w:rFonts w:ascii="Calibri" w:hAnsi="Calibri"/>
                <w:lang w:val="hr-HR"/>
              </w:rPr>
              <w:t>Glavni poslovi i odgovornosti</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sans-serif" w:hAnsi="sans-serif"/>
              </w:rPr>
              <w:t>Istraživački rad u području računalne elektromagnetske i toplinske dozimetrije; izvođenje nastave diplomskom i stručnom studiju u području elektromagnetske kompatibilnosti.</w:t>
            </w:r>
          </w:p>
        </w:tc>
      </w:tr>
      <w:tr>
        <w:trPr>
          <w:cantSplit w:val="true"/>
        </w:trPr>
        <w:tc>
          <w:tcPr>
            <w:tcW w:w="3150" w:type="dxa"/>
            <w:tcBorders>
              <w:right w:val="single" w:sz="2" w:space="0" w:color="000000"/>
            </w:tcBorders>
          </w:tcPr>
          <w:p>
            <w:pPr>
              <w:pStyle w:val="CVHeading3"/>
              <w:widowControl w:val="false"/>
              <w:rPr>
                <w:rFonts w:ascii="Calibri" w:hAnsi="Calibri"/>
                <w:lang w:val="hr-HR"/>
              </w:rPr>
            </w:pPr>
            <w:r>
              <w:rPr>
                <w:rFonts w:ascii="Calibri" w:hAnsi="Calibri"/>
                <w:lang w:val="hr-HR"/>
              </w:rPr>
              <w:t>Ime i adresa poslodavca</w:t>
            </w:r>
          </w:p>
        </w:tc>
        <w:tc>
          <w:tcPr>
            <w:tcW w:w="5921" w:type="dxa"/>
            <w:tcBorders/>
          </w:tcPr>
          <w:p>
            <w:pPr>
              <w:pStyle w:val="CVNormal"/>
              <w:widowControl w:val="false"/>
              <w:suppressAutoHyphens w:val="true"/>
              <w:bidi w:val="0"/>
              <w:spacing w:before="0" w:after="0"/>
              <w:ind w:left="89" w:right="89" w:hanging="0"/>
              <w:jc w:val="left"/>
              <w:rPr>
                <w:rFonts w:ascii="sans-serif" w:hAnsi="sans-serif"/>
              </w:rPr>
            </w:pPr>
            <w:r>
              <w:rPr>
                <w:rFonts w:ascii="sans-serif" w:hAnsi="sans-serif"/>
              </w:rPr>
              <w:t>Fakultet elektrotehnike, strojarstva i brodogradnje, R. Boškovića 32, 21000 Split</w:t>
            </w:r>
          </w:p>
        </w:tc>
      </w:tr>
      <w:tr>
        <w:trPr>
          <w:cantSplit w:val="true"/>
        </w:trPr>
        <w:tc>
          <w:tcPr>
            <w:tcW w:w="3150" w:type="dxa"/>
            <w:tcBorders>
              <w:right w:val="single" w:sz="2" w:space="0" w:color="000000"/>
            </w:tcBorders>
          </w:tcPr>
          <w:p>
            <w:pPr>
              <w:pStyle w:val="CVHeading3"/>
              <w:widowControl w:val="false"/>
              <w:rPr>
                <w:rFonts w:ascii="Calibri" w:hAnsi="Calibri"/>
                <w:lang w:val="hr-HR"/>
              </w:rPr>
            </w:pPr>
            <w:r>
              <w:rPr>
                <w:rFonts w:ascii="Calibri" w:hAnsi="Calibri"/>
                <w:lang w:val="hr-HR"/>
              </w:rPr>
              <w:t>Vrsta djelatnosti ili sektor</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sans-serif" w:hAnsi="sans-serif"/>
              </w:rPr>
              <w:t>Obrazovanje</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1"/>
              <w:widowControl w:val="false"/>
              <w:spacing w:before="0" w:after="0"/>
              <w:ind w:left="0" w:right="113" w:hanging="0"/>
              <w:rPr>
                <w:rFonts w:ascii="Calibri" w:hAnsi="Calibri"/>
                <w:szCs w:val="24"/>
                <w:lang w:val="hr-HR"/>
              </w:rPr>
            </w:pPr>
            <w:r>
              <w:rPr>
                <w:rFonts w:ascii="Calibri" w:hAnsi="Calibri"/>
                <w:szCs w:val="24"/>
                <w:lang w:val="hr-HR"/>
              </w:rPr>
              <w:t>Obrazovanje i osposobljavanje</w:t>
            </w:r>
          </w:p>
        </w:tc>
        <w:tc>
          <w:tcPr>
            <w:tcW w:w="5921" w:type="dxa"/>
            <w:tcBorders/>
          </w:tcPr>
          <w:p>
            <w:pPr>
              <w:pStyle w:val="CVNormal-FirstLine"/>
              <w:widowControl w:val="false"/>
              <w:spacing w:before="0" w:after="0"/>
              <w:rPr>
                <w:rFonts w:ascii="Calibri" w:hAnsi="Calibri"/>
              </w:rPr>
            </w:pPr>
            <w:r>
              <w:rPr>
                <w:rFonts w:ascii="Calibri" w:hAnsi="Calibri"/>
              </w:rPr>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3"/>
              <w:widowControl w:val="false"/>
              <w:rPr>
                <w:rFonts w:ascii="Calibri" w:hAnsi="Calibri"/>
                <w:lang w:val="hr-HR"/>
              </w:rPr>
            </w:pPr>
            <w:r>
              <w:rPr>
                <w:rFonts w:ascii="Calibri" w:hAnsi="Calibri"/>
                <w:lang w:val="hr-HR"/>
              </w:rPr>
              <w:t>Datumi</w:t>
            </w:r>
          </w:p>
        </w:tc>
        <w:tc>
          <w:tcPr>
            <w:tcW w:w="5921" w:type="dxa"/>
            <w:tcBorders/>
          </w:tcPr>
          <w:p>
            <w:pPr>
              <w:pStyle w:val="CVNormal"/>
              <w:widowControl w:val="false"/>
              <w:ind w:left="113" w:right="113" w:hanging="0"/>
              <w:rPr>
                <w:rFonts w:ascii="Calibri" w:hAnsi="Calibri"/>
              </w:rPr>
            </w:pPr>
            <w:r>
              <w:rPr>
                <w:rFonts w:ascii="sans-serif" w:hAnsi="sans-serif"/>
              </w:rPr>
              <w:t>Rujan, 2017 - Rujan, 2019</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Naziv </w:t>
            </w:r>
            <w:r>
              <w:rPr>
                <w:rFonts w:ascii="Calibri" w:hAnsi="Calibri"/>
                <w:lang w:val="hr-HR"/>
              </w:rPr>
              <w:t>dodijeljene</w:t>
            </w:r>
            <w:r>
              <w:rPr>
                <w:rFonts w:ascii="Calibri" w:hAnsi="Calibri"/>
              </w:rPr>
              <w:t xml:space="preserve"> kvalifikacije</w:t>
            </w:r>
          </w:p>
        </w:tc>
        <w:tc>
          <w:tcPr>
            <w:tcW w:w="5921" w:type="dxa"/>
            <w:tcBorders/>
          </w:tcPr>
          <w:p>
            <w:pPr>
              <w:pStyle w:val="CVNormal"/>
              <w:widowControl w:val="false"/>
              <w:ind w:left="113" w:right="113" w:hanging="0"/>
              <w:rPr>
                <w:rFonts w:ascii="sans-serif" w:hAnsi="sans-serif"/>
              </w:rPr>
            </w:pPr>
            <w:r>
              <w:rPr>
                <w:rFonts w:ascii="sans-serif" w:hAnsi="sans-serif"/>
              </w:rPr>
              <w:t>Magistar inženjer elektrotehnike i informacijske tehnologije</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Glavni predmeti / stečene profesionalne vještine</w:t>
            </w:r>
          </w:p>
        </w:tc>
        <w:tc>
          <w:tcPr>
            <w:tcW w:w="5921" w:type="dxa"/>
            <w:tcBorders/>
          </w:tcPr>
          <w:p>
            <w:pPr>
              <w:pStyle w:val="CVNormal"/>
              <w:widowControl w:val="false"/>
              <w:ind w:left="113" w:right="113" w:hanging="0"/>
              <w:rPr/>
            </w:pPr>
            <w:r>
              <w:rPr>
                <w:rFonts w:ascii="sans-serif" w:hAnsi="sans-serif"/>
              </w:rPr>
              <w:t>Polja i valovi u elektronici, mjerenja u bežičnim sustavima, Numeričke metode u komunikacijama / numeričko programiranje, istraživački rad</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Ime i vrsta organizacije pružatelja obrazovanja i osposobljavanja</w:t>
            </w:r>
          </w:p>
        </w:tc>
        <w:tc>
          <w:tcPr>
            <w:tcW w:w="5921" w:type="dxa"/>
            <w:tcBorders/>
          </w:tcPr>
          <w:p>
            <w:pPr>
              <w:pStyle w:val="CVNormal"/>
              <w:widowControl w:val="false"/>
              <w:ind w:left="113" w:right="113" w:hanging="0"/>
              <w:rPr/>
            </w:pPr>
            <w:r>
              <w:rPr>
                <w:rFonts w:ascii="sans-serif" w:hAnsi="sans-serif"/>
              </w:rPr>
              <w:t>Fakultet elektrotehnike, strojarstva i brodogradnje, Sveučilište u Splitu</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3"/>
              <w:widowControl w:val="false"/>
              <w:rPr>
                <w:rFonts w:ascii="Calibri" w:hAnsi="Calibri"/>
                <w:lang w:val="hr-HR"/>
              </w:rPr>
            </w:pPr>
            <w:r>
              <w:rPr>
                <w:rFonts w:ascii="Calibri" w:hAnsi="Calibri"/>
                <w:lang w:val="hr-HR"/>
              </w:rPr>
              <w:t>Datumi</w:t>
            </w:r>
          </w:p>
        </w:tc>
        <w:tc>
          <w:tcPr>
            <w:tcW w:w="5921" w:type="dxa"/>
            <w:tcBorders/>
          </w:tcPr>
          <w:p>
            <w:pPr>
              <w:pStyle w:val="CVNormal"/>
              <w:widowControl w:val="false"/>
              <w:ind w:left="113" w:right="113" w:hanging="0"/>
              <w:rPr>
                <w:rFonts w:ascii="Calibri" w:hAnsi="Calibri"/>
              </w:rPr>
            </w:pPr>
            <w:r>
              <w:rPr>
                <w:rFonts w:ascii="sans-serif" w:hAnsi="sans-serif"/>
              </w:rPr>
              <w:t>Rujan, 2014 - Rujan, 2017</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Naziv </w:t>
            </w:r>
            <w:r>
              <w:rPr>
                <w:rFonts w:ascii="Calibri" w:hAnsi="Calibri"/>
                <w:lang w:val="hr-HR"/>
              </w:rPr>
              <w:t>dodijeljene</w:t>
            </w:r>
            <w:r>
              <w:rPr>
                <w:rFonts w:ascii="Calibri" w:hAnsi="Calibri"/>
              </w:rPr>
              <w:t xml:space="preserve"> kvalifikacije</w:t>
            </w:r>
          </w:p>
        </w:tc>
        <w:tc>
          <w:tcPr>
            <w:tcW w:w="5921" w:type="dxa"/>
            <w:tcBorders/>
          </w:tcPr>
          <w:p>
            <w:pPr>
              <w:pStyle w:val="CVNormal"/>
              <w:widowControl w:val="false"/>
              <w:ind w:left="113" w:right="113" w:hanging="0"/>
              <w:rPr/>
            </w:pPr>
            <w:r>
              <w:rPr>
                <w:rFonts w:ascii="sans-serif" w:hAnsi="sans-serif"/>
              </w:rPr>
              <w:t>sveučilišni prvostupnik (</w:t>
            </w:r>
            <w:r>
              <w:rPr>
                <w:rFonts w:ascii="sans-serif" w:hAnsi="sans-serif"/>
                <w:i/>
                <w:iCs/>
              </w:rPr>
              <w:t>baccalaureus</w:t>
            </w:r>
            <w:r>
              <w:rPr>
                <w:rFonts w:ascii="sans-serif" w:hAnsi="sans-serif"/>
              </w:rPr>
              <w:t>) inženjer elektrotehnike i informacijske tehnologije</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Glavni predmeti / stečene profesionalne vještine</w:t>
            </w:r>
          </w:p>
        </w:tc>
        <w:tc>
          <w:tcPr>
            <w:tcW w:w="5921" w:type="dxa"/>
            <w:tcBorders/>
          </w:tcPr>
          <w:p>
            <w:pPr>
              <w:pStyle w:val="CVNormal"/>
              <w:widowControl w:val="false"/>
              <w:ind w:left="113" w:right="113" w:hanging="0"/>
              <w:rPr/>
            </w:pPr>
            <w:r>
              <w:rPr>
                <w:rFonts w:ascii="sans-serif" w:hAnsi="sans-serif"/>
              </w:rPr>
              <w:t>Osnovne elektrotehnike, Diferencijalni i integralni račun, Vektorska analiza, Impulsni i digitalni sklopovi</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Ime i vrsta organizacije pružatelja obrazovanja i osposobljavanja</w:t>
            </w:r>
          </w:p>
        </w:tc>
        <w:tc>
          <w:tcPr>
            <w:tcW w:w="5921" w:type="dxa"/>
            <w:tcBorders/>
          </w:tcPr>
          <w:p>
            <w:pPr>
              <w:pStyle w:val="CVNormal"/>
              <w:widowControl w:val="false"/>
              <w:ind w:left="113" w:right="113" w:hanging="0"/>
              <w:rPr/>
            </w:pPr>
            <w:r>
              <w:rPr>
                <w:rFonts w:ascii="sans-serif" w:hAnsi="sans-serif"/>
              </w:rPr>
              <w:t>Fakultet elektrotehnike, strojarstva i brodogradnje, Sveučilište u Splitu</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Normal"/>
              <w:widowControl w:val="false"/>
              <w:ind w:right="135" w:hanging="0"/>
              <w:jc w:val="right"/>
              <w:rPr>
                <w:rFonts w:ascii="Calibri" w:hAnsi="Calibri"/>
                <w:color w:val="000000"/>
                <w:sz w:val="20"/>
                <w:szCs w:val="20"/>
              </w:rPr>
            </w:pPr>
            <w:r>
              <w:rPr>
                <w:rFonts w:ascii="Calibri" w:hAnsi="Calibri"/>
                <w:b/>
                <w:bCs/>
                <w:color w:val="000000"/>
                <w:sz w:val="20"/>
                <w:szCs w:val="20"/>
              </w:rPr>
              <w:t>Tehničke vještine i kompetencije</w:t>
            </w:r>
          </w:p>
        </w:tc>
        <w:tc>
          <w:tcPr>
            <w:tcW w:w="5921" w:type="dxa"/>
            <w:tcBorders/>
          </w:tcPr>
          <w:p>
            <w:pPr>
              <w:pStyle w:val="CVNormal"/>
              <w:widowControl w:val="false"/>
              <w:ind w:left="113" w:right="113" w:hanging="0"/>
              <w:rPr>
                <w:rFonts w:ascii="Calibri" w:hAnsi="Calibri"/>
                <w:lang w:val="hr-HR"/>
              </w:rPr>
            </w:pPr>
            <w:r>
              <w:rPr>
                <w:rFonts w:ascii="sans-serif" w:hAnsi="sans-serif"/>
                <w:lang w:val="hr-HR"/>
              </w:rPr>
              <w:t>numeričko programiranje, podatkovna analiza, znanstveno pisanje</w:t>
            </w:r>
          </w:p>
        </w:tc>
      </w:tr>
      <w:tr>
        <w:trPr>
          <w:cantSplit w:val="true"/>
        </w:trPr>
        <w:tc>
          <w:tcPr>
            <w:tcW w:w="3150" w:type="dxa"/>
            <w:tcBorders>
              <w:right w:val="single" w:sz="2" w:space="0" w:color="000000"/>
            </w:tcBorders>
          </w:tcPr>
          <w:p>
            <w:pPr>
              <w:pStyle w:val="CVSpacer"/>
              <w:widowControl w:val="false"/>
              <w:rPr>
                <w:rFonts w:ascii="Calibri" w:hAnsi="Calibri"/>
                <w:color w:val="000000"/>
              </w:rPr>
            </w:pPr>
            <w:r>
              <w:rPr>
                <w:rFonts w:ascii="Calibri" w:hAnsi="Calibri"/>
                <w:color w:val="000000"/>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Normal"/>
              <w:widowControl w:val="false"/>
              <w:ind w:right="165" w:hanging="0"/>
              <w:jc w:val="right"/>
              <w:rPr>
                <w:rFonts w:ascii="Calibri" w:hAnsi="Calibri"/>
                <w:color w:val="000000"/>
                <w:sz w:val="20"/>
                <w:szCs w:val="20"/>
              </w:rPr>
            </w:pPr>
            <w:r>
              <w:rPr>
                <w:rFonts w:ascii="Calibri" w:hAnsi="Calibri"/>
                <w:b/>
                <w:bCs/>
                <w:color w:val="000000"/>
                <w:sz w:val="20"/>
                <w:szCs w:val="20"/>
              </w:rPr>
              <w:t>Računalne vještine i kompetencije</w:t>
            </w:r>
          </w:p>
        </w:tc>
        <w:tc>
          <w:tcPr>
            <w:tcW w:w="5921" w:type="dxa"/>
            <w:tcBorders/>
          </w:tcPr>
          <w:p>
            <w:pPr>
              <w:pStyle w:val="CVNormal"/>
              <w:widowControl w:val="false"/>
              <w:ind w:left="113" w:right="113" w:hanging="0"/>
              <w:rPr/>
            </w:pPr>
            <w:r>
              <w:rPr>
                <w:rFonts w:ascii="sans-serif" w:hAnsi="sans-serif"/>
              </w:rPr>
              <w:t>Python: SciPy ekosistem biblioteka (numeričke metode), Jax i Pytorch (duboko učenje), scikit-learn (strojno učenje), Jupyter uz Matplotlib, Seaborn i Mayavi (obrada podataka i vizualizacija), LaTeX uz PGF/TikZ (znanstveno pisanje)</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bl>
    <w:p>
      <w:pPr>
        <w:pStyle w:val="Normal"/>
        <w:jc w:val="both"/>
        <w:rPr>
          <w:rFonts w:ascii="Calibri" w:hAnsi="Calibri"/>
          <w:b/>
          <w:color w:val="000000"/>
          <w:sz w:val="28"/>
          <w:szCs w:val="28"/>
        </w:rPr>
      </w:pPr>
      <w:r>
        <w:rPr>
          <w:rFonts w:ascii="Calibri" w:hAnsi="Calibri"/>
          <w:b/>
          <w:color w:val="000000"/>
          <w:sz w:val="28"/>
          <w:szCs w:val="28"/>
        </w:rPr>
      </w:r>
      <w:r>
        <w:br w:type="page"/>
      </w:r>
    </w:p>
    <w:p>
      <w:pPr>
        <w:pStyle w:val="Normal"/>
        <w:jc w:val="center"/>
        <w:rPr>
          <w:rFonts w:ascii="Calibri" w:hAnsi="Calibri"/>
          <w:b/>
          <w:color w:val="000000"/>
          <w:sz w:val="28"/>
          <w:szCs w:val="28"/>
        </w:rPr>
      </w:pPr>
      <w:r>
        <w:rPr>
          <w:rFonts w:ascii="Calibri" w:hAnsi="Calibri"/>
          <w:b/>
          <w:color w:val="000000"/>
          <w:sz w:val="28"/>
          <w:szCs w:val="28"/>
        </w:rPr>
        <w:t>POPIS ZNANSTVENIH RADOVA PRISTUPNIKA IZ PODRUČJA PREDLOŽENE TEME DOKTORSKOG RADA*</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b/>
                <w:bCs/>
              </w:rPr>
            </w:pPr>
            <w:r>
              <w:rPr>
                <w:rFonts w:ascii="Calibri" w:hAnsi="Calibri"/>
                <w:b/>
                <w:bCs/>
              </w:rPr>
              <w:t>Znanstveni radovi kategorije A</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cs="Calibri"/>
                <w:lang w:val="hr-HR"/>
              </w:rPr>
            </w:pPr>
            <w:r>
              <w:rPr>
                <w:rFonts w:cs="Calibri" w:ascii="sans-serif" w:hAnsi="sans-serif"/>
                <w:b/>
                <w:bCs/>
                <w:lang w:val="hr-HR"/>
              </w:rPr>
              <w:t>Kapetanović, A.</w:t>
            </w:r>
            <w:r>
              <w:rPr>
                <w:rFonts w:cs="Calibri" w:ascii="sans-serif" w:hAnsi="sans-serif"/>
                <w:lang w:val="hr-HR"/>
              </w:rPr>
              <w:t>, Sacco, G., Poljak, D., Zhadobov, M.</w:t>
            </w:r>
          </w:p>
        </w:tc>
      </w:tr>
      <w:tr>
        <w:trPr>
          <w:cantSplit w:val="true"/>
        </w:trPr>
        <w:tc>
          <w:tcPr>
            <w:tcW w:w="2619" w:type="dxa"/>
            <w:tcBorders>
              <w:right w:val="single" w:sz="2" w:space="0" w:color="000000"/>
            </w:tcBorders>
          </w:tcPr>
          <w:p>
            <w:pPr>
              <w:pStyle w:val="CVHeading3"/>
              <w:widowControl w:val="false"/>
              <w:rPr>
                <w:rFonts w:ascii="Calibri" w:hAnsi="Calibri" w:cs="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cs="Calibri"/>
              </w:rPr>
            </w:pPr>
            <w:r>
              <w:rPr>
                <w:rFonts w:cs="Calibri" w:ascii="sans-serif" w:hAnsi="sans-serif"/>
              </w:rPr>
              <w:t>Area-Averaged Transmitted and Absorbed Power Density on Realistic Body Parts</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cs="Calibri"/>
              </w:rPr>
            </w:pPr>
            <w:r>
              <w:rPr>
                <w:rFonts w:cs="Calibri" w:ascii="Calibri" w:hAnsi="Calibri"/>
              </w:rPr>
              <w:t>I</w:t>
            </w:r>
            <w:r>
              <w:rPr>
                <w:rFonts w:ascii="sans-serif" w:hAnsi="sans-serif"/>
              </w:rPr>
              <w:t>EEE Journal of Electromagnetics, RF and Microwaves in Medicine and Biology</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Broj izdanja, stranice, godina</w:t>
            </w:r>
          </w:p>
        </w:tc>
        <w:tc>
          <w:tcPr>
            <w:tcW w:w="6452" w:type="dxa"/>
            <w:tcBorders/>
            <w:vAlign w:val="center"/>
          </w:tcPr>
          <w:p>
            <w:pPr>
              <w:pStyle w:val="Normal"/>
              <w:widowControl w:val="false"/>
              <w:rPr>
                <w:rFonts w:ascii="Sans-serif" w:hAnsi="Sans-serif" w:cs="Calibri"/>
                <w:sz w:val="20"/>
                <w:szCs w:val="20"/>
              </w:rPr>
            </w:pPr>
            <w:r>
              <w:rPr>
                <w:rFonts w:cs="Calibri" w:ascii="Sans-serif" w:hAnsi="Sans-serif"/>
                <w:sz w:val="20"/>
                <w:szCs w:val="20"/>
              </w:rPr>
              <w:t xml:space="preserve">  </w:t>
            </w:r>
            <w:r>
              <w:rPr>
                <w:rFonts w:cs="Calibri" w:ascii="Sans-serif" w:hAnsi="Sans-serif"/>
                <w:sz w:val="20"/>
                <w:szCs w:val="20"/>
              </w:rPr>
              <w:t>7(1), 39-45, 2023</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cs="Calibri"/>
              </w:rPr>
            </w:pPr>
            <w:r>
              <w:rPr>
                <w:rFonts w:cs="Calibri" w:ascii="sans-serif" w:hAnsi="sans-serif"/>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cs="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cs="Calibri"/>
                <w:lang w:val="hr-HR"/>
              </w:rPr>
            </w:pPr>
            <w:r>
              <w:rPr>
                <w:rFonts w:cs="Calibri" w:ascii="sans-serif" w:hAnsi="sans-serif"/>
                <w:b/>
                <w:bCs/>
                <w:lang w:val="hr-HR"/>
              </w:rPr>
              <w:t>Kapetanović, A.</w:t>
            </w:r>
            <w:r>
              <w:rPr>
                <w:rFonts w:cs="Calibri" w:ascii="sans-serif" w:hAnsi="sans-serif"/>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cs="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cs="Calibri"/>
              </w:rPr>
            </w:pPr>
            <w:r>
              <w:rPr>
                <w:rFonts w:cs="Calibri" w:ascii="sans-serif" w:hAnsi="sans-serif"/>
              </w:rPr>
              <w:t>Assessment of Incident Power Density on Spherical Head Model up to 100 GHz</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cs="Calibri"/>
              </w:rPr>
            </w:pPr>
            <w:r>
              <w:rPr>
                <w:rFonts w:cs="Calibri" w:ascii="sans-serif" w:hAnsi="sans-serif"/>
              </w:rPr>
              <w:t>IEEE Transactions on Electromagnetic Compatibility</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Broj izdanja, stranice, godina</w:t>
            </w:r>
          </w:p>
        </w:tc>
        <w:tc>
          <w:tcPr>
            <w:tcW w:w="6452" w:type="dxa"/>
            <w:tcBorders/>
            <w:vAlign w:val="center"/>
          </w:tcPr>
          <w:p>
            <w:pPr>
              <w:pStyle w:val="Normal"/>
              <w:widowControl w:val="false"/>
              <w:rPr>
                <w:rFonts w:cs="Calibri"/>
                <w:sz w:val="20"/>
                <w:szCs w:val="20"/>
              </w:rPr>
            </w:pPr>
            <w:r>
              <w:rPr>
                <w:rFonts w:cs="Calibri" w:ascii="sans-serif" w:hAnsi="sans-serif"/>
                <w:sz w:val="20"/>
                <w:szCs w:val="20"/>
              </w:rPr>
              <w:t xml:space="preserve">  </w:t>
            </w:r>
            <w:r>
              <w:rPr>
                <w:rFonts w:cs="Calibri" w:ascii="sans-serif" w:hAnsi="sans-serif"/>
                <w:sz w:val="20"/>
                <w:szCs w:val="20"/>
              </w:rPr>
              <w:t>64, 1296-1303, 2022</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cs="Calibri"/>
              </w:rPr>
            </w:pPr>
            <w:r>
              <w:rPr>
                <w:rFonts w:cs="Calibri" w:ascii="sans-serif" w:hAnsi="sans-serif"/>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cs="Calibri"/>
              </w:rPr>
            </w:pPr>
            <w:r>
              <w:rPr>
                <w:rFonts w:cs="Calibri" w:ascii="sans-serif" w:hAnsi="sans-serif"/>
              </w:rPr>
              <w:t>2.036</w:t>
            </w:r>
          </w:p>
        </w:tc>
      </w:tr>
    </w:tbl>
    <w:p>
      <w:pPr>
        <w:pStyle w:val="Normal"/>
        <w:rPr/>
      </w:pPr>
      <w:r>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cs="Calibri"/>
                <w:lang w:val="hr-HR"/>
              </w:rPr>
            </w:pPr>
            <w:r>
              <w:rPr>
                <w:rFonts w:cs="Calibri" w:ascii="sans-serif" w:hAnsi="sans-serif"/>
                <w:b/>
                <w:bCs/>
                <w:lang w:val="hr-HR"/>
              </w:rPr>
              <w:t>Kapetanović, A.</w:t>
            </w:r>
            <w:r>
              <w:rPr>
                <w:rFonts w:cs="Calibri" w:ascii="sans-serif" w:hAnsi="sans-serif"/>
                <w:b w:val="false"/>
                <w:bCs w:val="false"/>
                <w:lang w:val="hr-HR"/>
              </w:rPr>
              <w:t>,</w:t>
            </w:r>
            <w:r>
              <w:rPr>
                <w:rFonts w:cs="Calibri" w:ascii="Calibri" w:hAnsi="Calibri"/>
                <w:lang w:val="hr-HR"/>
              </w:rPr>
              <w:t xml:space="preserve"> </w:t>
            </w:r>
            <w:r>
              <w:rPr>
                <w:rFonts w:cs="Calibri" w:ascii="sans-serif" w:hAnsi="sans-serif"/>
                <w:lang w:val="hr-HR"/>
              </w:rPr>
              <w:t>Šušnjara, A., Poljak, D.</w:t>
            </w:r>
          </w:p>
        </w:tc>
      </w:tr>
      <w:tr>
        <w:trPr>
          <w:cantSplit w:val="true"/>
        </w:trPr>
        <w:tc>
          <w:tcPr>
            <w:tcW w:w="2619" w:type="dxa"/>
            <w:tcBorders>
              <w:right w:val="single" w:sz="2" w:space="0" w:color="000000"/>
            </w:tcBorders>
          </w:tcPr>
          <w:p>
            <w:pPr>
              <w:pStyle w:val="CVHeading3"/>
              <w:widowControl w:val="false"/>
              <w:rPr>
                <w:rFonts w:ascii="Calibri" w:hAnsi="Calibri" w:cs="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cs="Calibri"/>
              </w:rPr>
            </w:pPr>
            <w:r>
              <w:rPr>
                <w:rFonts w:cs="Calibri" w:ascii="sans-serif" w:hAnsi="sans-serif"/>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cs="Calibri"/>
              </w:rPr>
            </w:pPr>
            <w:r>
              <w:rPr>
                <w:rFonts w:cs="Calibri" w:ascii="sans-serif" w:hAnsi="sans-serif"/>
              </w:rPr>
              <w:t>Nonlinear Dynamics</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Broj izdanja, stranice, godina</w:t>
            </w:r>
          </w:p>
        </w:tc>
        <w:tc>
          <w:tcPr>
            <w:tcW w:w="6452" w:type="dxa"/>
            <w:tcBorders/>
            <w:vAlign w:val="center"/>
          </w:tcPr>
          <w:p>
            <w:pPr>
              <w:pStyle w:val="Normal"/>
              <w:widowControl w:val="false"/>
              <w:rPr>
                <w:rFonts w:cs="Calibri"/>
                <w:sz w:val="20"/>
                <w:szCs w:val="20"/>
              </w:rPr>
            </w:pPr>
            <w:r>
              <w:rPr>
                <w:rFonts w:cs="Calibri" w:ascii="sans-serif" w:hAnsi="sans-serif"/>
                <w:sz w:val="20"/>
                <w:szCs w:val="20"/>
              </w:rPr>
              <w:t xml:space="preserve">  </w:t>
            </w:r>
            <w:r>
              <w:rPr>
                <w:rFonts w:cs="Calibri" w:ascii="sans-serif" w:hAnsi="sans-serif"/>
                <w:sz w:val="20"/>
                <w:szCs w:val="20"/>
              </w:rPr>
              <w:t>105, 3585-602, 2021</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cs="Calibri"/>
              </w:rPr>
            </w:pPr>
            <w:r>
              <w:rPr>
                <w:rFonts w:cs="Calibri" w:ascii="sans-serif" w:hAnsi="sans-serif"/>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cs="Calibri"/>
              </w:rPr>
            </w:pPr>
            <w:r>
              <w:rPr>
                <w:rFonts w:cs="Calibri" w:ascii="sans-serif" w:hAnsi="sans-serif"/>
              </w:rPr>
              <w:t>5.022</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cs="Calibri"/>
                <w:lang w:val="hr-HR"/>
              </w:rPr>
            </w:pPr>
            <w:r>
              <w:rPr>
                <w:rFonts w:cs="Calibri" w:ascii="sans-serif" w:hAnsi="sans-serif"/>
                <w:lang w:val="hr-HR"/>
              </w:rPr>
              <w:t xml:space="preserve">Cvetković, M., </w:t>
            </w:r>
            <w:r>
              <w:rPr>
                <w:rFonts w:cs="Calibri" w:ascii="sans-serif" w:hAnsi="sans-serif"/>
                <w:b/>
                <w:bCs/>
                <w:lang w:val="hr-HR"/>
              </w:rPr>
              <w:t>Kapetanović, A.</w:t>
            </w:r>
            <w:r>
              <w:rPr>
                <w:rFonts w:cs="Calibri" w:ascii="sans-serif" w:hAnsi="sans-serif"/>
                <w:lang w:val="hr-HR"/>
              </w:rPr>
              <w:t>, Poljak, D., Dodig, H.</w:t>
            </w:r>
          </w:p>
        </w:tc>
      </w:tr>
      <w:tr>
        <w:trPr>
          <w:cantSplit w:val="true"/>
        </w:trPr>
        <w:tc>
          <w:tcPr>
            <w:tcW w:w="2619" w:type="dxa"/>
            <w:tcBorders>
              <w:right w:val="single" w:sz="2" w:space="0" w:color="000000"/>
            </w:tcBorders>
          </w:tcPr>
          <w:p>
            <w:pPr>
              <w:pStyle w:val="CVHeading3"/>
              <w:widowControl w:val="false"/>
              <w:rPr>
                <w:rFonts w:ascii="Calibri" w:hAnsi="Calibri" w:cs="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cs="Calibri"/>
              </w:rPr>
            </w:pPr>
            <w:r>
              <w:rPr>
                <w:rFonts w:cs="Calibri" w:ascii="sans-serif" w:hAnsi="sans-serif"/>
              </w:rPr>
              <w:t>On the Applicability of Numerical Quadrature for Double Surface Integrals at 5G Frequencies</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cs="Calibri"/>
              </w:rPr>
            </w:pPr>
            <w:r>
              <w:rPr>
                <w:rFonts w:cs="Calibri" w:ascii="sans-serif" w:hAnsi="sans-serif"/>
              </w:rPr>
              <w:t>J</w:t>
            </w:r>
            <w:r>
              <w:rPr>
                <w:rFonts w:ascii="sans-serif" w:hAnsi="sans-serif"/>
              </w:rPr>
              <w:t>ournal of communications software and systems</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Broj izdanja, stranice, godina</w:t>
            </w:r>
          </w:p>
        </w:tc>
        <w:tc>
          <w:tcPr>
            <w:tcW w:w="6452" w:type="dxa"/>
            <w:tcBorders/>
            <w:vAlign w:val="center"/>
          </w:tcPr>
          <w:p>
            <w:pPr>
              <w:pStyle w:val="Normal"/>
              <w:widowControl w:val="false"/>
              <w:rPr>
                <w:rFonts w:cs="Calibri"/>
                <w:sz w:val="20"/>
                <w:szCs w:val="20"/>
              </w:rPr>
            </w:pPr>
            <w:r>
              <w:rPr>
                <w:rFonts w:cs="Calibri" w:ascii="sans-serif" w:hAnsi="sans-serif"/>
                <w:sz w:val="20"/>
                <w:szCs w:val="20"/>
              </w:rPr>
              <w:t xml:space="preserve">  </w:t>
            </w:r>
            <w:r>
              <w:rPr>
                <w:rFonts w:cs="Calibri" w:ascii="sans-serif" w:hAnsi="sans-serif"/>
                <w:sz w:val="20"/>
                <w:szCs w:val="20"/>
              </w:rPr>
              <w:t>18:42-53, 2022</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cs="Calibri"/>
              </w:rPr>
            </w:pPr>
            <w:r>
              <w:rPr>
                <w:rFonts w:cs="Calibri" w:ascii="sans-serif" w:hAnsi="sans-serif"/>
              </w:rPr>
              <w:t>Scopus, EBSCO, INSPEC, CrossRef, Google Scholar and DOAJ</w:t>
            </w:r>
          </w:p>
        </w:tc>
      </w:tr>
      <w:tr>
        <w:trPr>
          <w:cantSplit w:val="true"/>
        </w:trPr>
        <w:tc>
          <w:tcPr>
            <w:tcW w:w="2619" w:type="dxa"/>
            <w:tcBorders>
              <w:right w:val="single" w:sz="2" w:space="0" w:color="000000"/>
            </w:tcBorders>
          </w:tcPr>
          <w:p>
            <w:pPr>
              <w:pStyle w:val="CVHeading3"/>
              <w:widowControl w:val="false"/>
              <w:rPr>
                <w:rFonts w:ascii="Calibri" w:hAnsi="Calibri" w:cs="Calibri"/>
                <w:lang w:val="hr-HR"/>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cs="Calibri"/>
              </w:rPr>
            </w:pPr>
            <w:r>
              <w:rPr>
                <w:rFonts w:cs="Calibri" w:ascii="sans-serif" w:hAnsi="sans-serif"/>
              </w:rPr>
              <w:t>1.26</w:t>
            </w:r>
          </w:p>
        </w:tc>
      </w:tr>
    </w:tbl>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7"/>
          <w:headerReference w:type="first" r:id="rId8"/>
          <w:footerReference w:type="default" r:id="rId9"/>
          <w:footerReference w:type="first" r:id="rId10"/>
          <w:type w:val="nextPage"/>
          <w:pgSz w:w="11906" w:h="16838"/>
          <w:pgMar w:left="1418" w:right="1418" w:gutter="0" w:header="142" w:top="1418" w:footer="454" w:bottom="1418"/>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9070"/>
      </w:tblGrid>
      <w:tr>
        <w:trPr/>
        <w:tc>
          <w:tcPr>
            <w:tcW w:w="9070" w:type="dxa"/>
            <w:tcBorders/>
            <w:vAlign w:val="center"/>
          </w:tcPr>
          <w:p>
            <w:pPr>
              <w:pStyle w:val="TableContents"/>
              <w:widowControl w:val="false"/>
              <w:bidi w:val="0"/>
              <w:spacing w:lineRule="auto" w:line="288" w:before="0" w:after="0"/>
              <w:rPr>
                <w:rFonts w:ascii="Calibri;sans-serif" w:hAnsi="Calibri;sans-serif"/>
                <w:b/>
                <w:i w:val="false"/>
                <w:i w:val="false"/>
                <w:caps w:val="false"/>
                <w:smallCaps w:val="false"/>
                <w:strike w:val="false"/>
                <w:dstrike w:val="false"/>
                <w:color w:val="000000"/>
                <w:sz w:val="24"/>
                <w:u w:val="none"/>
                <w:effect w:val="none"/>
                <w:shd w:fill="auto" w:val="clear"/>
              </w:rPr>
            </w:pPr>
            <w:r>
              <w:rPr>
                <w:rFonts w:ascii="Calibri;sans-serif" w:hAnsi="Calibri;sans-serif"/>
                <w:b/>
                <w:i w:val="false"/>
                <w:caps w:val="false"/>
                <w:smallCaps w:val="false"/>
                <w:strike w:val="false"/>
                <w:dstrike w:val="false"/>
                <w:color w:val="000000"/>
                <w:sz w:val="24"/>
                <w:u w:val="none"/>
                <w:effect w:val="none"/>
                <w:shd w:fill="auto" w:val="clear"/>
              </w:rPr>
              <w:t>Znanstveni radovi kategorije C</w:t>
            </w:r>
          </w:p>
        </w:tc>
      </w:tr>
    </w:tbl>
    <w:p>
      <w:pPr>
        <w:pStyle w:val="TextBody"/>
        <w:rPr>
          <w:rFonts w:ascii="Calibri" w:hAnsi="Calibri"/>
          <w:b/>
          <w:color w:val="000000"/>
          <w:sz w:val="22"/>
          <w:szCs w:val="22"/>
        </w:rPr>
      </w:pPr>
      <w:r>
        <w:rPr>
          <w:rFonts w:ascii="Calibri" w:hAnsi="Calibri"/>
          <w:b/>
          <w:color w:val="000000"/>
          <w:sz w:val="22"/>
          <w:szCs w:val="22"/>
        </w:rPr>
      </w:r>
    </w:p>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2659"/>
        <w:gridCol w:w="6410"/>
      </w:tblGrid>
      <w:tr>
        <w:trPr/>
        <w:tc>
          <w:tcPr>
            <w:tcW w:w="2659"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Autori</w:t>
            </w:r>
          </w:p>
        </w:tc>
        <w:tc>
          <w:tcPr>
            <w:tcW w:w="6410" w:type="dxa"/>
            <w:tcBorders/>
            <w:vAlign w:val="center"/>
          </w:tcPr>
          <w:p>
            <w:pPr>
              <w:pStyle w:val="TableContents"/>
              <w:widowControl w:val="false"/>
              <w:suppressLineNumbers/>
              <w:tabs>
                <w:tab w:val="clear" w:pos="709"/>
                <w:tab w:val="left" w:pos="89" w:leader="none"/>
              </w:tab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bCs/>
                <w:i w:val="false"/>
                <w:caps w:val="false"/>
                <w:smallCaps w:val="false"/>
                <w:strike w:val="false"/>
                <w:dstrike w:val="false"/>
                <w:color w:val="000000"/>
                <w:sz w:val="20"/>
                <w:u w:val="none"/>
                <w:effect w:val="none"/>
                <w:shd w:fill="auto" w:val="clear"/>
              </w:rPr>
              <w:t>Kapetanović, A.</w:t>
            </w:r>
            <w:r>
              <w:rPr>
                <w:rFonts w:ascii="Calibri;sans-serif" w:hAnsi="Calibri;sans-serif"/>
                <w:b w:val="false"/>
                <w:i w:val="false"/>
                <w:caps w:val="false"/>
                <w:smallCaps w:val="false"/>
                <w:strike w:val="false"/>
                <w:dstrike w:val="false"/>
                <w:color w:val="000000"/>
                <w:sz w:val="20"/>
                <w:u w:val="none"/>
                <w:effect w:val="none"/>
                <w:shd w:fill="auto" w:val="clear"/>
              </w:rPr>
              <w:t>, Šušnjara, A., Poljak, D., Russo, M.</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rada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Stochastic-Deterministic Electromagnetic Modeling of Human Head Exposure to Microsoft HoloLens</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zbornika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Stranice (od-do)</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1-6</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Naziv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30th International Conference on Software, Telecommunications and Computer Networks, SoftCOM 2022</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18"/>
                <w:u w:val="none"/>
                <w:effect w:val="none"/>
                <w:shd w:fill="auto" w:val="clear"/>
              </w:rPr>
            </w:pPr>
            <w:r>
              <w:rPr>
                <w:rFonts w:ascii="Calibri;sans-serif" w:hAnsi="Calibri;sans-serif"/>
                <w:b w:val="false"/>
                <w:i w:val="false"/>
                <w:caps w:val="false"/>
                <w:smallCaps w:val="false"/>
                <w:strike w:val="false"/>
                <w:dstrike w:val="false"/>
                <w:color w:val="000000"/>
                <w:sz w:val="18"/>
                <w:u w:val="none"/>
                <w:effect w:val="none"/>
                <w:shd w:fill="auto" w:val="clear"/>
              </w:rPr>
              <w:t>Datum održavanja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22-24.9.2022, Split, Croatia</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71"/>
        <w:gridCol w:w="6398"/>
      </w:tblGrid>
      <w:tr>
        <w:trPr/>
        <w:tc>
          <w:tcPr>
            <w:tcW w:w="2671"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Autori</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u w:val="none"/>
              </w:rPr>
            </w:pPr>
            <w:r>
              <w:rPr>
                <w:rFonts w:ascii="Calibri;sans-serif" w:hAnsi="Calibri;sans-serif"/>
                <w:b/>
                <w:bCs/>
                <w:i w:val="false"/>
                <w:caps w:val="false"/>
                <w:smallCaps w:val="false"/>
                <w:color w:val="000000"/>
                <w:sz w:val="20"/>
                <w:u w:val="none"/>
                <w:shd w:fill="auto" w:val="clear"/>
              </w:rPr>
              <w:t>Kapetanović, A.</w:t>
            </w:r>
            <w:r>
              <w:rPr>
                <w:rFonts w:ascii="Calibri;sans-serif" w:hAnsi="Calibri;sans-serif"/>
                <w:b w:val="false"/>
                <w:i w:val="false"/>
                <w:caps w:val="false"/>
                <w:smallCaps w:val="false"/>
                <w:strike w:val="false"/>
                <w:dstrike w:val="false"/>
                <w:color w:val="000000"/>
                <w:sz w:val="20"/>
                <w:u w:val="none"/>
                <w:effect w:val="none"/>
                <w:shd w:fill="auto" w:val="clear"/>
              </w:rPr>
              <w:t>, Sacco, G., Poljak, D., Zhadobov, M.</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rada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 xml:space="preserve">Novel procedure for spatial averaging of absorbed power </w:t>
            </w:r>
            <w:r>
              <w:rPr>
                <w:rFonts w:ascii="Calibri;sans-serif" w:hAnsi="Calibri;sans-serif"/>
                <w:b w:val="false"/>
                <w:i w:val="false"/>
                <w:caps w:val="false"/>
                <w:smallCaps w:val="false"/>
                <w:strike w:val="false"/>
                <w:dstrike w:val="false"/>
                <w:color w:val="000000"/>
                <w:sz w:val="20"/>
                <w:u w:val="none"/>
                <w:effect w:val="none"/>
                <w:shd w:fill="auto" w:val="clear"/>
              </w:rPr>
              <w:t>d</w:t>
            </w:r>
            <w:r>
              <w:rPr>
                <w:rFonts w:ascii="Calibri;sans-serif" w:hAnsi="Calibri;sans-serif"/>
                <w:b w:val="false"/>
                <w:i w:val="false"/>
                <w:caps w:val="false"/>
                <w:smallCaps w:val="false"/>
                <w:strike w:val="false"/>
                <w:dstrike w:val="false"/>
                <w:color w:val="000000"/>
                <w:sz w:val="20"/>
                <w:u w:val="none"/>
                <w:effect w:val="none"/>
                <w:shd w:fill="auto" w:val="clear"/>
              </w:rPr>
              <w:t>ensity on realistic body models at millimeter waves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zbornika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BioEM proceedings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Stranice (od-do)</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242-8</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Naziv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BioEM 2022</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18"/>
                <w:u w:val="none"/>
                <w:effect w:val="none"/>
                <w:shd w:fill="auto" w:val="clear"/>
              </w:rPr>
            </w:pPr>
            <w:r>
              <w:rPr>
                <w:rFonts w:ascii="Calibri;sans-serif" w:hAnsi="Calibri;sans-serif"/>
                <w:b w:val="false"/>
                <w:i w:val="false"/>
                <w:caps w:val="false"/>
                <w:smallCaps w:val="false"/>
                <w:strike w:val="false"/>
                <w:dstrike w:val="false"/>
                <w:color w:val="000000"/>
                <w:sz w:val="18"/>
                <w:u w:val="none"/>
                <w:effect w:val="none"/>
                <w:shd w:fill="auto" w:val="clear"/>
              </w:rPr>
              <w:t>Datum održavanja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19-24.6.2022, Nagoya, Japan (virtual)</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6"/>
        <w:gridCol w:w="6403"/>
      </w:tblGrid>
      <w:tr>
        <w:trPr/>
        <w:tc>
          <w:tcPr>
            <w:tcW w:w="2666"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Autori</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u w:val="none"/>
              </w:rPr>
            </w:pPr>
            <w:r>
              <w:rPr>
                <w:rFonts w:ascii="Calibri;sans-serif" w:hAnsi="Calibri;sans-serif"/>
                <w:b/>
                <w:bCs/>
                <w:i w:val="false"/>
                <w:caps w:val="false"/>
                <w:smallCaps w:val="false"/>
                <w:color w:val="000000"/>
                <w:sz w:val="20"/>
                <w:u w:val="none"/>
                <w:shd w:fill="auto" w:val="clear"/>
              </w:rPr>
              <w:t>Kapetanović, A.</w:t>
            </w:r>
            <w:r>
              <w:rPr>
                <w:rFonts w:ascii="Calibri;sans-serif" w:hAnsi="Calibri;sans-serif"/>
                <w:b w:val="false"/>
                <w:i w:val="false"/>
                <w:caps w:val="false"/>
                <w:smallCaps w:val="false"/>
                <w:strike w:val="false"/>
                <w:dstrike w:val="false"/>
                <w:color w:val="000000"/>
                <w:sz w:val="20"/>
                <w:u w:val="none"/>
                <w:effect w:val="none"/>
                <w:shd w:fill="auto" w:val="clear"/>
              </w:rPr>
              <w:t>, Poljak, D.</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rada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Machine learning-assisted antenna modeling for realistic assessment of human exposure reference levels above 6 GHz</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zbornika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IEEE and ICNIRP and Hot Topics EMF</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Stranice (od-do)</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 (abstract)</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Naziv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6th European Congress on Radiation Protection</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18"/>
                <w:u w:val="none"/>
                <w:effect w:val="none"/>
                <w:shd w:fill="auto" w:val="clear"/>
              </w:rPr>
            </w:pPr>
            <w:r>
              <w:rPr>
                <w:rFonts w:ascii="Calibri;sans-serif" w:hAnsi="Calibri;sans-serif"/>
                <w:b w:val="false"/>
                <w:i w:val="false"/>
                <w:caps w:val="false"/>
                <w:smallCaps w:val="false"/>
                <w:strike w:val="false"/>
                <w:dstrike w:val="false"/>
                <w:color w:val="000000"/>
                <w:sz w:val="18"/>
                <w:u w:val="none"/>
                <w:effect w:val="none"/>
                <w:shd w:fill="auto" w:val="clear"/>
              </w:rPr>
              <w:t>Datum održavanja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30.5-3.6.2022, Budapest, Hungary</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u w:val="none"/>
              </w:rPr>
            </w:pPr>
            <w:r>
              <w:rPr>
                <w:rFonts w:ascii="Calibri;sans-serif" w:hAnsi="Calibri;sans-serif"/>
                <w:b/>
                <w:bCs/>
                <w:i w:val="false"/>
                <w:caps w:val="false"/>
                <w:smallCaps w:val="false"/>
                <w:color w:val="000000"/>
                <w:sz w:val="20"/>
                <w:u w:val="none"/>
                <w:shd w:fill="auto" w:val="clear"/>
              </w:rPr>
              <w:t>Kapetanović, A.</w:t>
            </w:r>
            <w:r>
              <w:rPr>
                <w:rFonts w:ascii="Calibri;sans-serif" w:hAnsi="Calibri;sans-serif"/>
                <w:b w:val="false"/>
                <w:i w:val="false"/>
                <w:caps w:val="false"/>
                <w:smallCaps w:val="false"/>
                <w:strike w:val="false"/>
                <w:dstrike w:val="false"/>
                <w:color w:val="000000"/>
                <w:sz w:val="20"/>
                <w:u w:val="none"/>
                <w:effect w:val="none"/>
                <w:shd w:fill="auto" w:val="clear"/>
              </w:rPr>
              <w:t>, Sacco, G., Poljak, D., Zhadobov, 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Assessment of Area-Average Absorbed Power Density on Realistic Tissue Models at mmWaves</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Facing challenges in electromagnetic dosimetry at mm waves and THz</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153-5</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IEEE International Microwave Biomedical Conference (IMBioC 2022)</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18"/>
                <w:u w:val="none"/>
                <w:effect w:val="none"/>
                <w:shd w:fill="auto" w:val="clear"/>
              </w:rPr>
            </w:pPr>
            <w:r>
              <w:rPr>
                <w:rFonts w:ascii="Calibri;sans-serif" w:hAnsi="Calibri;sans-serif"/>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16-18.5.2022, Suzhou, China in a hybrid mode</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pPr>
            <w:r>
              <w:rPr>
                <w:rFonts w:ascii="Calibri;sans-serif" w:hAnsi="Calibri;sans-serif"/>
                <w:b w:val="false"/>
                <w:i w:val="false"/>
                <w:caps w:val="false"/>
                <w:smallCaps w:val="false"/>
                <w:strike w:val="false"/>
                <w:dstrike w:val="false"/>
                <w:color w:val="000000"/>
                <w:sz w:val="20"/>
                <w:u w:val="none"/>
                <w:effect w:val="none"/>
                <w:shd w:fill="auto" w:val="clear"/>
              </w:rPr>
              <w:t xml:space="preserve">Cvetković, M.; Poljak, D.; </w:t>
            </w:r>
            <w:r>
              <w:rPr>
                <w:rFonts w:ascii="Calibri;sans-serif" w:hAnsi="Calibri;sans-serif"/>
                <w:b/>
                <w:bCs/>
                <w:i w:val="false"/>
                <w:caps w:val="false"/>
                <w:smallCaps w:val="false"/>
                <w:color w:val="000000"/>
                <w:sz w:val="20"/>
                <w:u w:val="none"/>
                <w:shd w:fill="auto" w:val="clear"/>
              </w:rPr>
              <w:t>Kapetanović, A.</w:t>
            </w:r>
            <w:r>
              <w:rPr>
                <w:rFonts w:ascii="Calibri;sans-serif" w:hAnsi="Calibri;sans-serif"/>
                <w:b w:val="false"/>
                <w:i w:val="false"/>
                <w:caps w:val="false"/>
                <w:smallCaps w:val="false"/>
                <w:strike w:val="false"/>
                <w:dstrike w:val="false"/>
                <w:color w:val="000000"/>
                <w:sz w:val="20"/>
                <w:u w:val="none"/>
                <w:effect w:val="none"/>
                <w:shd w:fill="auto" w:val="clear"/>
              </w:rPr>
              <w:t>; Dodig, H.</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Study on the Suitability of Numerical Integration at 5G Frequencies Using Unit Cube Test</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29th International Conference on Software, Telecommunications and Computer Networks, SoftCOM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18"/>
                <w:u w:val="none"/>
                <w:effect w:val="none"/>
                <w:shd w:fill="auto" w:val="clear"/>
              </w:rPr>
            </w:pPr>
            <w:r>
              <w:rPr>
                <w:rFonts w:ascii="Calibri;sans-serif" w:hAnsi="Calibri;sans-serif"/>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23-25.9.2021</w:t>
            </w:r>
          </w:p>
        </w:tc>
      </w:tr>
    </w:tbl>
    <w:p>
      <w:pPr>
        <w:pStyle w:val="TextBody"/>
        <w:rPr>
          <w:rFonts w:ascii="Calibri" w:hAnsi="Calibri"/>
          <w:b/>
          <w:color w:val="000000"/>
          <w:sz w:val="22"/>
          <w:szCs w:val="22"/>
        </w:rPr>
      </w:pPr>
      <w:r>
        <w:rPr>
          <w:rFonts w:ascii="Calibri" w:hAnsi="Calibri"/>
          <w:b/>
          <w:color w:val="000000"/>
          <w:sz w:val="22"/>
          <w:szCs w:val="22"/>
        </w:rPr>
      </w:r>
    </w:p>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5"/>
        <w:gridCol w:w="6404"/>
      </w:tblGrid>
      <w:tr>
        <w:trPr/>
        <w:tc>
          <w:tcPr>
            <w:tcW w:w="2665"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Autori</w:t>
            </w:r>
          </w:p>
        </w:tc>
        <w:tc>
          <w:tcPr>
            <w:tcW w:w="6404" w:type="dxa"/>
            <w:tcBorders/>
            <w:vAlign w:val="center"/>
          </w:tcPr>
          <w:p>
            <w:pPr>
              <w:pStyle w:val="TableContents"/>
              <w:widowControl w:val="false"/>
              <w:suppressLineNumbers/>
              <w:suppressAutoHyphens w:val="true"/>
              <w:bidi w:val="0"/>
              <w:spacing w:lineRule="auto" w:line="288" w:before="0" w:after="0"/>
              <w:ind w:left="180" w:right="89" w:hanging="0"/>
              <w:jc w:val="left"/>
              <w:rPr/>
            </w:pPr>
            <w:r>
              <w:rPr>
                <w:rFonts w:ascii="Calibri;sans-serif" w:hAnsi="Calibri;sans-serif"/>
                <w:b w:val="false"/>
                <w:i w:val="false"/>
                <w:caps w:val="false"/>
                <w:smallCaps w:val="false"/>
                <w:strike w:val="false"/>
                <w:dstrike w:val="false"/>
                <w:color w:val="000000"/>
                <w:sz w:val="20"/>
                <w:u w:val="none"/>
                <w:effect w:val="none"/>
                <w:shd w:fill="auto" w:val="clear"/>
              </w:rPr>
              <w:t xml:space="preserve">Cvetković, M.; Poljak, D.; </w:t>
            </w:r>
            <w:r>
              <w:rPr>
                <w:rFonts w:ascii="Calibri;sans-serif" w:hAnsi="Calibri;sans-serif"/>
                <w:b/>
                <w:bCs/>
                <w:i w:val="false"/>
                <w:caps w:val="false"/>
                <w:smallCaps w:val="false"/>
                <w:color w:val="000000"/>
                <w:sz w:val="20"/>
                <w:u w:val="none"/>
                <w:shd w:fill="auto" w:val="clear"/>
              </w:rPr>
              <w:t>Kapetanović, A.</w:t>
            </w:r>
            <w:r>
              <w:rPr>
                <w:rFonts w:ascii="Calibri;sans-serif" w:hAnsi="Calibri;sans-serif"/>
                <w:b w:val="false"/>
                <w:i w:val="false"/>
                <w:caps w:val="false"/>
                <w:smallCaps w:val="false"/>
                <w:strike w:val="false"/>
                <w:dstrike w:val="false"/>
                <w:color w:val="000000"/>
                <w:sz w:val="20"/>
                <w:u w:val="none"/>
                <w:effect w:val="none"/>
                <w:shd w:fill="auto" w:val="clear"/>
              </w:rPr>
              <w:t>; Dodig, H.</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rada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Selecting Optimal Numerical Integration Rules for Double Surface Integrals on Triangular Domains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zbornika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Computation of Electromagnetic Fields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Stranice (od-do)</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38-41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Naziv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15th International Conference on Applied Electromagnetics, PEC 2021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18"/>
                <w:u w:val="none"/>
                <w:effect w:val="none"/>
                <w:shd w:fill="auto" w:val="clear"/>
              </w:rPr>
            </w:pPr>
            <w:r>
              <w:rPr>
                <w:rFonts w:ascii="Calibri;sans-serif" w:hAnsi="Calibri;sans-serif"/>
                <w:b w:val="false"/>
                <w:i w:val="false"/>
                <w:caps w:val="false"/>
                <w:smallCaps w:val="false"/>
                <w:strike w:val="false"/>
                <w:dstrike w:val="false"/>
                <w:color w:val="000000"/>
                <w:sz w:val="18"/>
                <w:u w:val="none"/>
                <w:effect w:val="none"/>
                <w:shd w:fill="auto" w:val="clear"/>
              </w:rPr>
              <w:t>Datum održavanja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30.8-1.9.2021</w:t>
            </w:r>
          </w:p>
        </w:tc>
      </w:tr>
    </w:tbl>
    <w:p>
      <w:pPr>
        <w:pStyle w:val="TextBody"/>
        <w:spacing w:before="0" w:after="283"/>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70"/>
        <w:gridCol w:w="6399"/>
      </w:tblGrid>
      <w:tr>
        <w:trPr/>
        <w:tc>
          <w:tcPr>
            <w:tcW w:w="2670"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Autori</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pPr>
            <w:r>
              <w:rPr>
                <w:rFonts w:ascii="Calibri;sans-serif" w:hAnsi="Calibri;sans-serif"/>
                <w:b w:val="false"/>
                <w:i w:val="false"/>
                <w:caps w:val="false"/>
                <w:smallCaps w:val="false"/>
                <w:strike w:val="false"/>
                <w:dstrike w:val="false"/>
                <w:color w:val="000000"/>
                <w:sz w:val="20"/>
                <w:u w:val="none"/>
                <w:effect w:val="none"/>
                <w:shd w:fill="auto" w:val="clear"/>
              </w:rPr>
              <w:t xml:space="preserve">Cvetković, M.; Poljak, D.; </w:t>
            </w:r>
            <w:r>
              <w:rPr>
                <w:rFonts w:ascii="Calibri;sans-serif" w:hAnsi="Calibri;sans-serif"/>
                <w:b/>
                <w:bCs/>
                <w:i w:val="false"/>
                <w:iCs w:val="false"/>
                <w:caps w:val="false"/>
                <w:smallCaps w:val="false"/>
                <w:color w:val="000000"/>
                <w:sz w:val="20"/>
                <w:u w:val="none"/>
                <w:shd w:fill="auto" w:val="clear"/>
              </w:rPr>
              <w:t>Kapetanović, A.</w:t>
            </w:r>
            <w:r>
              <w:rPr>
                <w:rFonts w:ascii="Calibri;sans-serif" w:hAnsi="Calibri;sans-serif"/>
                <w:b w:val="false"/>
                <w:i w:val="false"/>
                <w:caps w:val="false"/>
                <w:smallCaps w:val="false"/>
                <w:strike w:val="false"/>
                <w:dstrike w:val="false"/>
                <w:color w:val="000000"/>
                <w:sz w:val="20"/>
                <w:u w:val="none"/>
                <w:effect w:val="none"/>
                <w:shd w:fill="auto" w:val="clear"/>
              </w:rPr>
              <w:t>; Dodig, H.</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rada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Unit Cube Test for Double Surface Integrals in Frequency Domain Integral Equation Formulations</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zbornika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Engineering Modeling</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Stranice (od-do)</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1-6</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Naziv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18"/>
                <w:u w:val="none"/>
                <w:effect w:val="none"/>
                <w:shd w:fill="auto" w:val="clear"/>
              </w:rPr>
            </w:pPr>
            <w:r>
              <w:rPr>
                <w:rFonts w:ascii="Calibri;sans-serif" w:hAnsi="Calibri;sans-serif"/>
                <w:b w:val="false"/>
                <w:i w:val="false"/>
                <w:caps w:val="false"/>
                <w:smallCaps w:val="false"/>
                <w:strike w:val="false"/>
                <w:dstrike w:val="false"/>
                <w:color w:val="000000"/>
                <w:sz w:val="18"/>
                <w:u w:val="none"/>
                <w:effect w:val="none"/>
                <w:shd w:fill="auto" w:val="clear"/>
              </w:rPr>
              <w:t>Datum održavanja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8-11.9.2021</w:t>
            </w:r>
          </w:p>
        </w:tc>
      </w:tr>
    </w:tbl>
    <w:p>
      <w:pPr>
        <w:pStyle w:val="TextBody"/>
        <w:spacing w:before="0" w:after="283"/>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u w:val="none"/>
              </w:rPr>
            </w:pPr>
            <w:r>
              <w:rPr>
                <w:rFonts w:ascii="Calibri;sans-serif" w:hAnsi="Calibri;sans-serif"/>
                <w:b/>
                <w:bCs/>
                <w:i w:val="false"/>
                <w:caps w:val="false"/>
                <w:smallCaps w:val="false"/>
                <w:color w:val="000000"/>
                <w:sz w:val="20"/>
                <w:u w:val="none"/>
                <w:shd w:fill="auto" w:val="clear"/>
              </w:rPr>
              <w:t>Kapetanović, A.</w:t>
            </w:r>
            <w:r>
              <w:rPr>
                <w:rFonts w:ascii="Calibri;sans-serif" w:hAnsi="Calibri;sans-serif"/>
                <w:b w:val="false"/>
                <w:i w:val="false"/>
                <w:caps w:val="false"/>
                <w:smallCaps w:val="false"/>
                <w:strike w:val="false"/>
                <w:dstrike w:val="false"/>
                <w:color w:val="000000"/>
                <w:sz w:val="20"/>
                <w:u w:val="none"/>
                <w:effect w:val="none"/>
                <w:shd w:fill="auto" w:val="clear"/>
              </w:rPr>
              <w:t>; Poljak, D.</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Application of Automatic Differentiation in Electromagnetic Dosimetry – Assessment of the Absorbed Power Density in the mmWave Frequency Spectrum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Engineering Modeling</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18"/>
                <w:u w:val="none"/>
                <w:effect w:val="none"/>
                <w:shd w:fill="auto" w:val="clear"/>
              </w:rPr>
            </w:pPr>
            <w:r>
              <w:rPr>
                <w:rFonts w:ascii="Calibri;sans-serif" w:hAnsi="Calibri;sans-serif"/>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8-11.9.2021</w:t>
            </w:r>
          </w:p>
        </w:tc>
      </w:tr>
    </w:tbl>
    <w:p>
      <w:pPr>
        <w:pStyle w:val="TextBody"/>
        <w:bidi w:val="0"/>
        <w:spacing w:lineRule="auto" w:line="288" w:before="0" w:after="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b/>
          <w:bCs/>
        </w:rPr>
      </w:pPr>
      <w:r>
        <w:rPr>
          <w:rFonts w:ascii="Calibri;sans-serif" w:hAnsi="Calibri;sans-serif"/>
          <w:b/>
          <w:bCs/>
          <w:i/>
          <w:caps w:val="false"/>
          <w:smallCaps w:val="false"/>
          <w:strike w:val="false"/>
          <w:dstrike w:val="false"/>
          <w:color w:val="000000"/>
          <w:sz w:val="22"/>
          <w:u w:val="none"/>
          <w:effect w:val="none"/>
          <w:shd w:fill="auto" w:val="clear"/>
        </w:rPr>
        <w:t>*Kategorizacija znanstvenih radova sukladno Pravilniku o uvjetima za izbor u znanstvena zvanja (NN 28/2017)</w:t>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8"/>
          <w:szCs w:val="28"/>
        </w:rPr>
      </w:pPr>
      <w:r>
        <w:rPr>
          <w:rFonts w:ascii="Calibri" w:hAnsi="Calibri"/>
          <w:b/>
          <w:color w:val="000000"/>
          <w:sz w:val="28"/>
          <w:szCs w:val="28"/>
        </w:rPr>
        <w:t>POPIS SVIH OBJAVLJENIH RADOVA PRISTUPNIKA IZ PODRUČJA  PREDLOŽENE TEME DOKTORSKOG RADA</w:t>
      </w:r>
    </w:p>
    <w:p>
      <w:pPr>
        <w:pStyle w:val="Normal"/>
        <w:spacing w:before="120" w:after="120"/>
        <w:rPr>
          <w:rFonts w:ascii="Calibri" w:hAnsi="Calibri" w:cs="Calibri"/>
          <w:i/>
          <w:i/>
          <w:sz w:val="22"/>
          <w:szCs w:val="22"/>
        </w:rPr>
      </w:pPr>
      <w:r>
        <w:rPr>
          <w:rFonts w:cs="Calibri" w:ascii="Calibri" w:hAnsi="Calibri"/>
          <w:i/>
          <w:sz w:val="22"/>
          <w:szCs w:val="22"/>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2662"/>
        <w:gridCol w:w="6407"/>
      </w:tblGrid>
      <w:tr>
        <w:trPr/>
        <w:tc>
          <w:tcPr>
            <w:tcW w:w="2662"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Autori</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u w:val="none"/>
              </w:rPr>
            </w:pPr>
            <w:r>
              <w:rPr>
                <w:rFonts w:ascii="Calibri;sans-serif" w:hAnsi="Calibri;sans-serif"/>
                <w:b/>
                <w:bCs/>
                <w:i w:val="false"/>
                <w:caps w:val="false"/>
                <w:smallCaps w:val="false"/>
                <w:color w:val="000000"/>
                <w:sz w:val="20"/>
                <w:u w:val="none"/>
                <w:shd w:fill="auto" w:val="clear"/>
              </w:rPr>
              <w:t>Kapetanović, A.</w:t>
            </w:r>
            <w:r>
              <w:rPr>
                <w:rFonts w:ascii="Calibri;sans-serif" w:hAnsi="Calibri;sans-serif"/>
                <w:b w:val="false"/>
                <w:i w:val="false"/>
                <w:caps w:val="false"/>
                <w:smallCaps w:val="false"/>
                <w:strike w:val="false"/>
                <w:dstrike w:val="false"/>
                <w:color w:val="000000"/>
                <w:sz w:val="20"/>
                <w:u w:val="none"/>
                <w:effect w:val="none"/>
                <w:shd w:fill="auto" w:val="clear"/>
              </w:rPr>
              <w:t>; Poljak, D.</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rada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Efficient procedures in assessment of incident power density on non-planar tissue models under electromagnetic exposure in mmWave spectrum</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Naslov zbornika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PhD Forum – Book of Abstracts</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Stranice (od-do)</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9-10</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Naziv skupa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16th International Conference on Telecommunications - ConTEL 2021</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sans-serif" w:hAnsi="Calibri;sans-serif"/>
                <w:b w:val="false"/>
                <w:i w:val="false"/>
                <w:i w:val="false"/>
                <w:caps w:val="false"/>
                <w:smallCaps w:val="false"/>
                <w:strike w:val="false"/>
                <w:dstrike w:val="false"/>
                <w:color w:val="000000"/>
                <w:sz w:val="18"/>
                <w:u w:val="none"/>
                <w:effect w:val="none"/>
                <w:shd w:fill="auto" w:val="clear"/>
              </w:rPr>
            </w:pPr>
            <w:r>
              <w:rPr>
                <w:rFonts w:ascii="Calibri;sans-serif" w:hAnsi="Calibri;sans-serif"/>
                <w:b w:val="false"/>
                <w:i w:val="false"/>
                <w:caps w:val="false"/>
                <w:smallCaps w:val="false"/>
                <w:strike w:val="false"/>
                <w:dstrike w:val="false"/>
                <w:color w:val="000000"/>
                <w:sz w:val="18"/>
                <w:u w:val="none"/>
                <w:effect w:val="none"/>
                <w:shd w:fill="auto" w:val="clear"/>
              </w:rPr>
              <w:t>Datum održavanja skupa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sans-serif" w:hAnsi="Calibri;sans-serif"/>
                <w:b w:val="false"/>
                <w:i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30.6-2.7.2021</w:t>
            </w:r>
          </w:p>
        </w:tc>
      </w:tr>
    </w:tbl>
    <w:p>
      <w:pPr>
        <w:pStyle w:val="TextBody"/>
        <w:rPr>
          <w:rFonts w:ascii="Calibri" w:hAnsi="Calibri" w:cs="Calibri"/>
          <w:i/>
          <w:i/>
          <w:sz w:val="22"/>
          <w:szCs w:val="22"/>
        </w:rPr>
      </w:pPr>
      <w:r>
        <w:rPr>
          <w:rFonts w:cs="Calibri" w:ascii="Calibri" w:hAnsi="Calibri"/>
          <w:i/>
          <w:sz w:val="22"/>
          <w:szCs w:val="22"/>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p>
      <w:pPr>
        <w:pStyle w:val="Normal"/>
        <w:spacing w:before="120" w:after="120"/>
        <w:rPr>
          <w:rFonts w:ascii="Calibri" w:hAnsi="Calibri" w:cs="Calibri"/>
          <w:i/>
          <w:i/>
          <w:sz w:val="22"/>
          <w:szCs w:val="22"/>
        </w:rPr>
      </w:pPr>
      <w:r>
        <w:rPr>
          <w:rFonts w:cs="Calibri" w:ascii="Calibri" w:hAnsi="Calibri"/>
          <w:i/>
          <w:sz w:val="22"/>
          <w:szCs w:val="22"/>
        </w:rPr>
      </w:r>
    </w:p>
    <w:p>
      <w:pPr>
        <w:pStyle w:val="Normal"/>
        <w:spacing w:before="120" w:after="120"/>
        <w:rPr>
          <w:rFonts w:ascii="Calibri" w:hAnsi="Calibri" w:cs="Calibri"/>
          <w:i/>
          <w:i/>
          <w:sz w:val="22"/>
          <w:szCs w:val="22"/>
        </w:rPr>
      </w:pPr>
      <w:r>
        <w:rPr>
          <w:rFonts w:cs="Calibri" w:ascii="Calibri" w:hAnsi="Calibri"/>
          <w:i/>
          <w:sz w:val="22"/>
          <w:szCs w:val="22"/>
        </w:rPr>
      </w:r>
    </w:p>
    <w:p>
      <w:pPr>
        <w:pStyle w:val="Normal"/>
        <w:spacing w:before="120" w:after="120"/>
        <w:rPr>
          <w:rFonts w:ascii="Calibri" w:hAnsi="Calibri" w:cs="Calibri"/>
          <w:i/>
          <w:i/>
          <w:sz w:val="22"/>
          <w:szCs w:val="22"/>
        </w:rPr>
      </w:pPr>
      <w:r>
        <w:rPr>
          <w:rFonts w:cs="Calibri" w:ascii="Calibri" w:hAnsi="Calibri"/>
          <w:i/>
          <w:sz w:val="22"/>
          <w:szCs w:val="22"/>
        </w:rPr>
      </w:r>
      <w:r>
        <w:br w:type="page"/>
      </w:r>
    </w:p>
    <w:p>
      <w:pPr>
        <w:pStyle w:val="Normal"/>
        <w:jc w:val="center"/>
        <w:rPr>
          <w:b/>
          <w:bCs/>
        </w:rPr>
      </w:pPr>
      <w:r>
        <w:rPr>
          <w:rFonts w:ascii="Calibri" w:hAnsi="Calibri"/>
          <w:b/>
          <w:bCs/>
          <w:color w:val="000000"/>
          <w:sz w:val="28"/>
          <w:szCs w:val="28"/>
        </w:rPr>
        <w:t>POTVRDA MENTORA DA SU OBJAVLJENI RADOVI PRISTUPNIKA IZ PODRUČJA ISTRAŽIVANJA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sz w:val="22"/>
          <w:szCs w:val="22"/>
        </w:rPr>
      </w:pPr>
      <w:r>
        <w:rPr>
          <w:rFonts w:ascii="Calibri" w:hAnsi="Calibri"/>
          <w:sz w:val="22"/>
          <w:szCs w:val="22"/>
        </w:rPr>
        <w:t>Potvrđujem da radovi koje je pristupnik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naveo u priloženom popisu znanstvenih radova i priloženom popisu svih objavljenih radova, pripadaju području istraživanja doktorskog rada.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b/>
          <w:sz w:val="22"/>
          <w:szCs w:val="22"/>
        </w:rPr>
      </w:pPr>
      <w:r>
        <w:rPr>
          <w:rFonts w:ascii="Calibri" w:hAnsi="Calibri"/>
          <w:b/>
          <w:sz w:val="22"/>
          <w:szCs w:val="22"/>
        </w:rPr>
        <w:tab/>
        <w:t xml:space="preserve">    Mentor</w:t>
      </w:r>
    </w:p>
    <w:p>
      <w:pPr>
        <w:pStyle w:val="Normal"/>
        <w:rPr>
          <w:rFonts w:ascii="Calibri" w:hAnsi="Calibri"/>
          <w:sz w:val="22"/>
          <w:szCs w:val="22"/>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sz w:val="22"/>
          <w:szCs w:val="22"/>
        </w:rPr>
      </w:pPr>
      <w:r>
        <w:rPr>
          <w:rFonts w:ascii="Calibri" w:hAnsi="Calibri"/>
          <w:sz w:val="22"/>
          <w:szCs w:val="22"/>
        </w:rPr>
        <w:tab/>
        <w:tab/>
        <w:tab/>
        <w:t xml:space="preserve"> prof. dr. sc. Dragan Poljak</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t xml:space="preserve">POTVRDA O SUDJELOVANJU PRISTUPNIKA U </w:t>
      </w:r>
    </w:p>
    <w:p>
      <w:pPr>
        <w:pStyle w:val="Normal"/>
        <w:jc w:val="center"/>
        <w:rPr>
          <w:rFonts w:ascii="Calibri" w:hAnsi="Calibri"/>
          <w:b/>
          <w:color w:val="000000"/>
          <w:sz w:val="28"/>
          <w:szCs w:val="28"/>
        </w:rPr>
      </w:pPr>
      <w:r>
        <w:rPr>
          <w:rFonts w:ascii="Calibri" w:hAnsi="Calibri"/>
          <w:b/>
          <w:color w:val="000000"/>
          <w:sz w:val="28"/>
          <w:szCs w:val="28"/>
        </w:rPr>
        <w:t>ZNANSTVENO-ISTRAŽIVAČKIM PROJEKTIMA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sz w:val="28"/>
          <w:szCs w:val="28"/>
        </w:rPr>
      </w:pPr>
      <w:r>
        <w:rPr>
          <w:rFonts w:ascii="Calibri" w:hAnsi="Calibri"/>
          <w:b/>
          <w:sz w:val="28"/>
          <w:szCs w:val="28"/>
        </w:rPr>
      </w:r>
    </w:p>
    <w:tbl>
      <w:tblPr>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9"/>
        <w:gridCol w:w="6040"/>
      </w:tblGrid>
      <w:tr>
        <w:trPr>
          <w:trHeight w:val="419"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Naziv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bCs/>
                <w:sz w:val="22"/>
                <w:szCs w:val="22"/>
              </w:rPr>
            </w:pPr>
            <w:r>
              <w:rPr>
                <w:rFonts w:ascii="Calibri" w:hAnsi="Calibri"/>
                <w:bCs/>
                <w:sz w:val="22"/>
                <w:szCs w:val="22"/>
              </w:rPr>
              <w:t xml:space="preserve">DATACROSS - Napredne metode i tehnologije u znanosti o podatcima i kooperativnim sustavima </w:t>
            </w:r>
          </w:p>
        </w:tc>
      </w:tr>
      <w:tr>
        <w:trPr>
          <w:trHeight w:val="419"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Oznaka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bCs/>
                <w:sz w:val="22"/>
                <w:szCs w:val="22"/>
              </w:rPr>
            </w:pPr>
            <w:r>
              <w:rPr>
                <w:rFonts w:ascii="Calibri" w:hAnsi="Calibri"/>
                <w:bCs/>
                <w:sz w:val="22"/>
                <w:szCs w:val="22"/>
              </w:rPr>
              <w:t>KK.01.1.1.01.000</w:t>
            </w:r>
          </w:p>
        </w:tc>
      </w:tr>
      <w:tr>
        <w:trPr>
          <w:trHeight w:val="421"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Trajanje projekta (od - do):</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sz w:val="22"/>
                <w:szCs w:val="22"/>
              </w:rPr>
            </w:pPr>
            <w:r>
              <w:rPr>
                <w:rFonts w:ascii="Calibri" w:hAnsi="Calibri"/>
                <w:sz w:val="22"/>
                <w:szCs w:val="22"/>
              </w:rPr>
              <w:t>1.11.2019 – 31.10.2023</w:t>
            </w:r>
          </w:p>
        </w:tc>
      </w:tr>
      <w:tr>
        <w:trPr>
          <w:trHeight w:val="421"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Vrsta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sz w:val="22"/>
                <w:szCs w:val="22"/>
              </w:rPr>
            </w:pPr>
            <w:r>
              <w:rPr>
                <w:rFonts w:ascii="Calibri" w:hAnsi="Calibri"/>
                <w:sz w:val="22"/>
                <w:szCs w:val="22"/>
              </w:rPr>
              <w:t>nacionalni</w:t>
            </w:r>
          </w:p>
        </w:tc>
      </w:tr>
      <w:tr>
        <w:trPr>
          <w:trHeight w:val="421"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Voditelj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sz w:val="22"/>
                <w:szCs w:val="22"/>
              </w:rPr>
            </w:pPr>
            <w:r>
              <w:rPr>
                <w:rFonts w:ascii="Calibri" w:hAnsi="Calibri"/>
                <w:sz w:val="22"/>
                <w:szCs w:val="22"/>
              </w:rPr>
              <w:t>Dragan Poljak</w:t>
            </w:r>
          </w:p>
        </w:tc>
      </w:tr>
    </w:tbl>
    <w:p>
      <w:pPr>
        <w:pStyle w:val="Normal"/>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Potvrđujem da je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sudjelovao u radu na navedenom znanstveno-istraživačkom projektu.</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b/>
          <w:sz w:val="22"/>
          <w:szCs w:val="22"/>
        </w:rPr>
      </w:pPr>
      <w:r>
        <w:rPr>
          <w:rFonts w:ascii="Calibri" w:hAnsi="Calibri"/>
          <w:b/>
          <w:sz w:val="22"/>
          <w:szCs w:val="22"/>
        </w:rPr>
        <w:tab/>
        <w:t xml:space="preserve">    Voditelj projekta</w:t>
      </w:r>
    </w:p>
    <w:p>
      <w:pPr>
        <w:pStyle w:val="Normal"/>
        <w:rPr>
          <w:rFonts w:ascii="Calibri" w:hAnsi="Calibri"/>
          <w:sz w:val="22"/>
          <w:szCs w:val="22"/>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b/>
        <w:tab/>
        <w:tab/>
        <w:t xml:space="preserve">                                                                                                                </w:t>
        <w:tab/>
        <w:tab/>
        <w:tab/>
        <w:tab/>
        <w:tab/>
        <w:tab/>
        <w:tab/>
        <w:tab/>
        <w:t>________________________</w:t>
      </w:r>
    </w:p>
    <w:p>
      <w:pPr>
        <w:pStyle w:val="Normal"/>
        <w:tabs>
          <w:tab w:val="clear" w:pos="709"/>
          <w:tab w:val="left" w:pos="4320" w:leader="none"/>
          <w:tab w:val="left" w:pos="4860" w:leader="none"/>
        </w:tabs>
        <w:spacing w:lineRule="auto" w:line="360" w:before="120" w:after="0"/>
        <w:jc w:val="center"/>
        <w:rPr>
          <w:rFonts w:ascii="Calibri" w:hAnsi="Calibri"/>
          <w:sz w:val="22"/>
          <w:szCs w:val="22"/>
        </w:rPr>
      </w:pPr>
      <w:r>
        <w:rPr>
          <w:rFonts w:ascii="Calibri" w:hAnsi="Calibri"/>
          <w:sz w:val="22"/>
          <w:szCs w:val="22"/>
        </w:rPr>
        <w:tab/>
        <w:tab/>
        <w:t xml:space="preserve"> prof. dr. sc. Dragan Poljak</w:t>
      </w:r>
    </w:p>
    <w:p>
      <w:pPr>
        <w:pStyle w:val="Normal"/>
        <w:rPr>
          <w:rFonts w:ascii="Calibri" w:hAnsi="Calibri"/>
          <w:sz w:val="22"/>
          <w:szCs w:val="22"/>
        </w:rPr>
      </w:pPr>
      <w:r>
        <w:rPr>
          <w:rFonts w:ascii="Calibri" w:hAnsi="Calibri"/>
          <w:sz w:val="22"/>
          <w:szCs w:val="22"/>
        </w:rPr>
      </w:r>
    </w:p>
    <w:p>
      <w:pPr>
        <w:sectPr>
          <w:type w:val="continuous"/>
          <w:pgSz w:w="11906" w:h="16838"/>
          <w:pgMar w:left="1418" w:right="1418" w:gutter="0" w:header="142" w:top="1418" w:footer="454" w:bottom="1418"/>
          <w:formProt w:val="false"/>
          <w:textDirection w:val="lrTb"/>
          <w:docGrid w:type="default" w:linePitch="360" w:charSpace="0"/>
        </w:sectPr>
      </w:pPr>
    </w:p>
    <w:p>
      <w:pPr>
        <w:pStyle w:val="Bodysansserif2"/>
        <w:rPr>
          <w:rFonts w:ascii="Times New Roman" w:hAnsi="Times New Roman" w:cs="Times-Bold"/>
          <w:bCs/>
          <w:sz w:val="24"/>
          <w:szCs w:val="22"/>
          <w:lang w:val="hr-HR"/>
        </w:rPr>
      </w:pPr>
      <w:r>
        <w:rPr/>
      </w:r>
    </w:p>
    <w:sectPr>
      <w:type w:val="continuous"/>
      <w:pgSz w:w="11906" w:h="16838"/>
      <w:pgMar w:left="1418" w:right="1418" w:gutter="0" w:header="142" w:top="1418" w:footer="454"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Symbol">
    <w:charset w:val="01"/>
    <w:family w:val="roman"/>
    <w:pitch w:val="variable"/>
  </w:font>
  <w:font w:name="sans-serif">
    <w:altName w:val="Arial"/>
    <w:charset w:val="01"/>
    <w:family w:val="roman"/>
    <w:pitch w:val="variable"/>
  </w:font>
  <w:font w:name="Sans-serif">
    <w:altName w:val="Arial"/>
    <w:charset w:val="01"/>
    <w:family w:val="roman"/>
    <w:pitch w:val="variable"/>
  </w:font>
  <w:font w:name="Calibri">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0" allowOverlap="1" relativeHeight="2">
          <wp:simplePos x="0" y="0"/>
          <wp:positionH relativeFrom="column">
            <wp:align>center</wp:align>
          </wp:positionH>
          <wp:positionV relativeFrom="paragraph">
            <wp:posOffset>10221595</wp:posOffset>
          </wp:positionV>
          <wp:extent cx="7559040" cy="477520"/>
          <wp:effectExtent l="0" t="0" r="0" b="0"/>
          <wp:wrapNone/>
          <wp:docPr id="3"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jc w:val="center"/>
      <w:rPr/>
    </w:pPr>
    <w:r>
      <w:rPr/>
      <mc:AlternateContent>
        <mc:Choice Requires="wps">
          <w:drawing>
            <wp:anchor behindDoc="1" distT="38100" distB="55245" distL="114300" distR="114300" simplePos="0" locked="0" layoutInCell="0" allowOverlap="1" relativeHeight="3">
              <wp:simplePos x="0" y="0"/>
              <wp:positionH relativeFrom="column">
                <wp:posOffset>-899795</wp:posOffset>
              </wp:positionH>
              <wp:positionV relativeFrom="paragraph">
                <wp:posOffset>-88265</wp:posOffset>
              </wp:positionV>
              <wp:extent cx="7529830" cy="169545"/>
              <wp:effectExtent l="0" t="0" r="0" b="0"/>
              <wp:wrapThrough wrapText="bothSides">
                <wp:wrapPolygon edited="0">
                  <wp:start x="109" y="4854"/>
                  <wp:lineTo x="109" y="14562"/>
                  <wp:lineTo x="21421" y="14562"/>
                  <wp:lineTo x="21421" y="4854"/>
                  <wp:lineTo x="109" y="4854"/>
                </wp:wrapPolygon>
              </wp:wrapThrough>
              <wp:docPr id="1" name="Text Box 21"/>
              <a:graphic xmlns:a="http://schemas.openxmlformats.org/drawingml/2006/main">
                <a:graphicData uri="http://schemas.microsoft.com/office/word/2010/wordprocessingShape">
                  <wps:wsp>
                    <wps:cNvSpPr/>
                    <wps:spPr>
                      <a:xfrm>
                        <a:off x="0" y="0"/>
                        <a:ext cx="7529760" cy="169560"/>
                      </a:xfrm>
                      <a:prstGeom prst="rect">
                        <a:avLst/>
                      </a:prstGeom>
                      <a:noFill/>
                      <a:ln w="0">
                        <a:noFill/>
                      </a:ln>
                    </wps:spPr>
                    <wps:style>
                      <a:lnRef idx="0"/>
                      <a:fillRef idx="0"/>
                      <a:effectRef idx="0"/>
                      <a:fontRef idx="minor"/>
                    </wps:style>
                    <wps:txbx>
                      <w:txbxContent>
                        <w:p>
                          <w:pPr>
                            <w:pStyle w:val="FrameContents"/>
                            <w:rPr>
                              <w:szCs w:val="96"/>
                            </w:rPr>
                          </w:pPr>
                          <w:r>
                            <w:rPr>
                              <w:color w:val="000000"/>
                              <w:szCs w:val="96"/>
                            </w:rPr>
                          </w:r>
                        </w:p>
                      </w:txbxContent>
                    </wps:txbx>
                    <wps:bodyPr tIns="78840" bIns="78840" anchor="t" upright="1">
                      <a:noAutofit/>
                    </wps:bodyPr>
                  </wps:wsp>
                </a:graphicData>
              </a:graphic>
            </wp:anchor>
          </w:drawing>
        </mc:Choice>
        <mc:Fallback>
          <w:pict>
            <v:rect id="shape_0" ID="Text Box 21" path="m0,0l-2147483645,0l-2147483645,-2147483646l0,-2147483646xe" stroked="f" o:allowincell="f" style="position:absolute;margin-left:-70.85pt;margin-top:-6.95pt;width:592.85pt;height:13.3pt;mso-wrap-style:none;v-text-anchor:middle">
              <v:fill o:detectmouseclick="t" on="false"/>
              <v:stroke color="#3465a4" joinstyle="round" endcap="flat"/>
              <v:textbox>
                <w:txbxContent>
                  <w:p>
                    <w:pPr>
                      <w:pStyle w:val="FrameContents"/>
                      <w:rPr>
                        <w:szCs w:val="96"/>
                      </w:rPr>
                    </w:pPr>
                    <w:r>
                      <w:rPr>
                        <w:color w:val="000000"/>
                        <w:szCs w:val="96"/>
                      </w:rPr>
                    </w:r>
                  </w:p>
                </w:txbxContent>
              </v:textbox>
              <w10:wrap type="square"/>
            </v:rect>
          </w:pict>
        </mc:Fallback>
      </mc:AlternateContent>
    </w:r>
  </w:p>
  <w:p>
    <w:pPr>
      <w:pStyle w:val="Header"/>
      <w:widowControl/>
      <w:suppressAutoHyphens w:val="true"/>
      <w:bidi w:val="0"/>
      <w:spacing w:before="0" w:after="0"/>
      <w:ind w:left="-1440" w:right="-1440" w:hanging="0"/>
      <w:jc w:val="center"/>
      <w:rPr/>
    </w:pPr>
    <w:r>
      <w:rPr>
        <w:rFonts w:ascii="Calibri" w:hAnsi="Calibri"/>
        <w:sz w:val="22"/>
        <w:szCs w:val="22"/>
      </w:rPr>
      <w:t>SVEUČILIŠTE U SPLITU</w:t>
    </w:r>
  </w:p>
  <w:p>
    <w:pPr>
      <w:pStyle w:val="Header"/>
      <w:widowControl/>
      <w:suppressAutoHyphens w:val="true"/>
      <w:bidi w:val="0"/>
      <w:spacing w:before="0" w:after="0"/>
      <w:ind w:left="-1440" w:right="-1440" w:hanging="0"/>
      <w:jc w:val="center"/>
      <w:rPr/>
    </w:pPr>
    <w:r>
      <w:rPr>
        <w:rFonts w:ascii="Calibri" w:hAnsi="Calibri"/>
        <w:sz w:val="22"/>
        <w:szCs w:val="22"/>
      </w:rPr>
      <w:t>FAKULTET ELEKTROTEHNIKE, STROJARSTVA I BRODOGRADNJE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236" w:hanging="94"/>
      </w:pPr>
      <w:rPr>
        <w:rFonts w:ascii="Calibri" w:hAnsi="Calibri" w:eastAsia="Times New Roman" w:cs="Times New Roman"/>
        <w:color w:val="000000"/>
      </w:rPr>
    </w:lvl>
    <w:lvl w:ilvl="1">
      <w:start w:val="1"/>
      <w:numFmt w:val="lowerLetter"/>
      <w:lvlText w:val="%2."/>
      <w:lvlJc w:val="left"/>
      <w:pPr>
        <w:tabs>
          <w:tab w:val="num" w:pos="0"/>
        </w:tabs>
        <w:ind w:left="796" w:hanging="360"/>
      </w:pPr>
      <w:rPr/>
    </w:lvl>
    <w:lvl w:ilvl="2">
      <w:start w:val="1"/>
      <w:numFmt w:val="lowerRoman"/>
      <w:lvlText w:val="%3."/>
      <w:lvlJc w:val="right"/>
      <w:pPr>
        <w:tabs>
          <w:tab w:val="num" w:pos="0"/>
        </w:tabs>
        <w:ind w:left="1516" w:hanging="180"/>
      </w:pPr>
      <w:rPr/>
    </w:lvl>
    <w:lvl w:ilvl="3">
      <w:start w:val="1"/>
      <w:numFmt w:val="decimal"/>
      <w:lvlText w:val="%4."/>
      <w:lvlJc w:val="left"/>
      <w:pPr>
        <w:tabs>
          <w:tab w:val="num" w:pos="0"/>
        </w:tabs>
        <w:ind w:left="2236" w:hanging="360"/>
      </w:pPr>
      <w:rPr/>
    </w:lvl>
    <w:lvl w:ilvl="4">
      <w:start w:val="1"/>
      <w:numFmt w:val="lowerLetter"/>
      <w:lvlText w:val="%5."/>
      <w:lvlJc w:val="left"/>
      <w:pPr>
        <w:tabs>
          <w:tab w:val="num" w:pos="0"/>
        </w:tabs>
        <w:ind w:left="2956" w:hanging="360"/>
      </w:pPr>
      <w:rPr/>
    </w:lvl>
    <w:lvl w:ilvl="5">
      <w:start w:val="1"/>
      <w:numFmt w:val="lowerRoman"/>
      <w:lvlText w:val="%6."/>
      <w:lvlJc w:val="right"/>
      <w:pPr>
        <w:tabs>
          <w:tab w:val="num" w:pos="0"/>
        </w:tabs>
        <w:ind w:left="3676" w:hanging="180"/>
      </w:pPr>
      <w:rPr/>
    </w:lvl>
    <w:lvl w:ilvl="6">
      <w:start w:val="1"/>
      <w:numFmt w:val="decimal"/>
      <w:lvlText w:val="%7."/>
      <w:lvlJc w:val="left"/>
      <w:pPr>
        <w:tabs>
          <w:tab w:val="num" w:pos="0"/>
        </w:tabs>
        <w:ind w:left="4396" w:hanging="360"/>
      </w:pPr>
      <w:rPr/>
    </w:lvl>
    <w:lvl w:ilvl="7">
      <w:start w:val="1"/>
      <w:numFmt w:val="lowerLetter"/>
      <w:lvlText w:val="%8."/>
      <w:lvlJc w:val="left"/>
      <w:pPr>
        <w:tabs>
          <w:tab w:val="num" w:pos="0"/>
        </w:tabs>
        <w:ind w:left="5116" w:hanging="360"/>
      </w:pPr>
      <w:rPr/>
    </w:lvl>
    <w:lvl w:ilvl="8">
      <w:start w:val="1"/>
      <w:numFmt w:val="lowerRoman"/>
      <w:lvlText w:val="%9."/>
      <w:lvlJc w:val="right"/>
      <w:pPr>
        <w:tabs>
          <w:tab w:val="num" w:pos="0"/>
        </w:tabs>
        <w:ind w:left="5836"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lvl>
    <w:lvl w:ilvl="1">
      <w:start w:val="1"/>
      <w:numFmt w:val="upperRoman"/>
      <w:lvlText w:val="%2."/>
      <w:lvlJc w:val="left"/>
      <w:pPr>
        <w:tabs>
          <w:tab w:val="num" w:pos="0"/>
        </w:tabs>
        <w:ind w:left="1080" w:hanging="360"/>
      </w:pPr>
      <w:rPr/>
    </w:lvl>
    <w:lvl w:ilvl="2">
      <w:start w:val="1"/>
      <w:numFmt w:val="upperRoman"/>
      <w:lvlText w:val="%3."/>
      <w:lvlJc w:val="left"/>
      <w:pPr>
        <w:tabs>
          <w:tab w:val="num" w:pos="0"/>
        </w:tabs>
        <w:ind w:left="1440" w:hanging="360"/>
      </w:pPr>
      <w:rPr/>
    </w:lvl>
    <w:lvl w:ilvl="3">
      <w:start w:val="1"/>
      <w:numFmt w:val="upperRoman"/>
      <w:lvlText w:val="%4."/>
      <w:lvlJc w:val="left"/>
      <w:pPr>
        <w:tabs>
          <w:tab w:val="num" w:pos="0"/>
        </w:tabs>
        <w:ind w:left="1800" w:hanging="360"/>
      </w:pPr>
      <w:rPr/>
    </w:lvl>
    <w:lvl w:ilvl="4">
      <w:start w:val="1"/>
      <w:numFmt w:val="upperRoman"/>
      <w:lvlText w:val="%5."/>
      <w:lvlJc w:val="left"/>
      <w:pPr>
        <w:tabs>
          <w:tab w:val="num" w:pos="0"/>
        </w:tabs>
        <w:ind w:left="2160" w:hanging="360"/>
      </w:pPr>
      <w:rPr/>
    </w:lvl>
    <w:lvl w:ilvl="5">
      <w:start w:val="1"/>
      <w:numFmt w:val="upperRoman"/>
      <w:lvlText w:val="%6."/>
      <w:lvlJc w:val="left"/>
      <w:pPr>
        <w:tabs>
          <w:tab w:val="num" w:pos="0"/>
        </w:tabs>
        <w:ind w:left="2520" w:hanging="360"/>
      </w:pPr>
      <w:rPr/>
    </w:lvl>
    <w:lvl w:ilvl="6">
      <w:start w:val="1"/>
      <w:numFmt w:val="upperRoman"/>
      <w:lvlText w:val="%7."/>
      <w:lvlJc w:val="left"/>
      <w:pPr>
        <w:tabs>
          <w:tab w:val="num" w:pos="0"/>
        </w:tabs>
        <w:ind w:left="2880" w:hanging="360"/>
      </w:pPr>
      <w:rPr/>
    </w:lvl>
    <w:lvl w:ilvl="7">
      <w:start w:val="1"/>
      <w:numFmt w:val="upperRoman"/>
      <w:lvlText w:val="%8."/>
      <w:lvlJc w:val="left"/>
      <w:pPr>
        <w:tabs>
          <w:tab w:val="num" w:pos="0"/>
        </w:tabs>
        <w:ind w:left="3240" w:hanging="360"/>
      </w:pPr>
      <w:rPr/>
    </w:lvl>
    <w:lvl w:ilvl="8">
      <w:start w:val="1"/>
      <w:numFmt w:val="upperRoman"/>
      <w:lvlText w:val="%9."/>
      <w:lvlJc w:val="left"/>
      <w:pPr>
        <w:tabs>
          <w:tab w:val="num" w:pos="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5710"/>
    <w:pPr>
      <w:widowControl/>
      <w:suppressAutoHyphens w:val="true"/>
      <w:bidi w:val="0"/>
      <w:spacing w:before="0" w:after="0"/>
      <w:jc w:val="left"/>
    </w:pPr>
    <w:rPr>
      <w:rFonts w:ascii="Times New Roman" w:hAnsi="Times New Roman" w:eastAsia="Times New Roman" w:cs="Times New Roman"/>
      <w:color w:val="auto"/>
      <w:kern w:val="0"/>
      <w:sz w:val="24"/>
      <w:szCs w:val="24"/>
      <w:lang w:val="hr-HR" w:eastAsia="sl-SI"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val="x-none" w:eastAsia="x-none"/>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val="x-none" w:eastAsia="x-none"/>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val="x-none" w:eastAsia="x-none"/>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val="x-none" w:eastAsia="x-none"/>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val="x-none" w:eastAsia="x-none"/>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link w:val="Heading3"/>
    <w:uiPriority w:val="9"/>
    <w:qFormat/>
    <w:rsid w:val="00f91657"/>
    <w:rPr>
      <w:rFonts w:ascii="Calibri" w:hAnsi="Calibri"/>
      <w:b/>
      <w:bCs/>
      <w:sz w:val="22"/>
      <w:szCs w:val="26"/>
    </w:rPr>
  </w:style>
  <w:style w:type="character" w:styleId="Heading4Char" w:customStyle="1">
    <w:name w:val="Heading 4 Char"/>
    <w:link w:val="Heading4"/>
    <w:uiPriority w:val="9"/>
    <w:qFormat/>
    <w:rsid w:val="00f91657"/>
    <w:rPr>
      <w:rFonts w:ascii="Calibri" w:hAnsi="Calibri"/>
      <w:b/>
      <w:bCs/>
      <w:sz w:val="28"/>
      <w:szCs w:val="28"/>
    </w:rPr>
  </w:style>
  <w:style w:type="character" w:styleId="Heading5Char" w:customStyle="1">
    <w:name w:val="Heading 5 Char"/>
    <w:link w:val="Heading5"/>
    <w:uiPriority w:val="9"/>
    <w:qFormat/>
    <w:rsid w:val="00f91657"/>
    <w:rPr>
      <w:rFonts w:ascii="Calibri" w:hAnsi="Calibri"/>
      <w:b/>
      <w:bCs/>
      <w:i/>
      <w:iCs/>
      <w:sz w:val="26"/>
      <w:szCs w:val="26"/>
    </w:rPr>
  </w:style>
  <w:style w:type="character" w:styleId="Heading6Char" w:customStyle="1">
    <w:name w:val="Heading 6 Char"/>
    <w:link w:val="Heading6"/>
    <w:uiPriority w:val="9"/>
    <w:qFormat/>
    <w:rsid w:val="00f91657"/>
    <w:rPr>
      <w:rFonts w:ascii="Calibri" w:hAnsi="Calibri"/>
      <w:b/>
      <w:bCs/>
      <w:sz w:val="22"/>
      <w:szCs w:val="22"/>
    </w:rPr>
  </w:style>
  <w:style w:type="character" w:styleId="Heading7Char" w:customStyle="1">
    <w:name w:val="Heading 7 Char"/>
    <w:link w:val="Heading7"/>
    <w:uiPriority w:val="9"/>
    <w:qFormat/>
    <w:rsid w:val="00f91657"/>
    <w:rPr>
      <w:rFonts w:ascii="Calibri" w:hAnsi="Calibri"/>
      <w:sz w:val="24"/>
      <w:szCs w:val="24"/>
    </w:rPr>
  </w:style>
  <w:style w:type="character" w:styleId="Heading8Char" w:customStyle="1">
    <w:name w:val="Heading 8 Char"/>
    <w:link w:val="Heading8"/>
    <w:uiPriority w:val="9"/>
    <w:qFormat/>
    <w:rsid w:val="00f91657"/>
    <w:rPr>
      <w:rFonts w:ascii="Calibri" w:hAnsi="Calibri"/>
      <w:i/>
      <w:iCs/>
      <w:sz w:val="24"/>
      <w:szCs w:val="24"/>
    </w:rPr>
  </w:style>
  <w:style w:type="character" w:styleId="Heading9Char" w:customStyle="1">
    <w:name w:val="Heading 9 Char"/>
    <w:link w:val="Heading9"/>
    <w:uiPriority w:val="9"/>
    <w:qFormat/>
    <w:rsid w:val="00f91657"/>
    <w:rPr>
      <w:rFonts w:ascii="Cambria" w:hAnsi="Cambria"/>
      <w:sz w:val="22"/>
      <w:szCs w:val="22"/>
    </w:rPr>
  </w:style>
  <w:style w:type="character" w:styleId="InternetLink">
    <w:name w:val="Hyperlink"/>
    <w:unhideWhenUsed/>
    <w:rsid w:val="00f91657"/>
    <w:rPr>
      <w:color w:val="0000FF"/>
      <w:u w:val="single"/>
    </w:rPr>
  </w:style>
  <w:style w:type="character" w:styleId="HeaderChar" w:customStyle="1">
    <w:name w:val="Header Char"/>
    <w:link w:val="Header"/>
    <w:qFormat/>
    <w:rsid w:val="0042791c"/>
    <w:rPr>
      <w:sz w:val="24"/>
      <w:szCs w:val="24"/>
      <w:lang w:eastAsia="sl-SI"/>
    </w:rPr>
  </w:style>
  <w:style w:type="character" w:styleId="Annotationreference">
    <w:name w:val="annotation reference"/>
    <w:qFormat/>
    <w:rsid w:val="00407765"/>
    <w:rPr>
      <w:sz w:val="16"/>
      <w:szCs w:val="16"/>
    </w:rPr>
  </w:style>
  <w:style w:type="character" w:styleId="CommentTextChar" w:customStyle="1">
    <w:name w:val="Comment Text Char"/>
    <w:link w:val="Annotationtext"/>
    <w:qFormat/>
    <w:rsid w:val="00407765"/>
    <w:rPr>
      <w:lang w:eastAsia="sl-SI"/>
    </w:rPr>
  </w:style>
  <w:style w:type="character" w:styleId="CommentSubjectChar" w:customStyle="1">
    <w:name w:val="Comment Subject Char"/>
    <w:link w:val="Annotationsubject"/>
    <w:qFormat/>
    <w:rsid w:val="00407765"/>
    <w:rPr>
      <w:b/>
      <w:bCs/>
      <w:lang w:eastAsia="sl-SI"/>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lang w:val="x-none"/>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lang w:val="x-none" w:eastAsia="x-none"/>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1"/>
      </w:numPr>
      <w:pBdr>
        <w:bottom w:val="single" w:sz="4" w:space="1" w:color="1F497D"/>
      </w:pBdr>
      <w:spacing w:before="240" w:after="240"/>
      <w:outlineLvl w:val="0"/>
    </w:pPr>
    <w:rPr>
      <w:rFonts w:ascii="Cambria" w:hAnsi="Cambria"/>
      <w:bCs/>
      <w:color w:val="1F497D"/>
      <w:kern w:val="2"/>
      <w:sz w:val="28"/>
      <w:szCs w:val="32"/>
      <w:lang w:val="x-none" w:eastAsia="x-none"/>
    </w:rPr>
  </w:style>
  <w:style w:type="paragraph" w:styleId="Subtitle">
    <w:name w:val="Subtitle"/>
    <w:basedOn w:val="Normal"/>
    <w:next w:val="Normal"/>
    <w:link w:val="SubtitleChar"/>
    <w:uiPriority w:val="11"/>
    <w:qFormat/>
    <w:rsid w:val="00e55710"/>
    <w:pPr>
      <w:numPr>
        <w:ilvl w:val="1"/>
        <w:numId w:val="1"/>
      </w:numPr>
      <w:pBdr>
        <w:bottom w:val="single" w:sz="4" w:space="1" w:color="1F497D"/>
      </w:pBdr>
      <w:spacing w:before="120" w:after="120"/>
      <w:outlineLvl w:val="1"/>
    </w:pPr>
    <w:rPr>
      <w:rFonts w:ascii="Cambria" w:hAnsi="Cambria"/>
      <w:color w:val="1F497D"/>
      <w:lang w:val="x-none" w:eastAsia="x-none"/>
    </w:rPr>
  </w:style>
  <w:style w:type="paragraph" w:styleId="CVHeading3" w:customStyle="1">
    <w:name w:val="CV Heading 3"/>
    <w:basedOn w:val="Normal"/>
    <w:next w:val="Normal"/>
    <w:qFormat/>
    <w:rsid w:val="00ee21eb"/>
    <w:pPr>
      <w:suppressAutoHyphens w:val="true"/>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suppressAutoHyphens w:val="true"/>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suppressAutoHyphens w:val="true"/>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uppressAutoHyphens w:val="true"/>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uppressAutoHyphens w:val="true"/>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suppressAutoHyphens w:val="true"/>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suppressAutoHyphens w:val="true"/>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suppressAutoHyphens w:val="true"/>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uppressAutoHyphens w:val="true"/>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suppressAutoHyphens w:val="true"/>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e05141"/>
    <w:pPr>
      <w:ind w:left="708" w:hanging="0"/>
    </w:pPr>
    <w:rPr/>
  </w:style>
  <w:style w:type="paragraph" w:styleId="Annotationtext">
    <w:name w:val="annotation text"/>
    <w:basedOn w:val="Normal"/>
    <w:link w:val="CommentTextChar"/>
    <w:qFormat/>
    <w:rsid w:val="00407765"/>
    <w:pPr/>
    <w:rPr>
      <w:sz w:val="20"/>
      <w:szCs w:val="20"/>
    </w:rPr>
  </w:style>
  <w:style w:type="paragraph" w:styleId="Annotationsubject">
    <w:name w:val="annotation subject"/>
    <w:basedOn w:val="Annotationtext"/>
    <w:next w:val="Annotationtext"/>
    <w:link w:val="CommentSubjectChar"/>
    <w:qFormat/>
    <w:rsid w:val="00407765"/>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rodne-novine.nn.hr/clanci/sluzbeni/2014_12_146_2740.html" TargetMode="External"/><Relationship Id="rId3" Type="http://schemas.openxmlformats.org/officeDocument/2006/relationships/hyperlink" Target="https://narodne-novine.nn.hr/clanci/sluzbeni/2019_03_31_627.html" TargetMode="External"/><Relationship Id="rId4" Type="http://schemas.openxmlformats.org/officeDocument/2006/relationships/hyperlink" Target="https://www.fcc.gov/auction/101/factsheet" TargetMode="External"/><Relationship Id="rId5" Type="http://schemas.openxmlformats.org/officeDocument/2006/relationships/hyperlink" Target="https://www.fcc.gov/document/fact-sheet-spectrum-frontiers-item" TargetMode="External"/><Relationship Id="rId6" Type="http://schemas.openxmlformats.org/officeDocument/2006/relationships/hyperlink" Target="http://www.itis.ethz.ch/database"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908AB-C9B1-4518-934B-CA94EE77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Predlozak_hrvatski_prazni_2011</Template>
  <TotalTime>106</TotalTime>
  <Application>LibreOffice/7.5.1.2$Linux_X86_64 LibreOffice_project/81bce3cd17f5e01886721863a4fa0d99f91033a6</Application>
  <AppVersion>15.0000</AppVersion>
  <Pages>21</Pages>
  <Words>8710</Words>
  <Characters>55839</Characters>
  <CharactersWithSpaces>64326</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2018-09-20T09:49:00Z</dcterms:created>
  <dc:creator/>
  <dc:description/>
  <dc:language>en-US</dc:language>
  <cp:lastModifiedBy/>
  <cp:lastPrinted>2011-11-08T19:59:00Z</cp:lastPrinted>
  <dcterms:modified xsi:type="dcterms:W3CDTF">2023-03-06T18:23:08Z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