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lang w:val="en-GB"/>
        </w:rPr>
      </w:pPr>
      <w:r>
        <w:rPr>
          <w:sz w:val="22"/>
          <w:szCs w:val="22"/>
          <w:lang w:val="en-GB"/>
        </w:rPr>
        <w:tab/>
      </w:r>
      <w:r>
        <w:rPr>
          <w:rFonts w:ascii="Calibri" w:hAnsi="Calibri"/>
          <w:sz w:val="22"/>
          <w:szCs w:val="22"/>
          <w:lang w:val="en-GB"/>
        </w:rPr>
        <w:t>POSTGRADUATE DOCTORAL STUDY</w:t>
        <w:tab/>
        <w:tab/>
      </w:r>
    </w:p>
    <w:p>
      <w:pPr>
        <w:pStyle w:val="Header"/>
        <w:tabs>
          <w:tab w:val="clear" w:pos="9072"/>
          <w:tab w:val="center" w:pos="4536" w:leader="none"/>
          <w:tab w:val="right" w:pos="9070" w:leader="none"/>
        </w:tabs>
        <w:ind w:hanging="1418"/>
        <w:jc w:val="both"/>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ab/>
        <w:t>FORM D5A-OCJ</w:t>
      </w:r>
      <w:r>
        <w:rPr>
          <w:rFonts w:ascii="Calibri" w:hAnsi="Calibri"/>
          <w:sz w:val="22"/>
          <w:szCs w:val="22"/>
          <w:lang w:val="en-GB"/>
        </w:rPr>
        <w:softHyphen/>
      </w:r>
    </w:p>
    <w:p>
      <w:pPr>
        <w:pStyle w:val="Normal"/>
        <w:jc w:val="center"/>
        <w:rPr>
          <w:rFonts w:ascii="Calibri" w:hAnsi="Calibri"/>
          <w:sz w:val="22"/>
          <w:szCs w:val="22"/>
          <w:lang w:val="en-GB"/>
        </w:rPr>
      </w:pPr>
      <w:r>
        <w:rPr>
          <w:rFonts w:ascii="Calibri" w:hAnsi="Calibri"/>
          <w:sz w:val="22"/>
          <w:szCs w:val="22"/>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t>APPLICATION FOR INITIATING THE PROCEDURE FOR ASSESSMENT AND DEFENSE OF THE DOCTORAL THESIS</w:t>
      </w:r>
    </w:p>
    <w:p>
      <w:pPr>
        <w:pStyle w:val="Normal"/>
        <w:jc w:val="center"/>
        <w:rPr>
          <w:rFonts w:ascii="Calibri" w:hAnsi="Calibri"/>
          <w:b/>
          <w:color w:val="000000"/>
          <w:sz w:val="28"/>
          <w:szCs w:val="28"/>
          <w:lang w:val="en-GB"/>
        </w:rPr>
      </w:pPr>
      <w:r>
        <w:rPr>
          <w:rFonts w:ascii="Calibri" w:hAnsi="Calibri"/>
          <w:b/>
          <w:color w:val="000000"/>
          <w:sz w:val="28"/>
          <w:szCs w:val="28"/>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student: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lang w:val="en-GB"/>
              </w:rPr>
            </w:pPr>
            <w:r>
              <w:rPr>
                <w:rFonts w:ascii="Calibri" w:hAnsi="Calibri"/>
                <w:bCs/>
                <w:color w:val="000000" w:themeColor="text1"/>
                <w:sz w:val="22"/>
                <w:szCs w:val="22"/>
                <w:lang w:val="en-GB"/>
              </w:rPr>
              <w:t>Ante Kapetanović</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supervisor:</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lang w:val="en-GB"/>
              </w:rPr>
            </w:pPr>
            <w:r>
              <w:rPr>
                <w:rFonts w:ascii="Calibri" w:hAnsi="Calibri"/>
                <w:bCs/>
                <w:sz w:val="22"/>
                <w:szCs w:val="22"/>
                <w:lang w:val="en-GB"/>
              </w:rPr>
              <w:t>Prof Dragan Poljak, PhD</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Postgraduate doctoral study</w:t>
            </w:r>
            <w:r>
              <w:rPr>
                <w:rFonts w:ascii="Calibri" w:hAnsi="Calibri"/>
                <w:b/>
                <w:bCs/>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 and information technology</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Scientific field/discipline:</w:t>
            </w:r>
            <w:r>
              <w:rPr>
                <w:rFonts w:ascii="Calibri" w:hAnsi="Calibri"/>
                <w:b/>
                <w:bCs/>
                <w:color w:val="000000"/>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engineering/electronics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(Croatian):</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(English):</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Language of thesis:</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English</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lang w:val="en-GB"/>
              </w:rPr>
            </w:pPr>
            <w:r>
              <w:rPr>
                <w:rFonts w:ascii="Calibri" w:hAnsi="Calibri"/>
                <w:b/>
                <w:bCs/>
                <w:color w:val="000000"/>
                <w:sz w:val="22"/>
                <w:szCs w:val="22"/>
                <w:lang w:val="en-GB"/>
              </w:rPr>
              <w:t>Date of accepting the doctoral thesis proposal:</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24.4.2023</w:t>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I hereby declare that I have fulfilled all the requirements for initiating the procedure for assessment and defence of doctoral thesis, including publication of papers in the area of doctoral research (list enclosed) and I hereby declare that I have produced the doctoral thesis on my own.</w:t>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The doctoral thesis was formatted and prepared in accordance with the instructions for preparing the text of the doctoral thesis.</w:t>
      </w:r>
    </w:p>
    <w:p>
      <w:pPr>
        <w:pStyle w:val="Normal"/>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1"/>
        <w:gridCol w:w="4786"/>
      </w:tblGrid>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6"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_________________________________</w:t>
            </w:r>
          </w:p>
          <w:p>
            <w:pPr>
              <w:pStyle w:val="Normal"/>
              <w:widowControl w:val="false"/>
              <w:tabs>
                <w:tab w:val="clear" w:pos="709"/>
                <w:tab w:val="left" w:pos="1276" w:leader="none"/>
              </w:tabs>
              <w:jc w:val="right"/>
              <w:rPr>
                <w:rFonts w:ascii="Calibri" w:hAnsi="Calibri"/>
                <w:i/>
                <w:i/>
                <w:sz w:val="22"/>
                <w:szCs w:val="22"/>
                <w:lang w:val="en-GB"/>
              </w:rPr>
            </w:pPr>
            <w:r>
              <w:rPr>
                <w:rFonts w:ascii="Calibri" w:hAnsi="Calibri"/>
                <w:sz w:val="22"/>
                <w:szCs w:val="22"/>
                <w:lang w:val="en-GB"/>
              </w:rPr>
              <w:t xml:space="preserve">               </w:t>
            </w:r>
            <w:r>
              <w:rPr>
                <w:rFonts w:ascii="Calibri" w:hAnsi="Calibri"/>
                <w:sz w:val="22"/>
                <w:szCs w:val="22"/>
                <w:lang w:val="en-GB"/>
              </w:rPr>
              <w:t>Signature of the candidate</w:t>
            </w:r>
          </w:p>
        </w:tc>
      </w:tr>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6"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Approval of the supervisor:</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approval for initiating the procedure mentor for assessment and defence of doctoral thesis)</w:t>
            </w:r>
          </w:p>
        </w:tc>
      </w:tr>
      <w:tr>
        <w:trPr/>
        <w:tc>
          <w:tcPr>
            <w:tcW w:w="9060" w:type="dxa"/>
            <w:tcBorders/>
          </w:tcPr>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left"/>
              <w:rPr>
                <w:rFonts w:ascii="Calibri" w:hAnsi="Calibri"/>
                <w:sz w:val="22"/>
                <w:szCs w:val="22"/>
                <w:lang w:val="en-US"/>
              </w:rPr>
            </w:pPr>
            <w:r>
              <w:rPr>
                <w:rFonts w:eastAsia="Times New Roman" w:cs="Times New Roman" w:ascii="Calibri" w:hAnsi="Calibri"/>
                <w:kern w:val="0"/>
                <w:sz w:val="22"/>
                <w:szCs w:val="22"/>
                <w:lang w:val="en-US" w:bidi="ar-SA"/>
              </w:rPr>
              <w:t>I agree with the initiation of the procedure for assessment and defense of the doctoral thesis of candidate Ante Kapetanović, mag.ing.</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tc>
      </w:tr>
      <w:tr>
        <w:trPr/>
        <w:tc>
          <w:tcPr>
            <w:tcW w:w="9060" w:type="dxa"/>
            <w:tcBorders/>
            <w:shd w:color="auto" w:fill="D9D9D9" w:themeFill="background1" w:themeFillShade="d9" w:val="clear"/>
          </w:tcPr>
          <w:p>
            <w:pPr>
              <w:pStyle w:val="Normal"/>
              <w:widowControl/>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Opinion of the supervisor:</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opinion on conducted research and achieved scientific contribution, recommended approx. 4000 -7000 words)</w:t>
            </w:r>
          </w:p>
        </w:tc>
      </w:tr>
      <w:tr>
        <w:trPr/>
        <w:tc>
          <w:tcPr>
            <w:tcW w:w="9060" w:type="dxa"/>
            <w:tcBorders/>
          </w:tcPr>
          <w:p>
            <w:pPr>
              <w:pStyle w:val="ListParagraph"/>
              <w:widowControl/>
              <w:suppressAutoHyphens w:val="true"/>
              <w:spacing w:before="0" w:after="0"/>
              <w:ind w:hanging="0"/>
              <w:contextualSpacing/>
              <w:jc w:val="left"/>
              <w:rPr>
                <w:rFonts w:ascii="Calibri" w:hAnsi="Calibri" w:eastAsia="Times New Roman" w:cs="Times New Roman"/>
                <w:b/>
                <w:kern w:val="0"/>
                <w:sz w:val="22"/>
                <w:szCs w:val="22"/>
                <w:lang w:val="en-GB" w:bidi="ar-SA"/>
              </w:rPr>
            </w:pPr>
            <w:r>
              <w:rPr>
                <w:rFonts w:eastAsia="Times New Roman" w:cs="Times New Roman" w:ascii="Calibri" w:hAnsi="Calibri"/>
                <w:b/>
                <w:kern w:val="0"/>
                <w:sz w:val="22"/>
                <w:szCs w:val="22"/>
                <w:lang w:val="en-GB" w:bidi="ar-SA"/>
              </w:rPr>
            </w:r>
          </w:p>
          <w:p>
            <w:pPr>
              <w:pStyle w:val="ListParagraph"/>
              <w:widowControl/>
              <w:suppressAutoHyphens w:val="true"/>
              <w:spacing w:before="0" w:after="0"/>
              <w:ind w:hanging="0"/>
              <w:contextualSpacing/>
              <w:jc w:val="left"/>
              <w:rPr>
                <w:rFonts w:eastAsia="Times New Roman" w:cs="Times New Roman"/>
                <w:kern w:val="0"/>
                <w:lang w:bidi="ar-SA"/>
              </w:rPr>
            </w:pPr>
            <w:r>
              <w:rPr>
                <w:rFonts w:eastAsia="Times New Roman" w:cs="Times New Roman" w:ascii="Calibri" w:hAnsi="Calibri"/>
                <w:b/>
                <w:kern w:val="0"/>
                <w:sz w:val="22"/>
                <w:szCs w:val="22"/>
                <w:lang w:val="en-GB" w:bidi="ar-SA"/>
              </w:rPr>
              <w:t>Overview of the contents of the doctoral thesis</w:t>
            </w:r>
          </w:p>
          <w:p>
            <w:pPr>
              <w:pStyle w:val="ListParagraph"/>
              <w:widowControl/>
              <w:suppressAutoHyphens w:val="true"/>
              <w:spacing w:before="0" w:after="0"/>
              <w:ind w:hanging="0"/>
              <w:contextualSpacing/>
              <w:jc w:val="left"/>
              <w:rPr>
                <w:rFonts w:ascii="Calibri" w:hAnsi="Calibri"/>
                <w:b/>
                <w:sz w:val="22"/>
                <w:szCs w:val="22"/>
                <w:lang w:val="en-GB"/>
              </w:rPr>
            </w:pPr>
            <w:r>
              <w:rPr>
                <w:rFonts w:eastAsia="Times New Roman" w:cs="Times New Roman"/>
                <w:kern w:val="0"/>
                <w:lang w:bidi="ar-SA"/>
              </w:rPr>
            </w:r>
          </w:p>
          <w:p>
            <w:pPr>
              <w:pStyle w:val="ListParagraph"/>
              <w:widowControl/>
              <w:suppressAutoHyphens w:val="true"/>
              <w:spacing w:before="0" w:after="0"/>
              <w:ind w:hanging="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 xml:space="preserve">Doctoral dissertation of candidate Ante Kapetanović is written in English and </w:t>
            </w:r>
            <w:r>
              <w:rPr>
                <w:rFonts w:eastAsia="Times New Roman" w:cs="Times New Roman" w:ascii="Calibri" w:hAnsi="Calibri"/>
                <w:color w:val="auto"/>
                <w:kern w:val="0"/>
                <w:sz w:val="22"/>
                <w:szCs w:val="22"/>
                <w:lang w:val="en-GB" w:bidi="ar-SA"/>
              </w:rPr>
              <w:t>en</w:t>
            </w:r>
            <w:r>
              <w:rPr>
                <w:rFonts w:eastAsia="Times New Roman" w:cs="Times New Roman" w:ascii="Calibri" w:hAnsi="Calibri"/>
                <w:kern w:val="0"/>
                <w:sz w:val="22"/>
                <w:szCs w:val="22"/>
                <w:lang w:val="en-GB" w:bidi="ar-SA"/>
              </w:rPr>
              <w:t>titled Advanced Technique for Assessment of Spatially Averaged Dosimetric Quantities on Nonplanar Surfaces.</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The dissertation contains a total of 14</w:t>
            </w:r>
            <w:r>
              <w:rPr>
                <w:rFonts w:eastAsia="Times New Roman" w:cs="Times New Roman" w:ascii="Calibri" w:hAnsi="Calibri"/>
                <w:kern w:val="0"/>
                <w:sz w:val="22"/>
                <w:szCs w:val="22"/>
                <w:lang w:val="en-GB" w:bidi="ar-SA"/>
              </w:rPr>
              <w:t>7</w:t>
            </w:r>
            <w:r>
              <w:rPr>
                <w:rFonts w:eastAsia="Times New Roman" w:cs="Times New Roman" w:ascii="Calibri" w:hAnsi="Calibri"/>
                <w:kern w:val="0"/>
                <w:sz w:val="22"/>
                <w:szCs w:val="22"/>
                <w:lang w:val="en-GB" w:bidi="ar-SA"/>
              </w:rPr>
              <w:t xml:space="preserve"> pages, 15 figures, 3 tables and 145 bibliographic units, and is written according to the "Scandinavian model" and contains the title page, bibliographic data, summary in English and Croatian, place reserved for acknowledgements, table of contents, list of tables, a list of figures, a list of abbreviations, the central part of the dissertation text and finally a CV.</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 xml:space="preserve">The central part of the dissertation based on a set of published </w:t>
            </w:r>
            <w:r>
              <w:rPr>
                <w:rFonts w:eastAsia="Times New Roman" w:cs="Times New Roman" w:ascii="Calibri" w:hAnsi="Calibri"/>
                <w:color w:val="auto"/>
                <w:kern w:val="0"/>
                <w:sz w:val="22"/>
                <w:szCs w:val="22"/>
                <w:lang w:val="en-GB" w:bidi="ar-SA"/>
              </w:rPr>
              <w:t>papers</w:t>
            </w:r>
            <w:r>
              <w:rPr>
                <w:rFonts w:eastAsia="Times New Roman" w:cs="Times New Roman" w:ascii="Calibri" w:hAnsi="Calibri"/>
                <w:kern w:val="0"/>
                <w:sz w:val="22"/>
                <w:szCs w:val="22"/>
                <w:lang w:val="en-GB" w:bidi="ar-SA"/>
              </w:rPr>
              <w:t xml:space="preserve"> consists of an introduction in which the motivation is stated, then the research goals and hypothesis, scientific methods and contribution, and then a list of published </w:t>
            </w:r>
            <w:r>
              <w:rPr>
                <w:rFonts w:eastAsia="Times New Roman" w:cs="Times New Roman" w:ascii="Calibri" w:hAnsi="Calibri"/>
                <w:color w:val="auto"/>
                <w:kern w:val="0"/>
                <w:sz w:val="22"/>
                <w:szCs w:val="22"/>
                <w:lang w:val="en-GB" w:bidi="ar-SA"/>
              </w:rPr>
              <w:t>papers</w:t>
            </w:r>
            <w:r>
              <w:rPr>
                <w:rFonts w:eastAsia="Times New Roman" w:cs="Times New Roman" w:ascii="Calibri" w:hAnsi="Calibri"/>
                <w:kern w:val="0"/>
                <w:sz w:val="22"/>
                <w:szCs w:val="22"/>
                <w:lang w:val="en-GB" w:bidi="ar-SA"/>
              </w:rPr>
              <w:t xml:space="preserve"> on which the scientific contribution of the thesis is based, and finally an overview of the organization of the dissertation.</w:t>
            </w:r>
          </w:p>
          <w:p>
            <w:pPr>
              <w:pStyle w:val="ListParagraph"/>
              <w:widowControl/>
              <w:suppressAutoHyphens w:val="true"/>
              <w:spacing w:before="0" w:after="0"/>
              <w:contextualSpacing/>
              <w:jc w:val="both"/>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An overview of the scientific contribution is presented through the</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color w:val="auto"/>
                <w:kern w:val="0"/>
                <w:sz w:val="22"/>
                <w:szCs w:val="22"/>
                <w:lang w:val="en-GB" w:bidi="ar-SA"/>
              </w:rPr>
              <w:t>p</w:t>
            </w:r>
            <w:r>
              <w:rPr>
                <w:rFonts w:eastAsia="Times New Roman" w:cs="Times New Roman" w:ascii="Calibri" w:hAnsi="Calibri"/>
                <w:color w:val="auto"/>
                <w:kern w:val="0"/>
                <w:sz w:val="22"/>
                <w:szCs w:val="22"/>
                <w:lang w:val="en-GB" w:bidi="ar-SA"/>
              </w:rPr>
              <w:t>apers</w:t>
            </w:r>
            <w:r>
              <w:rPr>
                <w:rFonts w:eastAsia="Times New Roman" w:cs="Times New Roman" w:ascii="Calibri" w:hAnsi="Calibri"/>
                <w:kern w:val="0"/>
                <w:sz w:val="22"/>
                <w:szCs w:val="22"/>
                <w:lang w:val="en-GB" w:bidi="ar-SA"/>
              </w:rPr>
              <w:t xml:space="preserve"> on which the dissertation is based, where the contribution of the </w:t>
            </w:r>
            <w:r>
              <w:rPr>
                <w:rFonts w:eastAsia="Times New Roman" w:cs="Times New Roman" w:ascii="Calibri" w:hAnsi="Calibri"/>
                <w:kern w:val="0"/>
                <w:sz w:val="22"/>
                <w:szCs w:val="22"/>
                <w:lang w:val="en-GB" w:bidi="ar-SA"/>
              </w:rPr>
              <w:t>PhD</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kern w:val="0"/>
                <w:sz w:val="22"/>
                <w:szCs w:val="22"/>
                <w:lang w:val="en-GB" w:bidi="ar-SA"/>
              </w:rPr>
              <w:t>student is also defined for each individual published paper. In the last part, there is a conclusion in which the main solutions and guidelines for possible further research work are stated.</w:t>
            </w:r>
          </w:p>
          <w:p>
            <w:pPr>
              <w:pStyle w:val="ListParagraph"/>
              <w:widowControl/>
              <w:suppressAutoHyphens w:val="true"/>
              <w:spacing w:before="0" w:after="0"/>
              <w:ind w:hanging="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After the conclusion, the literature used in the dissertation is listed. The papers on which the dissertation is based are listed in Appendix A, B, C, and D.</w:t>
            </w:r>
          </w:p>
          <w:p>
            <w:pPr>
              <w:pStyle w:val="ListParagraph"/>
              <w:widowControl/>
              <w:suppressAutoHyphens w:val="true"/>
              <w:spacing w:before="0" w:after="0"/>
              <w:contextualSpacing/>
              <w:jc w:val="left"/>
              <w:rPr>
                <w:rFonts w:ascii="Calibri" w:hAnsi="Calibri"/>
                <w:b/>
                <w:sz w:val="22"/>
                <w:szCs w:val="22"/>
                <w:lang w:val="en-GB"/>
              </w:rPr>
            </w:pPr>
            <w:r>
              <w:rPr>
                <w:rFonts w:eastAsia="Times New Roman" w:cs="Times New Roman" w:ascii="Calibri" w:hAnsi="Calibri"/>
                <w:b/>
                <w:kern w:val="0"/>
                <w:sz w:val="22"/>
                <w:szCs w:val="22"/>
                <w:lang w:val="en-GB" w:bidi="ar-SA"/>
              </w:rPr>
            </w:r>
          </w:p>
          <w:p>
            <w:pPr>
              <w:pStyle w:val="ListParagraph"/>
              <w:widowControl/>
              <w:suppressAutoHyphens w:val="true"/>
              <w:spacing w:before="0" w:after="0"/>
              <w:ind w:hanging="0"/>
              <w:contextualSpacing/>
              <w:jc w:val="left"/>
              <w:rPr>
                <w:rFonts w:eastAsia="Times New Roman" w:cs="Times New Roman"/>
                <w:kern w:val="0"/>
                <w:lang w:bidi="ar-SA"/>
              </w:rPr>
            </w:pPr>
            <w:r>
              <w:rPr>
                <w:rFonts w:eastAsia="Times New Roman" w:cs="Times New Roman" w:ascii="Calibri" w:hAnsi="Calibri"/>
                <w:kern w:val="0"/>
                <w:sz w:val="22"/>
                <w:szCs w:val="22"/>
                <w:lang w:val="en-GB" w:bidi="ar-SA"/>
              </w:rPr>
              <w:t>The central part of the dissertation text is organized by chapters as follows:</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INTRODUCTION</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Motivation</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Hypothesis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Method and Contribution</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Outline</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ASPECTS OF EXPOSURE TO ELECTROMAGNETIC FIELDS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 Primer on Electromagnetic Fields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Principles of Non-Ionizing Radiation Effects on Tissue</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Radio Frequency Electromagnetic Radiation Protection</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Brief History of Exposure Limits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Basis for Limiting Exposure</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Restrictions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Exposure Reference Levels</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GOVERNING EQUATIONS AT GIGAHERTZ RANGE</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Specific Absorption Rate</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Transition to Area-Averaged Dosimetric Quantities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Absorbed/Epithelial Power Density</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Equivalence of Absorbed/Epithelial Power Density Definitions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Incident Power Density</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State of Research</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AVERAGING POWER DENSITY ON NONPLANAR SURFACES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the Evaluation Surface</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Canonical Surfaces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Anatomical Surfaces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Construction of the Averaging Area</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Spatial Averaging of Power Density</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Assessment of Incident Power Density on Spherical Head Model up to 100 GHz</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Area-Averaged Transmitted and Absorbed Power Density on a Realistic Ear Model</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On the Applicability of Numerical Quadrature for Double Surface Integrals at 5G Frequencies</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CONCLUDING REMARKS</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BIBLIOGRAPHY</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A</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B</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C</w:t>
            </w:r>
          </w:p>
          <w:p>
            <w:pPr>
              <w:pStyle w:val="ListParagraph"/>
              <w:widowControl w:val="false"/>
              <w:numPr>
                <w:ilvl w:val="0"/>
                <w:numId w:val="1"/>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D</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contextualSpacing/>
              <w:jc w:val="left"/>
              <w:rPr>
                <w:rFonts w:ascii="Calibri" w:hAnsi="Calibri"/>
                <w:b/>
                <w:sz w:val="22"/>
                <w:szCs w:val="22"/>
                <w:lang w:val="en-GB"/>
              </w:rPr>
            </w:pPr>
            <w:r>
              <w:rPr>
                <w:rFonts w:eastAsia="Times New Roman" w:cs="Times New Roman" w:ascii="Calibri" w:hAnsi="Calibri"/>
                <w:b/>
                <w:kern w:val="0"/>
                <w:sz w:val="22"/>
                <w:szCs w:val="22"/>
                <w:lang w:val="en-GB" w:bidi="ar-SA"/>
              </w:rPr>
            </w:r>
          </w:p>
          <w:p>
            <w:pPr>
              <w:pStyle w:val="ListParagraph"/>
              <w:widowControl/>
              <w:suppressAutoHyphens w:val="true"/>
              <w:spacing w:before="0" w:after="0"/>
              <w:ind w:hanging="0"/>
              <w:contextualSpacing/>
              <w:jc w:val="left"/>
              <w:rPr>
                <w:rFonts w:eastAsia="Times New Roman" w:cs="Times New Roman"/>
                <w:kern w:val="0"/>
                <w:lang w:bidi="ar-SA"/>
              </w:rPr>
            </w:pPr>
            <w:r>
              <w:rPr>
                <w:rFonts w:eastAsia="Times New Roman" w:cs="Times New Roman" w:ascii="Calibri" w:hAnsi="Calibri"/>
                <w:b/>
                <w:kern w:val="0"/>
                <w:sz w:val="22"/>
                <w:szCs w:val="22"/>
                <w:lang w:val="en-GB" w:bidi="ar-SA"/>
              </w:rPr>
              <w:t>Overview of the contents of doctoral thesis per chapters</w:t>
            </w:r>
          </w:p>
          <w:p>
            <w:pPr>
              <w:pStyle w:val="ListParagraph"/>
              <w:widowControl/>
              <w:suppressAutoHyphens w:val="true"/>
              <w:spacing w:before="0" w:after="0"/>
              <w:ind w:hanging="0"/>
              <w:contextualSpacing/>
              <w:jc w:val="left"/>
              <w:rPr>
                <w:rFonts w:ascii="Calibri" w:hAnsi="Calibri"/>
                <w:b/>
                <w:sz w:val="22"/>
                <w:szCs w:val="22"/>
                <w:lang w:val="en-GB"/>
              </w:rPr>
            </w:pPr>
            <w:r>
              <w:rPr>
                <w:rFonts w:eastAsia="Times New Roman" w:cs="Times New Roman"/>
                <w:kern w:val="0"/>
                <w:lang w:bidi="ar-SA"/>
              </w:rPr>
            </w:r>
          </w:p>
          <w:p>
            <w:pPr>
              <w:pStyle w:val="ListParagraph"/>
              <w:widowControl/>
              <w:suppressAutoHyphens w:val="true"/>
              <w:spacing w:before="0" w:after="0"/>
              <w:ind w:hanging="0"/>
              <w:contextualSpacing/>
              <w:jc w:val="both"/>
              <w:rPr>
                <w:lang w:val="en-US"/>
              </w:rPr>
            </w:pPr>
            <w:r>
              <w:rPr>
                <w:rFonts w:eastAsia="Times New Roman" w:cs="Times New Roman" w:ascii="Calibri" w:hAnsi="Calibri"/>
                <w:kern w:val="0"/>
                <w:sz w:val="22"/>
                <w:szCs w:val="22"/>
                <w:lang w:val="en-GB" w:bidi="ar-SA"/>
              </w:rPr>
              <w:t xml:space="preserve">The motivation and hypothesis of the dissertation as well as the list of published papers are presented in the introductory part of the dissertation within the first chapter. In situations when the wavelength of the incident field onto the human body is comparable to the radius of curvature of the </w:t>
            </w:r>
            <w:r>
              <w:rPr>
                <w:rFonts w:eastAsia="Times New Roman" w:cs="Times New Roman" w:ascii="Calibri" w:hAnsi="Calibri"/>
                <w:kern w:val="0"/>
                <w:sz w:val="22"/>
                <w:szCs w:val="22"/>
                <w:lang w:val="en-GB" w:bidi="ar-SA"/>
              </w:rPr>
              <w:t>e</w:t>
            </w:r>
            <w:r>
              <w:rPr>
                <w:rFonts w:eastAsia="Times New Roman" w:cs="Times New Roman" w:ascii="Calibri" w:hAnsi="Calibri"/>
                <w:kern w:val="0"/>
                <w:sz w:val="22"/>
                <w:szCs w:val="22"/>
                <w:lang w:val="en-GB" w:bidi="ar-SA"/>
              </w:rPr>
              <w:t>xposed body part, the flat surface represents a rough approximation and potentially leads to underestimation of the area-average dosimetric quantities. The basic assumption is therefore that the application of curved models necessarily leads to more accurate spatially averaged power density values. In practical exposure scenarios, the fingers, outer ear and head are at the greatest risk from surface overheating. Thus, the corresponding cylindrical or spherical models are imposed as the most appropriate. However, considering that complex surface geometries such as that of the external ear cannot be adequately described by canonical curved models, there is a need to use tissue-equivalent anatomical models. The mathematical description of the curvature of the surface of anatomical models is possible exclusively using a precise numerical estimate of the normal unit vectors on the surface. Averaging the power density is then achieved by parametrizing the surface in a two-dimensional integration space and using a numerical approach to approximate surface integrals of the vector field. The second hypothesis is, therefore, that the spatial distribution of normal vectors on the surface of anatomical models conditioned by morphological irregularities, asymmetries and eventual deformities of the observed tissue significantly affects the absorption of incident electromagnetic fields significantly. Consequently, the values of the averaged power density can potentially be drastically greater compared to flat models, but also c</w:t>
            </w:r>
            <w:r>
              <w:rPr>
                <w:rFonts w:eastAsia="Times New Roman" w:cs="Times New Roman" w:ascii="Calibri" w:hAnsi="Calibri"/>
                <w:kern w:val="0"/>
                <w:sz w:val="22"/>
                <w:szCs w:val="22"/>
                <w:lang w:val="en-GB" w:bidi="ar-SA"/>
              </w:rPr>
              <w:t>ompared</w:t>
            </w:r>
            <w:r>
              <w:rPr>
                <w:rFonts w:eastAsia="Times New Roman" w:cs="Times New Roman" w:ascii="Calibri" w:hAnsi="Calibri"/>
                <w:kern w:val="0"/>
                <w:sz w:val="22"/>
                <w:szCs w:val="22"/>
                <w:lang w:val="en-GB" w:bidi="ar-SA"/>
              </w:rPr>
              <w:t xml:space="preserve"> to curved models of symmetric geometry, depending on the antenna position, polarization of the incident field and the area of the integration domain. Final hypothesis is that by applying hybrid methods based on the principles of machine learning combined with the traditional numerical methods, the automatic detection of hot spot regions is indirectly realized in an efficient way. This region is characterized as a limited region of greatest temperature increase.</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lang w:val="en-US"/>
              </w:rPr>
            </w:pPr>
            <w:r>
              <w:rPr>
                <w:rFonts w:eastAsia="Times New Roman" w:cs="Times New Roman" w:ascii="Calibri" w:hAnsi="Calibri"/>
                <w:kern w:val="0"/>
                <w:sz w:val="22"/>
                <w:szCs w:val="22"/>
                <w:lang w:val="en-GB" w:bidi="ar-SA"/>
              </w:rPr>
              <w:t>In the second chapter entitled: Basic Aspects of Exposure to Electromagnetic Fields, an overview of the basics of interaction between radio-frequency electromagnetic fields and the human body is provided. Starting from the first principles expressed in terms of Maxwell's equations, this chapter provides a detailed description of non-ionizing radiation, which forms the basis for determining human exposure limits. Furthermore, the scientific methodology used to derive the limits of human exposure to radio frequency fields in the range from 6 to 300 GHz is presented.</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lang w:val="en-US"/>
              </w:rPr>
            </w:pPr>
            <w:r>
              <w:rPr>
                <w:rFonts w:eastAsia="Times New Roman" w:cs="Times New Roman" w:ascii="Calibri" w:hAnsi="Calibri"/>
                <w:kern w:val="0"/>
                <w:sz w:val="22"/>
                <w:szCs w:val="22"/>
                <w:lang w:val="en-GB" w:bidi="ar-SA"/>
              </w:rPr>
              <w:t xml:space="preserve">In the third chapter, entitled Governing Equations at Gigahertz Range, a more detailed investigation of mathematical formulations related to spatially averaged dosimetric quantities is carried out, </w:t>
            </w:r>
            <w:r>
              <w:rPr>
                <w:rFonts w:eastAsia="Times New Roman" w:cs="Times New Roman" w:ascii="Calibri" w:hAnsi="Calibri"/>
                <w:kern w:val="0"/>
                <w:sz w:val="22"/>
                <w:szCs w:val="22"/>
                <w:lang w:val="en-GB" w:bidi="ar-SA"/>
              </w:rPr>
              <w:t>based</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kern w:val="0"/>
                <w:sz w:val="22"/>
                <w:szCs w:val="22"/>
                <w:lang w:val="en-GB" w:bidi="ar-SA"/>
              </w:rPr>
              <w:t>on Poynting's theore</w:t>
            </w:r>
            <w:r>
              <w:rPr>
                <w:rFonts w:eastAsia="Times New Roman" w:cs="Times New Roman" w:ascii="Calibri" w:hAnsi="Calibri"/>
                <w:kern w:val="0"/>
                <w:sz w:val="22"/>
                <w:szCs w:val="22"/>
                <w:lang w:val="en-GB" w:bidi="ar-SA"/>
              </w:rPr>
              <w:t>m, representing</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kern w:val="0"/>
                <w:sz w:val="22"/>
                <w:szCs w:val="22"/>
                <w:lang w:val="en-GB" w:bidi="ar-SA"/>
              </w:rPr>
              <w:t>the general law of energy conservation in electrodynamics. Special attention is given to a specific exposure scenario characterized as local, stationary and within the range of 6 to 300 GHz, where the primary outcome of the interaction of electromagnetic fields and the human body is manifested as an increase in skin surface temperature. Finally, this chapter provides an overview of the current state of research, with a focus on computational procedures used to estimate the power density of wireless devices in close proximity to the human body.</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ind w:hanging="0"/>
              <w:contextualSpacing/>
              <w:jc w:val="both"/>
              <w:rPr>
                <w:lang w:val="en-US"/>
              </w:rPr>
            </w:pPr>
            <w:r>
              <w:rPr>
                <w:rFonts w:eastAsia="Times New Roman" w:cs="Times New Roman" w:ascii="Calibri" w:hAnsi="Calibri"/>
                <w:kern w:val="0"/>
                <w:sz w:val="22"/>
                <w:szCs w:val="22"/>
                <w:lang w:val="en-GB" w:bidi="ar-SA"/>
              </w:rPr>
              <w:t>In the fourth chapter entitled: Averaging Power Density on Nonplanar Surfaces, the candidate delves deeper into the techniques needed to accurately assess the spatially averaged power density on curved evaluation surfaces. In this chapter, the main contributions presented through a scientific description of the used methodology are systematically defined:</w:t>
            </w:r>
          </w:p>
          <w:p>
            <w:pPr>
              <w:pStyle w:val="ListParagraph"/>
              <w:widowControl/>
              <w:numPr>
                <w:ilvl w:val="0"/>
                <w:numId w:val="7"/>
              </w:numPr>
              <w:suppressAutoHyphens w:val="true"/>
              <w:spacing w:before="0" w:after="0"/>
              <w:contextualSpacing/>
              <w:jc w:val="left"/>
              <w:rPr>
                <w:rFonts w:eastAsia="Times New Roman" w:cs="Times New Roman"/>
                <w:kern w:val="0"/>
                <w:lang w:bidi="ar-SA"/>
              </w:rPr>
            </w:pPr>
            <w:r>
              <w:rPr>
                <w:rFonts w:eastAsia="Times New Roman" w:cs="Times New Roman" w:ascii="Calibri" w:hAnsi="Calibri"/>
                <w:kern w:val="0"/>
                <w:sz w:val="22"/>
                <w:szCs w:val="22"/>
                <w:lang w:val="en-GB" w:bidi="ar-SA"/>
              </w:rPr>
              <w:t xml:space="preserve">Development of adequate curved and anatomical models of human body parts based on available literature. Two types of curved models of human body parts are </w:t>
            </w:r>
            <w:r>
              <w:rPr>
                <w:rFonts w:eastAsia="Times New Roman" w:cs="Times New Roman" w:ascii="Calibri" w:hAnsi="Calibri"/>
                <w:kern w:val="0"/>
                <w:sz w:val="22"/>
                <w:szCs w:val="22"/>
                <w:lang w:val="en-GB" w:bidi="ar-SA"/>
              </w:rPr>
              <w:t>presented:</w:t>
            </w:r>
            <w:r>
              <w:rPr>
                <w:rFonts w:eastAsia="Times New Roman" w:cs="Times New Roman" w:ascii="Calibri" w:hAnsi="Calibri"/>
                <w:kern w:val="0"/>
                <w:sz w:val="22"/>
                <w:szCs w:val="22"/>
                <w:lang w:val="en-GB" w:bidi="ar-SA"/>
              </w:rPr>
              <w:t xml:space="preserve"> canonical and anatomical models. Canonical models in the form of a sphere or cylinder provide an efficient approximation of body parts such as the head, eye, fingers, which are often exposed during practical exposure scenarios. On the other hand, anatomical models are developed in order to achieve compatibility with the majority of the population using the expected values of the dimensions of the modeled body part, its structure and anatomy, and the values of the dielectric parameters of interest.</w:t>
            </w:r>
          </w:p>
          <w:p>
            <w:pPr>
              <w:pStyle w:val="ListParagraph"/>
              <w:widowControl/>
              <w:numPr>
                <w:ilvl w:val="0"/>
                <w:numId w:val="7"/>
              </w:numPr>
              <w:suppressAutoHyphens w:val="true"/>
              <w:spacing w:before="0" w:after="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Estimation of normals on integration surfaces of curved parts of the human body. For canonical curved model geometries, the estimation of normals is performed directly using analytical expressions in the appropriate coordinate system (spherical or cylindrical coordinate system based on the ISO 80000-2:2019 convention). On the other hand, in anatomical models, the integration surface is mathematically described as a two-dimensional Riemannian manifold in three-dimensional Euclidean space. There is a separate tangential plane at all points of the observed surface. The direction at any point perpendicular to the corresponding tangential plane contains a normal and a unit normal vector of arbitrary orientation. The curvature of the surface at the observed point can then be described using two planes that contain the normal vector and which are characterized by the largest and smallest curvature of the curve obtained as the intersection of these planes and the control surface. Any regular and smooth (differentiable) surface can be locally expressed as a graph of a bivariate "height function" with respect to any z-direction that does not belong to the mentioned tangential space. Determination of the z-direction is achieved by transforming the original coordinate system using principal component analysis, and the normal vector i</w:t>
            </w:r>
            <w:r>
              <w:rPr>
                <w:rFonts w:eastAsia="Times New Roman" w:cs="Times New Roman" w:ascii="Calibri" w:hAnsi="Calibri"/>
                <w:kern w:val="0"/>
                <w:sz w:val="22"/>
                <w:szCs w:val="22"/>
                <w:lang w:val="en-GB" w:bidi="ar-SA"/>
              </w:rPr>
              <w:t xml:space="preserve">s obtained </w:t>
            </w:r>
            <w:r>
              <w:rPr>
                <w:rFonts w:eastAsia="Times New Roman" w:cs="Times New Roman" w:ascii="Calibri" w:hAnsi="Calibri"/>
                <w:kern w:val="0"/>
                <w:sz w:val="22"/>
                <w:szCs w:val="22"/>
                <w:lang w:val="en-GB" w:bidi="ar-SA"/>
              </w:rPr>
              <w:t>as a vector product of the partial derivative of the parametrized surface by tangential components.</w:t>
            </w:r>
          </w:p>
          <w:p>
            <w:pPr>
              <w:pStyle w:val="ListParagraph"/>
              <w:widowControl/>
              <w:numPr>
                <w:ilvl w:val="0"/>
                <w:numId w:val="7"/>
              </w:numPr>
              <w:suppressAutoHyphens w:val="true"/>
              <w:spacing w:before="0" w:after="0"/>
              <w:contextualSpacing/>
              <w:jc w:val="both"/>
              <w:rPr>
                <w:rFonts w:eastAsia="Times New Roman" w:cs="Times New Roman"/>
                <w:kern w:val="0"/>
                <w:lang w:bidi="ar-SA"/>
              </w:rPr>
            </w:pPr>
            <w:r>
              <w:rPr>
                <w:rFonts w:eastAsia="Times New Roman" w:cs="Times New Roman" w:ascii="Calibri" w:hAnsi="Calibri"/>
                <w:kern w:val="0"/>
                <w:sz w:val="22"/>
                <w:szCs w:val="22"/>
                <w:lang w:val="en-GB" w:bidi="ar-SA"/>
              </w:rPr>
              <w:t>Efficient spatial averaging of power on surfaces of arbitrary shape. Area integration is performed on the basis of the described calculation of normals, and it is</w:t>
            </w:r>
            <w:r>
              <w:rPr>
                <w:rFonts w:eastAsia="Times New Roman" w:cs="Times New Roman" w:ascii="Calibri" w:hAnsi="Calibri"/>
                <w:kern w:val="0"/>
                <w:sz w:val="22"/>
                <w:szCs w:val="22"/>
                <w:lang w:val="en-GB" w:bidi="ar-SA"/>
              </w:rPr>
              <w:t xml:space="preserve"> carried out</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kern w:val="0"/>
                <w:sz w:val="22"/>
                <w:szCs w:val="22"/>
                <w:lang w:val="en-GB" w:bidi="ar-SA"/>
              </w:rPr>
              <w:t>in such a way that it does not take into account the positional connections between the points of the calculation of the electromagnetic field. When computing the absorbed field, it is necessary to define the distribution of the normal component of the field over the surface, which, in a mathematical sense, is determined by the scalar product of the vector field of unit normals and complex electromagnetic components. The area integral of the vector field can then be approximated using any two-dimensional quadrature since the field (normalized with respect to the area) passes through the parametric surface.</w:t>
            </w:r>
          </w:p>
          <w:p>
            <w:pPr>
              <w:pStyle w:val="ListParagraph"/>
              <w:widowControl/>
              <w:suppressAutoHyphens w:val="true"/>
              <w:spacing w:before="0" w:after="0"/>
              <w:contextualSpacing/>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ListParagraph"/>
              <w:widowControl/>
              <w:suppressAutoHyphens w:val="true"/>
              <w:spacing w:before="0" w:after="0"/>
              <w:contextualSpacing/>
              <w:jc w:val="both"/>
              <w:rPr>
                <w:lang w:val="en-US"/>
              </w:rPr>
            </w:pPr>
            <w:r>
              <w:rPr>
                <w:rFonts w:eastAsia="Times New Roman" w:cs="Times New Roman" w:ascii="Calibri" w:hAnsi="Calibri"/>
                <w:kern w:val="0"/>
                <w:sz w:val="22"/>
                <w:szCs w:val="22"/>
                <w:lang w:val="en-GB" w:bidi="ar-SA"/>
              </w:rPr>
              <w:t xml:space="preserve">The published </w:t>
            </w:r>
            <w:r>
              <w:rPr>
                <w:rFonts w:eastAsia="Times New Roman" w:cs="Times New Roman" w:ascii="Calibri" w:hAnsi="Calibri"/>
                <w:kern w:val="0"/>
                <w:sz w:val="22"/>
                <w:szCs w:val="22"/>
                <w:lang w:val="en-GB" w:bidi="ar-SA"/>
              </w:rPr>
              <w:t xml:space="preserve">papers </w:t>
            </w:r>
            <w:r>
              <w:rPr>
                <w:rFonts w:eastAsia="Times New Roman" w:cs="Times New Roman" w:ascii="Calibri" w:hAnsi="Calibri"/>
                <w:kern w:val="0"/>
                <w:sz w:val="22"/>
                <w:szCs w:val="22"/>
                <w:lang w:val="en-GB" w:bidi="ar-SA"/>
              </w:rPr>
              <w:t xml:space="preserve">that serve as the basis of this dissertation are listed in the fifth chapter. Each paper is accompanied by summaries, impact statements and recognition of the contributions of individual authors. For ease of reference, the full text of each published paper can be found in the appendices. Although each of the published papers can be </w:t>
            </w:r>
            <w:r>
              <w:rPr>
                <w:rFonts w:eastAsia="Times New Roman" w:cs="Times New Roman" w:ascii="Calibri" w:hAnsi="Calibri"/>
                <w:kern w:val="0"/>
                <w:sz w:val="22"/>
                <w:szCs w:val="22"/>
                <w:lang w:val="en-GB" w:bidi="ar-SA"/>
              </w:rPr>
              <w:t>considered</w:t>
            </w:r>
            <w:r>
              <w:rPr>
                <w:rFonts w:eastAsia="Times New Roman" w:cs="Times New Roman" w:ascii="Calibri" w:hAnsi="Calibri"/>
                <w:color w:val="FF0000"/>
                <w:kern w:val="0"/>
                <w:sz w:val="22"/>
                <w:szCs w:val="22"/>
                <w:lang w:val="en-GB" w:bidi="ar-SA"/>
              </w:rPr>
              <w:t xml:space="preserve"> </w:t>
            </w:r>
            <w:r>
              <w:rPr>
                <w:rFonts w:eastAsia="Times New Roman" w:cs="Times New Roman" w:ascii="Calibri" w:hAnsi="Calibri"/>
                <w:kern w:val="0"/>
                <w:sz w:val="22"/>
                <w:szCs w:val="22"/>
                <w:lang w:val="en-GB" w:bidi="ar-SA"/>
              </w:rPr>
              <w:t>as separate scientific research, the</w:t>
            </w:r>
            <w:r>
              <w:rPr>
                <w:rFonts w:eastAsia="Times New Roman" w:cs="Times New Roman" w:ascii="Calibri" w:hAnsi="Calibri"/>
                <w:kern w:val="0"/>
                <w:sz w:val="22"/>
                <w:szCs w:val="22"/>
                <w:lang w:val="en-GB" w:bidi="ar-SA"/>
              </w:rPr>
              <w:t xml:space="preserve">se papers </w:t>
            </w:r>
            <w:r>
              <w:rPr>
                <w:rFonts w:eastAsia="Times New Roman" w:cs="Times New Roman" w:ascii="Calibri" w:hAnsi="Calibri"/>
                <w:kern w:val="0"/>
                <w:sz w:val="22"/>
                <w:szCs w:val="22"/>
                <w:lang w:val="en-GB" w:bidi="ar-SA"/>
              </w:rPr>
              <w:t>as a whole make a contribution to numerical dosimetry in terms of the co</w:t>
            </w:r>
            <w:r>
              <w:rPr>
                <w:rFonts w:eastAsia="Times New Roman" w:cs="Times New Roman" w:ascii="Calibri" w:hAnsi="Calibri"/>
                <w:kern w:val="0"/>
                <w:sz w:val="22"/>
                <w:szCs w:val="22"/>
                <w:lang w:val="en-GB" w:bidi="ar-SA"/>
              </w:rPr>
              <w:t>mp</w:t>
            </w:r>
            <w:r>
              <w:rPr>
                <w:rFonts w:eastAsia="Times New Roman" w:cs="Times New Roman" w:ascii="Calibri" w:hAnsi="Calibri"/>
                <w:kern w:val="0"/>
                <w:sz w:val="22"/>
                <w:szCs w:val="22"/>
                <w:lang w:val="en-GB" w:bidi="ar-SA"/>
              </w:rPr>
              <w:t>utation of spatially averaged dosimetric quantities. Rigorous mathematical formulations are used in order to achieve the high-fidelity results, which are compatible with the formulations available in the latest edition of IEEE standards and ICNIRP guidelines for safety levels with regard to human exposure to electromagnetic fields up to 300 GHz. Finally, the last chapter, Concluding Remarks, includes a general discussion, conclusions drawn from the research (original scientific contribution) and indicates the direction of potential future research.</w:t>
            </w:r>
          </w:p>
          <w:p>
            <w:pPr>
              <w:pStyle w:val="ListParagraph"/>
              <w:widowControl/>
              <w:suppressAutoHyphens w:val="true"/>
              <w:spacing w:before="0" w:after="0"/>
              <w:contextualSpacing/>
              <w:jc w:val="left"/>
              <w:rPr>
                <w:rFonts w:ascii="Calibri" w:hAnsi="Calibri"/>
                <w:b/>
                <w:sz w:val="22"/>
                <w:szCs w:val="22"/>
                <w:lang w:val="en-GB"/>
              </w:rPr>
            </w:pPr>
            <w:r>
              <w:rPr>
                <w:rFonts w:eastAsia="Times New Roman" w:cs="Times New Roman" w:ascii="Calibri" w:hAnsi="Calibri"/>
                <w:b/>
                <w:kern w:val="0"/>
                <w:sz w:val="22"/>
                <w:szCs w:val="22"/>
                <w:lang w:val="en-GB" w:bidi="ar-SA"/>
              </w:rPr>
            </w:r>
          </w:p>
          <w:p>
            <w:pPr>
              <w:pStyle w:val="ListParagraph"/>
              <w:widowControl/>
              <w:suppressAutoHyphens w:val="true"/>
              <w:spacing w:before="0" w:after="0"/>
              <w:contextualSpacing/>
              <w:jc w:val="left"/>
              <w:rPr>
                <w:rFonts w:ascii="Calibri" w:hAnsi="Calibri"/>
                <w:b/>
                <w:sz w:val="22"/>
                <w:szCs w:val="22"/>
                <w:lang w:val="en-GB"/>
              </w:rPr>
            </w:pPr>
            <w:r>
              <w:rPr>
                <w:rFonts w:eastAsia="Times New Roman" w:cs="Times New Roman" w:ascii="Calibri" w:hAnsi="Calibri"/>
                <w:b/>
                <w:kern w:val="0"/>
                <w:sz w:val="22"/>
                <w:szCs w:val="22"/>
                <w:lang w:val="en-GB" w:bidi="ar-SA"/>
              </w:rPr>
            </w:r>
          </w:p>
          <w:p>
            <w:pPr>
              <w:pStyle w:val="ListParagraph"/>
              <w:widowControl/>
              <w:suppressAutoHyphens w:val="true"/>
              <w:spacing w:before="0" w:after="0"/>
              <w:ind w:hanging="0"/>
              <w:contextualSpacing/>
              <w:jc w:val="left"/>
              <w:rPr>
                <w:rFonts w:eastAsia="Times New Roman" w:cs="Times New Roman"/>
                <w:kern w:val="0"/>
                <w:lang w:bidi="ar-SA"/>
              </w:rPr>
            </w:pPr>
            <w:r>
              <w:rPr>
                <w:rFonts w:eastAsia="Times New Roman" w:cs="Times New Roman" w:ascii="Calibri" w:hAnsi="Calibri"/>
                <w:b/>
                <w:kern w:val="0"/>
                <w:sz w:val="22"/>
                <w:szCs w:val="22"/>
                <w:lang w:val="en-GB" w:bidi="ar-SA"/>
              </w:rPr>
              <w:t>Original scientific contribution and conclusion</w:t>
            </w:r>
          </w:p>
          <w:p>
            <w:pPr>
              <w:pStyle w:val="Normal"/>
              <w:widowControl/>
              <w:suppressAutoHyphens w:val="true"/>
              <w:spacing w:before="0" w:after="0"/>
              <w:jc w:val="both"/>
              <w:rPr>
                <w:rFonts w:ascii="Calibri" w:hAnsi="Calibri"/>
                <w:sz w:val="22"/>
                <w:szCs w:val="22"/>
                <w:lang w:val="en-GB"/>
              </w:rPr>
            </w:pPr>
            <w:r>
              <w:rPr>
                <w:rFonts w:eastAsia="Times New Roman" w:cs="Times New Roman"/>
                <w:kern w:val="0"/>
                <w:lang w:bidi="ar-SA"/>
              </w:rPr>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t xml:space="preserve">The main scientific contribution achieved within this dissertation is based on the </w:t>
            </w:r>
            <w:r>
              <w:rPr>
                <w:rFonts w:eastAsia="Times New Roman" w:cs="Times New Roman" w:ascii="Calibri" w:hAnsi="Calibri"/>
                <w:kern w:val="0"/>
                <w:sz w:val="22"/>
                <w:szCs w:val="22"/>
                <w:lang w:val="en-GB" w:bidi="ar-SA"/>
              </w:rPr>
              <w:t xml:space="preserve">implementation </w:t>
            </w:r>
            <w:r>
              <w:rPr>
                <w:rFonts w:eastAsia="Times New Roman" w:cs="Times New Roman" w:ascii="Calibri" w:hAnsi="Calibri"/>
                <w:kern w:val="0"/>
                <w:sz w:val="22"/>
                <w:szCs w:val="22"/>
                <w:lang w:val="en-GB" w:bidi="ar-SA"/>
              </w:rPr>
              <w:t>of an efficient technique and the corresponding computer tool for efficient averaging of dosimetric quantities on the surface of curved parts of the human body exposed to electromagnetic fields above 6 GHz.</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t>In addition to the development of an efficient method for averaging the incident and absorbed fields that does not depend on the numerical method used for exposure simulations, the influence of the geometric characteristics of the tissue surface, its morphological characteristics, curvature and geometry of the averaging area is also quantified.</w:t>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t>In this way, the foundations for the development of reference models equivalent to exposed tissue in future guidelines and standards for limiting exposure to electromagnetic fields up to 300 GHz are provided.</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t>The main contributions of the dissertation are as follows:</w:t>
            </w:r>
          </w:p>
          <w:p>
            <w:pPr>
              <w:pStyle w:val="Normal"/>
              <w:widowControl/>
              <w:numPr>
                <w:ilvl w:val="0"/>
                <w:numId w:val="6"/>
              </w:numPr>
              <w:suppressAutoHyphens w:val="true"/>
              <w:spacing w:before="0" w:after="0"/>
              <w:jc w:val="both"/>
              <w:rPr>
                <w:rFonts w:eastAsia="Times New Roman" w:cs="Times New Roman"/>
                <w:kern w:val="0"/>
                <w:lang w:bidi="ar-SA"/>
              </w:rPr>
            </w:pPr>
            <w:r>
              <w:rPr>
                <w:rFonts w:eastAsia="Times New Roman" w:cs="Times New Roman" w:ascii="Calibri" w:hAnsi="Calibri"/>
                <w:kern w:val="0"/>
                <w:sz w:val="22"/>
                <w:szCs w:val="22"/>
                <w:lang w:val="en-GB" w:bidi="ar-SA"/>
              </w:rPr>
              <w:t>A set of new realistic models of the human body parts exposed to radiation fields above 6 GHz that replace the traditional flat models represented in the literature for the purpose of better approximation of curved parts of the human body whose radius of curvature is comparable to the wavelength of the incident field. The models are represented as a homogeneous/layered spherical and cylindrical model of the head and a homogeneous/layered anatomical model of the external ear. The ear is chosen due to its morphological complexity due to the complex convex-concave structure of the tissue, which results in an inhomogeneous distribution of the absorbed field, in contrast to the flat, spherical and cylindrical model. Also, the outer ear is the most exposed part of the body during practical exposure scenarios.</w:t>
            </w:r>
          </w:p>
          <w:p>
            <w:pPr>
              <w:pStyle w:val="Normal"/>
              <w:widowControl/>
              <w:numPr>
                <w:ilvl w:val="0"/>
                <w:numId w:val="6"/>
              </w:numPr>
              <w:suppressAutoHyphens w:val="true"/>
              <w:spacing w:before="0" w:after="0"/>
              <w:jc w:val="both"/>
              <w:rPr>
                <w:rFonts w:eastAsia="Times New Roman" w:cs="Times New Roman"/>
                <w:kern w:val="0"/>
                <w:lang w:bidi="ar-SA"/>
              </w:rPr>
            </w:pPr>
            <w:r>
              <w:rPr>
                <w:rFonts w:eastAsia="Times New Roman" w:cs="Times New Roman" w:ascii="Calibri" w:hAnsi="Calibri"/>
                <w:kern w:val="0"/>
                <w:sz w:val="22"/>
                <w:szCs w:val="22"/>
                <w:lang w:val="en-GB" w:bidi="ar-SA"/>
              </w:rPr>
              <w:t>An algorithm for the automatic detection of the so-called hot spots region, which represents a limited bounded region of the highest temperature increase compared to the ambient temperature outside the influence of the electromagnetic field. This technique is based on the iterative application of principal component analysis or factor analysis using either a curved model of simple geometry or an anatomical model transformed into a point cloud. The algorithm takes as an input a model represented as a set of three-dimensional coordinates, where each coordinate represents one point on the surface of the model, and thus ensures compatibility with any method (numerical or analytical) used for the assessment of the electromagnetic field and associated interactions.</w:t>
            </w:r>
          </w:p>
          <w:p>
            <w:pPr>
              <w:pStyle w:val="Normal"/>
              <w:widowControl/>
              <w:numPr>
                <w:ilvl w:val="0"/>
                <w:numId w:val="6"/>
              </w:numPr>
              <w:suppressAutoHyphens w:val="true"/>
              <w:spacing w:before="0" w:after="0"/>
              <w:jc w:val="both"/>
              <w:rPr>
                <w:rFonts w:eastAsia="Times New Roman" w:cs="Times New Roman"/>
                <w:kern w:val="0"/>
                <w:lang w:bidi="ar-SA"/>
              </w:rPr>
            </w:pPr>
            <w:r>
              <w:rPr>
                <w:rFonts w:eastAsia="Times New Roman" w:cs="Times New Roman" w:ascii="Calibri" w:hAnsi="Calibri"/>
                <w:kern w:val="0"/>
                <w:sz w:val="22"/>
                <w:szCs w:val="22"/>
                <w:lang w:val="en-GB" w:bidi="ar-SA"/>
              </w:rPr>
              <w:t>Calculation of the average absorbed and incident electromagnetic power density using rigorous mathematical definitions based on the area integration of the power density vector flux through a control surface of arbitrary shape. Since the basic part of the integrand function of the area integral is the differential element of the integration domain, it is necessary to determine the distribution of normal vectors on the surface of the model. The contribution of this doctoral dissertation is the development of an advanced, efficient numerical technique for evaluating the surface integral of scalar and vector fields, completely independent of the original electromagnetic method.</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t>The application of the research results carried out within the proposed doctoral dissertation confirms the validity of the absorbed power density as a fundamental limitation for the assessment of temperature rise for local exposure of curved body parts above 6 GHz in a steady state. In addition, an insight into the efficiency of curved and anatomical models for electromagnetic dosimetry at high frequencies is achieved as a basis for future discussions and activities of Working Group 7 under IEEE/ICES (International Committee for) Electromagnetic Safety TC (Technical Committee) 95 SC 6 for electromagnetic dosimetry modeling. Finally, this dissertation represents a kind of starting point for the discussion on the realization of curved models as references in future editions of ICNIRP (International Commission of Nonionizing Radiation Protection) guidelines and IEEE standards for limiting human exposure to radio frequency electromagnetic fields up to 300 GHz.</w:t>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both"/>
              <w:rPr>
                <w:rFonts w:ascii="Calibri" w:hAnsi="Calibri"/>
                <w:sz w:val="22"/>
                <w:szCs w:val="22"/>
                <w:lang w:val="en-GB"/>
              </w:rPr>
            </w:pPr>
            <w:r>
              <w:rPr>
                <w:rFonts w:eastAsia="Times New Roman" w:cs="Times New Roman" w:ascii="Calibri" w:hAnsi="Calibri"/>
                <w:kern w:val="0"/>
                <w:sz w:val="22"/>
                <w:szCs w:val="22"/>
                <w:lang w:val="en-GB" w:bidi="ar-SA"/>
              </w:rPr>
              <w:t>The research presented in this doctoral thesis makes a significant contribution to the understanding of the problem of human exposure to electromagnetic fields of high frequencies in the field of millimeter waves and contributes to the development of new dosimetric models adapted to the context of future wireless communication technologies.</w:t>
            </w:r>
          </w:p>
          <w:p>
            <w:pPr>
              <w:pStyle w:val="Normal"/>
              <w:widowControl/>
              <w:suppressAutoHyphens w:val="true"/>
              <w:spacing w:before="0" w:after="0"/>
              <w:jc w:val="left"/>
              <w:rPr>
                <w:rFonts w:ascii="Calibri" w:hAnsi="Calibri"/>
                <w:sz w:val="22"/>
                <w:szCs w:val="22"/>
                <w:lang w:val="en-GB"/>
              </w:rPr>
            </w:pPr>
            <w:r>
              <w:rPr>
                <w:rFonts w:eastAsia="Times New Roman" w:cs="Times New Roman" w:ascii="Calibri" w:hAnsi="Calibri"/>
                <w:kern w:val="0"/>
                <w:sz w:val="22"/>
                <w:szCs w:val="22"/>
                <w:lang w:val="en-GB" w:bidi="ar-SA"/>
              </w:rPr>
            </w:r>
          </w:p>
          <w:p>
            <w:pPr>
              <w:pStyle w:val="Normal"/>
              <w:widowControl/>
              <w:suppressAutoHyphens w:val="true"/>
              <w:spacing w:before="0" w:after="0"/>
              <w:jc w:val="left"/>
              <w:rPr>
                <w:rFonts w:ascii="Calibri" w:hAnsi="Calibri"/>
                <w:b/>
                <w:sz w:val="22"/>
                <w:szCs w:val="22"/>
                <w:lang w:val="en-GB"/>
              </w:rPr>
            </w:pPr>
            <w:r>
              <w:rPr>
                <w:rFonts w:eastAsia="Times New Roman" w:cs="Times New Roman" w:ascii="Calibri" w:hAnsi="Calibri"/>
                <w:b/>
                <w:kern w:val="0"/>
                <w:sz w:val="22"/>
                <w:szCs w:val="22"/>
                <w:lang w:val="en-GB" w:bidi="ar-SA"/>
              </w:rPr>
            </w:r>
          </w:p>
        </w:tc>
      </w:tr>
      <w:tr>
        <w:trPr/>
        <w:tc>
          <w:tcPr>
            <w:tcW w:w="9060" w:type="dxa"/>
            <w:tcBorders>
              <w:top w:val="nil"/>
            </w:tcBorders>
          </w:tcPr>
          <w:p>
            <w:pPr>
              <w:pStyle w:val="ListParagraph"/>
              <w:widowControl/>
              <w:suppressAutoHyphens w:val="true"/>
              <w:spacing w:before="0" w:after="0"/>
              <w:contextualSpacing/>
              <w:jc w:val="left"/>
              <w:rPr>
                <w:rFonts w:ascii="Times New Roman" w:hAnsi="Times New Roman" w:eastAsia="Times New Roman" w:cs="Times New Roman"/>
                <w:kern w:val="0"/>
                <w:lang w:val="hr-HR" w:bidi="ar-SA"/>
              </w:rPr>
            </w:pPr>
            <w:r>
              <w:rPr>
                <w:rFonts w:eastAsia="Times New Roman" w:cs="Times New Roman"/>
                <w:kern w:val="0"/>
                <w:lang w:val="hr-HR" w:bidi="ar-SA"/>
              </w:rPr>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_________________________________</w:t>
      </w:r>
    </w:p>
    <w:p>
      <w:pPr>
        <w:pStyle w:val="Normal"/>
        <w:jc w:val="right"/>
        <w:rPr>
          <w:rFonts w:ascii="Calibri" w:hAnsi="Calibri"/>
          <w:sz w:val="22"/>
          <w:szCs w:val="22"/>
          <w:lang w:val="en-GB"/>
        </w:rPr>
      </w:pPr>
      <w:r>
        <w:rPr>
          <w:rFonts w:ascii="Calibri" w:hAnsi="Calibri"/>
          <w:sz w:val="22"/>
          <w:szCs w:val="22"/>
          <w:lang w:val="en-GB"/>
        </w:rPr>
        <w:t xml:space="preserve">               </w:t>
      </w:r>
      <w:r>
        <w:rPr>
          <w:rFonts w:ascii="Calibri" w:hAnsi="Calibri"/>
          <w:i/>
          <w:sz w:val="22"/>
          <w:szCs w:val="22"/>
          <w:lang w:val="en-GB"/>
        </w:rPr>
        <w:t>Signature of the supervisor</w:t>
      </w:r>
    </w:p>
    <w:p>
      <w:pPr>
        <w:pStyle w:val="Normal"/>
        <w:rPr>
          <w:rFonts w:ascii="Calibri" w:hAnsi="Calibri"/>
          <w:sz w:val="22"/>
          <w:szCs w:val="22"/>
          <w:lang w:val="en-GB"/>
        </w:rPr>
      </w:pPr>
      <w:r>
        <w:rPr>
          <w:rFonts w:ascii="Calibri" w:hAnsi="Calibri"/>
          <w:sz w:val="22"/>
          <w:szCs w:val="22"/>
          <w:lang w:val="en-GB"/>
        </w:rPr>
        <w:t>Split, ________________________</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both"/>
        <w:rPr>
          <w:rFonts w:ascii="Calibri" w:hAnsi="Calibri"/>
          <w:i/>
          <w:i/>
          <w:sz w:val="22"/>
          <w:szCs w:val="22"/>
          <w:lang w:val="en-GB"/>
        </w:rPr>
      </w:pPr>
      <w:r>
        <w:rPr>
          <w:rFonts w:ascii="Calibri" w:hAnsi="Calibri"/>
          <w:i/>
          <w:sz w:val="22"/>
          <w:szCs w:val="22"/>
          <w:lang w:val="en-GB"/>
        </w:rPr>
        <w:t>Enclosed:</w:t>
      </w:r>
    </w:p>
    <w:p>
      <w:pPr>
        <w:pStyle w:val="Normal"/>
        <w:numPr>
          <w:ilvl w:val="0"/>
          <w:numId w:val="5"/>
        </w:numPr>
        <w:pBdr>
          <w:bottom w:val="single" w:sz="6" w:space="14" w:color="000000"/>
        </w:pBdr>
        <w:rPr>
          <w:rFonts w:ascii="Calibri" w:hAnsi="Calibri"/>
          <w:i/>
          <w:i/>
          <w:sz w:val="22"/>
          <w:szCs w:val="22"/>
          <w:lang w:val="en-GB"/>
        </w:rPr>
      </w:pPr>
      <w:r>
        <w:rPr>
          <w:rFonts w:ascii="Calibri" w:hAnsi="Calibri"/>
          <w:i/>
          <w:sz w:val="22"/>
          <w:szCs w:val="22"/>
          <w:lang w:val="en-GB"/>
        </w:rPr>
        <w:t xml:space="preserve"> </w:t>
      </w:r>
      <w:r>
        <w:rPr>
          <w:rFonts w:ascii="Calibri" w:hAnsi="Calibri"/>
          <w:i/>
          <w:sz w:val="22"/>
          <w:szCs w:val="22"/>
          <w:lang w:val="en-GB"/>
        </w:rPr>
        <w:t>Doctoral thesis in electronic and printed format (six copies)</w:t>
      </w:r>
    </w:p>
    <w:p>
      <w:pPr>
        <w:pStyle w:val="Normal"/>
        <w:numPr>
          <w:ilvl w:val="0"/>
          <w:numId w:val="5"/>
        </w:numPr>
        <w:pBdr>
          <w:bottom w:val="single" w:sz="6" w:space="14" w:color="000000"/>
        </w:pBdr>
        <w:rPr>
          <w:rFonts w:ascii="Calibri" w:hAnsi="Calibri"/>
          <w:i/>
          <w:i/>
          <w:color w:val="FF0000"/>
          <w:sz w:val="22"/>
          <w:szCs w:val="22"/>
          <w:lang w:val="en-GB"/>
        </w:rPr>
      </w:pPr>
      <w:r>
        <w:rPr>
          <w:rFonts w:ascii="Calibri" w:hAnsi="Calibri"/>
          <w:i/>
          <w:color w:val="000000"/>
          <w:sz w:val="22"/>
          <w:szCs w:val="22"/>
          <w:lang w:val="en-GB"/>
        </w:rPr>
        <w:t xml:space="preserve"> </w:t>
      </w:r>
      <w:r>
        <w:rPr>
          <w:rFonts w:ascii="Calibri" w:hAnsi="Calibri"/>
          <w:i/>
          <w:color w:val="000000"/>
          <w:sz w:val="22"/>
          <w:szCs w:val="22"/>
          <w:lang w:val="en-GB"/>
        </w:rPr>
        <w:t>List of published scientific papers in the area of doctoral thesis</w:t>
      </w:r>
      <w:r>
        <w:rPr>
          <w:rFonts w:ascii="Calibri" w:hAnsi="Calibri"/>
          <w:i/>
          <w:sz w:val="22"/>
          <w:szCs w:val="22"/>
          <w:lang w:val="en-GB"/>
        </w:rPr>
        <w:t xml:space="preserve"> </w:t>
      </w:r>
    </w:p>
    <w:p>
      <w:pPr>
        <w:pStyle w:val="Normal"/>
        <w:pBdr>
          <w:bottom w:val="single" w:sz="6" w:space="14" w:color="000000"/>
        </w:pBdr>
        <w:rPr>
          <w:rFonts w:ascii="Calibri" w:hAnsi="Calibri"/>
          <w:i/>
          <w:i/>
          <w:color w:val="000000" w:themeColor="text1"/>
          <w:sz w:val="22"/>
          <w:szCs w:val="22"/>
          <w:lang w:val="en-GB"/>
        </w:rPr>
      </w:pPr>
      <w:r>
        <w:rPr>
          <w:rFonts w:ascii="Calibri" w:hAnsi="Calibri"/>
          <w:i/>
          <w:color w:val="000000" w:themeColor="text1"/>
          <w:sz w:val="22"/>
          <w:szCs w:val="22"/>
          <w:lang w:val="en-GB"/>
        </w:rPr>
      </w:r>
    </w:p>
    <w:p>
      <w:pPr>
        <w:pStyle w:val="Normal"/>
        <w:spacing w:before="120" w:after="0"/>
        <w:rPr>
          <w:rFonts w:ascii="Calibri" w:hAnsi="Calibri"/>
          <w:i/>
          <w:i/>
          <w:sz w:val="22"/>
          <w:szCs w:val="22"/>
          <w:lang w:val="en-GB"/>
        </w:rPr>
      </w:pPr>
      <w:r>
        <w:rPr>
          <w:rFonts w:eastAsia="Symbol" w:cs="Symbol" w:ascii="Symbol" w:hAnsi="Symbol"/>
          <w:i/>
          <w:sz w:val="22"/>
          <w:szCs w:val="22"/>
          <w:lang w:val="en-GB"/>
        </w:rPr>
        <w:sym w:font="Symbol" w:char="f02a"/>
      </w:r>
      <w:r>
        <w:rPr>
          <w:rFonts w:ascii="Calibri" w:hAnsi="Calibri"/>
          <w:i/>
          <w:sz w:val="22"/>
          <w:szCs w:val="22"/>
          <w:lang w:val="en-GB"/>
        </w:rPr>
        <w:t xml:space="preserve"> </w:t>
      </w:r>
      <w:r>
        <w:rPr>
          <w:rFonts w:ascii="Calibri" w:hAnsi="Calibri"/>
          <w:i/>
          <w:sz w:val="22"/>
          <w:szCs w:val="22"/>
          <w:lang w:val="en-GB"/>
        </w:rPr>
        <w:t>As necessary, significant contributions in other scientific field/discipline may be included.</w:t>
      </w:r>
    </w:p>
    <w:p>
      <w:pPr>
        <w:pStyle w:val="Normal"/>
        <w:rPr>
          <w:rFonts w:ascii="Calibri" w:hAnsi="Calibri"/>
          <w:b/>
          <w:color w:val="000000"/>
          <w:sz w:val="28"/>
          <w:szCs w:val="28"/>
          <w:lang w:val="en-GB"/>
        </w:rPr>
      </w:pPr>
      <w:r>
        <w:rPr>
          <w:rFonts w:ascii="Calibri" w:hAnsi="Calibri"/>
          <w:b/>
          <w:color w:val="000000"/>
          <w:sz w:val="28"/>
          <w:szCs w:val="28"/>
          <w:lang w:val="en-GB"/>
        </w:rPr>
      </w:r>
      <w:r>
        <w:br w:type="page"/>
      </w:r>
    </w:p>
    <w:p>
      <w:pPr>
        <w:pStyle w:val="Normal"/>
        <w:jc w:val="center"/>
        <w:rPr>
          <w:rFonts w:ascii="Calibri" w:hAnsi="Calibri"/>
        </w:rPr>
      </w:pPr>
      <w:r>
        <w:rPr>
          <w:rFonts w:ascii="Calibri" w:hAnsi="Calibri"/>
          <w:b/>
          <w:color w:val="000000"/>
          <w:sz w:val="28"/>
          <w:szCs w:val="28"/>
          <w:lang w:val="en-GB"/>
        </w:rPr>
        <w:t>LIST OF SCIENTIFIC PAPERS PUBLISHED BY THE CANDIDATE IN THE AREA OF DOCTORAL THESIS</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56"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Scientific papers, A category</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pPr>
            <w:r>
              <w:rPr>
                <w:rFonts w:cs="Calibri" w:ascii="Calibri" w:hAnsi="Calibri"/>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Šušnjara, A., Poljak, D.</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Normal"/>
              <w:widowControl w:val="fals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990"/>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70"/>
      </w:tblGrid>
      <w:tr>
        <w:trPr/>
        <w:tc>
          <w:tcPr>
            <w:tcW w:w="9070" w:type="dxa"/>
            <w:tcBorders/>
            <w:vAlign w:val="center"/>
          </w:tcPr>
          <w:p>
            <w:pPr>
              <w:pStyle w:val="TableContents"/>
              <w:widowControl w:val="false"/>
              <w:spacing w:lineRule="auto" w:line="288"/>
              <w:rPr>
                <w:rFonts w:ascii="Calibri" w:hAnsi="Calibri"/>
              </w:rPr>
            </w:pPr>
            <w:r>
              <w:rPr>
                <w:rFonts w:ascii="Calibri" w:hAnsi="Calibri"/>
                <w:b/>
                <w:color w:val="000000"/>
              </w:rPr>
              <w:t>Scientific papers, D category</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 Li, K.</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Standardized Benchmark Dataset for Localized Exposure to a Realistic Source at 10-90 GHz</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Proceedings of BioEM 2023, Numerical dosimetry</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2023</w:t>
            </w:r>
          </w:p>
        </w:tc>
      </w:tr>
      <w:tr>
        <w:trPr/>
        <w:tc>
          <w:tcPr>
            <w:tcW w:w="2659"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18-23.6.2023, Oxford, UK</w:t>
            </w:r>
          </w:p>
        </w:tc>
      </w:tr>
    </w:tbl>
    <w:p>
      <w:pPr>
        <w:pStyle w:val="Normal"/>
        <w:rPr/>
      </w:pPr>
      <w:r>
        <w:rPr/>
      </w:r>
    </w:p>
    <w:p>
      <w:pPr>
        <w:pStyle w:val="Normal"/>
        <w:rPr/>
      </w:pPr>
      <w:r>
        <w:rPr/>
      </w:r>
    </w:p>
    <w:p>
      <w:pPr>
        <w:sectPr>
          <w:type w:val="continuous"/>
          <w:pgSz w:w="11906" w:h="16838"/>
          <w:pgMar w:left="1418" w:right="1418" w:gutter="0" w:header="142" w:top="1418" w:footer="454" w:bottom="990"/>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Šušnjara, A., Poljak, D., Russo, M.</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Stochastic-Deterministic Electromagnetic Modeling of Human Head Exposure to Microsoft HoloLens</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30th International Conference on Software, Telecommunications and Computer Networks, SoftCOM 2022</w:t>
            </w:r>
          </w:p>
        </w:tc>
      </w:tr>
      <w:tr>
        <w:trPr/>
        <w:tc>
          <w:tcPr>
            <w:tcW w:w="2659"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22-24.9.2022, Split, Croatia</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1"/>
        <w:gridCol w:w="6398"/>
      </w:tblGrid>
      <w:tr>
        <w:trPr/>
        <w:tc>
          <w:tcPr>
            <w:tcW w:w="2671"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71"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Novel procedure for spatial averaging of absorbed power density on realistic body models at millimeter waves</w:t>
            </w:r>
          </w:p>
        </w:tc>
      </w:tr>
      <w:tr>
        <w:trPr/>
        <w:tc>
          <w:tcPr>
            <w:tcW w:w="2671"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proceedings</w:t>
            </w:r>
          </w:p>
        </w:tc>
      </w:tr>
      <w:tr>
        <w:trPr/>
        <w:tc>
          <w:tcPr>
            <w:tcW w:w="2671"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242-8</w:t>
            </w:r>
          </w:p>
        </w:tc>
      </w:tr>
      <w:tr>
        <w:trPr/>
        <w:tc>
          <w:tcPr>
            <w:tcW w:w="2671"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2022</w:t>
            </w:r>
          </w:p>
        </w:tc>
      </w:tr>
      <w:tr>
        <w:trPr/>
        <w:tc>
          <w:tcPr>
            <w:tcW w:w="2671"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19-24.6.2022, Nagoya, Japan (virtual)</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4"/>
        <w:gridCol w:w="6405"/>
      </w:tblGrid>
      <w:tr>
        <w:trPr/>
        <w:tc>
          <w:tcPr>
            <w:tcW w:w="2664"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4"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Machine learning-assisted antenna modeling for realistic assessment of human exposure reference levels above 6 GHz</w:t>
            </w:r>
          </w:p>
        </w:tc>
      </w:tr>
      <w:tr>
        <w:trPr/>
        <w:tc>
          <w:tcPr>
            <w:tcW w:w="2664"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and ICNIRP and Hot Topics EMF</w:t>
            </w:r>
          </w:p>
        </w:tc>
      </w:tr>
      <w:tr>
        <w:trPr/>
        <w:tc>
          <w:tcPr>
            <w:tcW w:w="2664"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 (abstract)</w:t>
            </w:r>
          </w:p>
        </w:tc>
      </w:tr>
      <w:tr>
        <w:trPr/>
        <w:tc>
          <w:tcPr>
            <w:tcW w:w="2664"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European Congress on Radiation Protection</w:t>
            </w:r>
          </w:p>
        </w:tc>
      </w:tr>
      <w:tr>
        <w:trPr/>
        <w:tc>
          <w:tcPr>
            <w:tcW w:w="2664"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5"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30.5-3.6.2022, Budapest, Hungary</w:t>
            </w:r>
          </w:p>
        </w:tc>
      </w:tr>
    </w:tbl>
    <w:p>
      <w:pPr>
        <w:pStyle w:val="TextBody"/>
        <w:rPr/>
      </w:pPr>
      <w:r>
        <w:rPr/>
      </w:r>
    </w:p>
    <w:p>
      <w:pPr>
        <w:pStyle w:val="TextBody"/>
        <w:rPr/>
      </w:pPr>
      <w:r>
        <w:rPr/>
      </w:r>
    </w:p>
    <w:p>
      <w:pPr>
        <w:pStyle w:val="TextBody"/>
        <w:rPr/>
      </w:pPr>
      <w:r>
        <w:rPr/>
      </w:r>
    </w:p>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Assessment of Area-Average Absorbed Power Density on Realistic Tissue Models at mmWaves</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Facing challenges in electromagnetic dosimetry at mm waves and THz</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153-5</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International Microwave Biomedical Conference (IMBioC 2022)</w:t>
            </w:r>
          </w:p>
        </w:tc>
      </w:tr>
      <w:tr>
        <w:trPr/>
        <w:tc>
          <w:tcPr>
            <w:tcW w:w="2668"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16-18.5.2022, Suzhou, China in a hybrid mode</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Study on the Suitability of Numerical Integration at 5G Frequencies Using Unit Cube Test</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29th International Conference on Software, Telecommunications and Computer Networks, SoftCOM 2021</w:t>
            </w:r>
          </w:p>
        </w:tc>
      </w:tr>
      <w:tr>
        <w:trPr/>
        <w:tc>
          <w:tcPr>
            <w:tcW w:w="2668"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23-25.9.2021</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2"/>
        <w:gridCol w:w="6407"/>
      </w:tblGrid>
      <w:tr>
        <w:trPr/>
        <w:tc>
          <w:tcPr>
            <w:tcW w:w="2662"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7" w:type="dxa"/>
            <w:tcBorders/>
            <w:vAlign w:val="center"/>
          </w:tcPr>
          <w:p>
            <w:pPr>
              <w:pStyle w:val="TableContents"/>
              <w:widowControl w:val="false"/>
              <w:spacing w:lineRule="auto" w:line="288"/>
              <w:ind w:left="180"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2"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Selecting Optimal Numerical Integration Rules for Double Surface Integrals on Triangular Domains</w:t>
            </w:r>
          </w:p>
        </w:tc>
      </w:tr>
      <w:tr>
        <w:trPr/>
        <w:tc>
          <w:tcPr>
            <w:tcW w:w="2662"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Computation of Electromagnetic Fields</w:t>
            </w:r>
          </w:p>
        </w:tc>
      </w:tr>
      <w:tr>
        <w:trPr/>
        <w:tc>
          <w:tcPr>
            <w:tcW w:w="2662"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38-41</w:t>
            </w:r>
          </w:p>
        </w:tc>
      </w:tr>
      <w:tr>
        <w:trPr/>
        <w:tc>
          <w:tcPr>
            <w:tcW w:w="2662"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15th International Conference on Applied Electromagnetics, PEC 2021</w:t>
            </w:r>
          </w:p>
        </w:tc>
      </w:tr>
      <w:tr>
        <w:trPr/>
        <w:tc>
          <w:tcPr>
            <w:tcW w:w="2662"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0"/>
        <w:gridCol w:w="6399"/>
      </w:tblGrid>
      <w:tr>
        <w:trPr/>
        <w:tc>
          <w:tcPr>
            <w:tcW w:w="2670"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70"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Unit Cube Test for Double Surface Integrals in Frequency Domain Integral Equation Formulations</w:t>
            </w:r>
          </w:p>
        </w:tc>
      </w:tr>
      <w:tr>
        <w:trPr/>
        <w:tc>
          <w:tcPr>
            <w:tcW w:w="2670"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70"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70"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70"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Application of Automatic Differentiation in Electromagnetic Dosimetry – Assessment of the Absorbed Power Density in the mmWave Frequency Spectrum</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68" w:type="dxa"/>
            <w:tcBorders/>
            <w:vAlign w:val="center"/>
          </w:tcPr>
          <w:p>
            <w:pPr>
              <w:pStyle w:val="Normal"/>
              <w:widowControl w:val="fals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Normal"/>
        <w:jc w:val="center"/>
        <w:rPr>
          <w:rFonts w:ascii="Calibri" w:hAnsi="Calibri"/>
        </w:rPr>
      </w:pPr>
      <w:r>
        <w:rPr>
          <w:rFonts w:ascii="Calibri" w:hAnsi="Calibri"/>
          <w:b/>
          <w:color w:val="000000"/>
          <w:sz w:val="28"/>
          <w:szCs w:val="28"/>
          <w:lang w:val="en-US"/>
        </w:rPr>
        <w:t>LIST OF ALL PUBLISHED WORKS OF APPLICANTS IN THE FIELD OF THE PROPOSED TOPIC OF THE THESIS</w:t>
      </w:r>
    </w:p>
    <w:p>
      <w:pPr>
        <w:pStyle w:val="Normal"/>
        <w:jc w:val="center"/>
        <w:rPr>
          <w:rFonts w:ascii="Calibri" w:hAnsi="Calibri"/>
        </w:rPr>
      </w:pPr>
      <w:r>
        <w:rPr>
          <w:rFonts w:ascii="Calibri" w:hAnsi="Calibri"/>
        </w:rPr>
      </w:r>
    </w:p>
    <w:p>
      <w:pPr>
        <w:sectPr>
          <w:type w:val="continuous"/>
          <w:pgSz w:w="11906" w:h="16838"/>
          <w:pgMar w:left="1418" w:right="1418" w:gutter="0" w:header="142" w:top="1418" w:footer="454" w:bottom="990"/>
          <w:formProt w:val="false"/>
          <w:textDirection w:val="lrTb"/>
          <w:docGrid w:type="default" w:linePitch="360" w:charSpace="0"/>
        </w:sectPr>
      </w:pPr>
    </w:p>
    <w:p>
      <w:pPr>
        <w:pStyle w:val="Normal"/>
        <w:rPr>
          <w:rFonts w:ascii="Calibri" w:hAnsi="Calibri"/>
          <w:sz w:val="22"/>
          <w:szCs w:val="22"/>
        </w:rPr>
      </w:pPr>
      <w:r>
        <w:rPr>
          <w:rFonts w:ascii="Calibri" w:hAnsi="Calibri"/>
          <w:sz w:val="22"/>
          <w:szCs w:val="22"/>
        </w:rPr>
        <w:t>Scientific papers published in journals</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7(1), 39-45, doi: 10.1109/jerm.2022.3225380</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2"/>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Scientific papers published in conference proceedings</w:t>
      </w:r>
    </w:p>
    <w:p>
      <w:pPr>
        <w:pStyle w:val="Normal"/>
        <w:widowControl/>
        <w:numPr>
          <w:ilvl w:val="0"/>
          <w:numId w:val="3"/>
        </w:numPr>
        <w:tabs>
          <w:tab w:val="clear" w:pos="709"/>
          <w:tab w:val="left" w:pos="718" w:leader="none"/>
        </w:tabs>
        <w:suppressAutoHyphens w:val="true"/>
        <w:bidi w:val="0"/>
        <w:spacing w:before="0" w:after="0"/>
        <w:ind w:left="1080" w:right="0" w:hanging="360"/>
        <w:jc w:val="left"/>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triangular domains,” In proceedings of 2021 International Conference on Applied Electromagnetics (PEC), Niš, Srbija, 38-41</w:t>
      </w:r>
    </w:p>
    <w:p>
      <w:pPr>
        <w:pStyle w:val="Normal"/>
        <w:numPr>
          <w:ilvl w:val="0"/>
          <w:numId w:val="3"/>
        </w:numPr>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bCs/>
          <w:color w:val="000000"/>
          <w:sz w:val="28"/>
          <w:szCs w:val="28"/>
          <w:lang w:val="en-US"/>
        </w:rPr>
        <w:t>CONFIRMATION OF THE SUPERVISOR THAT THE APPLICANT'S PUBLISHED PAPERS ARE ALIGNED WITH THE FIELD OF DOCTORAL THESIS RESEARCH</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lang w:val="en-US"/>
        </w:rPr>
        <w:t>I confirm that the papers that applicant Ante Kapetanović, a student of the postgraduate doctoral study in Electrical Engineering and Information Technology, listed in the attached list of scientific papers and the attached list of all published papers, belong to the field of doctoral thesis research.</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Supervisor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Dragan Poljak, PhD</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99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UNIVERSITY OF SPLIT</w:t>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FACULTY OF ELECTRICAL ENGINEERING, MECHANICAL ENGINEERING</w:t>
    </w:r>
  </w:p>
  <w:p>
    <w:pPr>
      <w:pStyle w:val="Header"/>
      <w:rPr>
        <w:rFonts w:ascii="Calibri" w:hAnsi="Calibri" w:asciiTheme="minorHAnsi" w:hAnsiTheme="minorHAnsi"/>
        <w:sz w:val="22"/>
        <w:szCs w:val="22"/>
      </w:rPr>
    </w:pPr>
    <w:r>
      <w:rPr>
        <w:rFonts w:ascii="Calibri" w:hAnsi="Calibri" w:asciiTheme="minorHAnsi" w:hAnsiTheme="minorHAnsi"/>
        <w:sz w:val="22"/>
        <w:szCs w:val="22"/>
        <w:lang w:val="en-GB"/>
      </w:rPr>
      <w:t>AND NAVAL ARCHITECTURE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eastAsia="sl-SI" w:val="hr-HR"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4"/>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4"/>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FAF0-99F6-4F37-B485-B7F994B7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LibreOffice/7.5.4.2$Linux_X86_64 LibreOffice_project/f5df176c80caea84288e6d2ddbbc413e4968a422</Application>
  <AppVersion>15.0000</AppVersion>
  <Pages>13</Pages>
  <Words>4047</Words>
  <Characters>24348</Characters>
  <CharactersWithSpaces>28102</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2023-06-25T23:16:00Z</dcterms:created>
  <dc:creator>Dragan Poljak</dc:creator>
  <dc:description/>
  <dc:language>en-US</dc:language>
  <cp:lastModifiedBy/>
  <cp:lastPrinted>2011-11-08T20:59:00Z</cp:lastPrinted>
  <dcterms:modified xsi:type="dcterms:W3CDTF">2023-06-26T08:01:39Z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