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Wendy Zhou</w:t>
      </w:r>
    </w:p>
    <w:p>
      <w:r>
        <w:t>wendy.zhou@example-mail.com  |  (555) 010-0020  |  Remote / Relocatable</w:t>
      </w:r>
    </w:p>
    <w:p/>
    <w:p>
      <w:r>
        <w:rPr>
          <w:b/>
        </w:rPr>
        <w:t>Summary</w:t>
      </w:r>
    </w:p>
    <w:p>
      <w:r>
        <w:t>ML engineer previously screened and advanced to interview stage two weeks ago; recruiter is asking about her status again.</w:t>
      </w:r>
    </w:p>
    <w:p/>
    <w:p>
      <w:r>
        <w:rPr>
          <w:b/>
        </w:rPr>
        <w:t>Experience</w:t>
      </w:r>
    </w:p>
    <w:p>
      <w:r>
        <w:rPr>
          <w:b/>
        </w:rPr>
        <w:t>ML Engineer I — Cascade Software</w:t>
      </w:r>
    </w:p>
    <w:p>
      <w:r>
        <w:t>2019 - 2020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ML Engineer — Ironwood Systems</w:t>
      </w:r>
    </w:p>
    <w:p>
      <w:r>
        <w:t>2020 -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Python, PyTorch, MLflow, Feature Engineering, SQL, Model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