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A88BA" w14:textId="5F009625" w:rsidR="00591D78" w:rsidRDefault="00383C2B">
      <w:r w:rsidRPr="00F07492">
        <w:rPr>
          <w:b/>
          <w:bCs/>
          <w:sz w:val="24"/>
          <w:szCs w:val="24"/>
        </w:rPr>
        <w:t>Blockchain, Honesty, and Digital Trust: A Kantian Case Study on the Byzantine Problem</w:t>
      </w:r>
      <w:r w:rsidRPr="00F07492">
        <w:rPr>
          <w:b/>
          <w:bCs/>
          <w:sz w:val="24"/>
          <w:szCs w:val="24"/>
        </w:rPr>
        <w:br/>
      </w:r>
      <w:r w:rsidRPr="00383C2B">
        <w:br/>
      </w:r>
      <w:r w:rsidRPr="00F07492">
        <w:rPr>
          <w:b/>
          <w:bCs/>
        </w:rPr>
        <w:t>Introduction</w:t>
      </w:r>
      <w:r w:rsidRPr="00383C2B">
        <w:br/>
        <w:t xml:space="preserve">Blockchain has gained attention as a technological solution to dishonesty in the world of digital finance, a distributed, append-only ledger that no actor can corrupt. Proponents argue that blockchain has eliminated the need to "trust" banks or financial platforms because the likelihood of fraud is prohibitively costly or computationally difficult. This case study argues that blockchain systems may help us understand honesty as a social technology, a system that simulates honest </w:t>
      </w:r>
      <w:r w:rsidR="00F07492" w:rsidRPr="00383C2B">
        <w:t>behaviour</w:t>
      </w:r>
      <w:r w:rsidRPr="00383C2B">
        <w:t xml:space="preserve"> by aligning incentives with the expected convention. However, honesty as a moral virtue, as well as the ethical institutions that nurture such virtue, may be difficult or impossible to replace with blockchain. Framed through Immanuel Kant's ethical theory and Jens Timmermann's recent reinterpretation of Kant's “Supposed Right to Lie,” I show how the Byzantine General's Problem illustrates what blockchains can deliver versus that which blockchains were simply not designed to deliver. The basic premise is that sustainable digital trust is reliant on both cryptographic consensuses and ethical-political commitments to honesty as a conceivable ideal; when the financial incentives diverge from honest maxims, blockchains risk degrading into incentive games that result in the capture of compliance, but not virtue.</w:t>
      </w:r>
    </w:p>
    <w:p w14:paraId="638A471F" w14:textId="72DE330A" w:rsidR="00383C2B" w:rsidRDefault="00383C2B" w:rsidP="00383C2B">
      <w:pPr>
        <w:pStyle w:val="ListParagraph"/>
        <w:numPr>
          <w:ilvl w:val="0"/>
          <w:numId w:val="1"/>
        </w:numPr>
      </w:pPr>
      <w:r w:rsidRPr="00383C2B">
        <w:t>Kant's morality of honesty and the moral values of telling the truth</w:t>
      </w:r>
      <w:r w:rsidRPr="00383C2B">
        <w:br/>
        <w:t>Kant's morality is grounded in the categorical imperative, meaning to only act in accordance with maxims that one can will to be a universal law. Truthfulness is more than simply providing reliable information for Kant; it is a moral duty towards humanity, because if we do not tell the truth, a shared moral world becomes unthinkable, thus breaking down the possibility for moral duties towards one another as humans. In his infamous example (a "thought experiment"), he would say—do not tell the truth even if it jeopardizes the life of your friend when a murderer asks you where your friend is. This is because Kant's ultimate concern is to uphold the universal conditions of justice. If truth systematically gives way to lies, then trust diminishes, and promises, contracts, and testimony dissolve (Kant 1996). The ethical problem here is not about saving an individual life, but the moral importance of sustaining a common world of right in which one can take their words as truth seriously.</w:t>
      </w:r>
      <w:r w:rsidRPr="00383C2B">
        <w:br/>
        <w:t xml:space="preserve">Kant's anthropology could further reason that Wille is distinct from </w:t>
      </w:r>
      <w:proofErr w:type="spellStart"/>
      <w:r w:rsidRPr="00383C2B">
        <w:t>Willkür</w:t>
      </w:r>
      <w:proofErr w:type="spellEnd"/>
      <w:r w:rsidRPr="00383C2B">
        <w:t xml:space="preserve">, where Wille is the law-giving rational will, and </w:t>
      </w:r>
      <w:proofErr w:type="spellStart"/>
      <w:r w:rsidRPr="00383C2B">
        <w:t>Willkür</w:t>
      </w:r>
      <w:proofErr w:type="spellEnd"/>
      <w:r w:rsidRPr="00383C2B">
        <w:t xml:space="preserve"> is a choice that is subject to inclination. Evil does not arise from error, but corruption adopts defective maxims. In this framework, telling the truth as an agent means taking up the role of conscience to the self-legislation of truth as a rule of will, rather than simply an avenue of self-interest or convenience. Any alternative notion of "engineering" into an external account of honesty would fall short as an external type of duty that would displace this inner importance.</w:t>
      </w:r>
    </w:p>
    <w:p w14:paraId="20E2B1C5" w14:textId="703B9E46" w:rsidR="00383C2B" w:rsidRDefault="00383C2B" w:rsidP="00F07492">
      <w:pPr>
        <w:pStyle w:val="ListParagraph"/>
        <w:numPr>
          <w:ilvl w:val="0"/>
          <w:numId w:val="1"/>
        </w:numPr>
      </w:pPr>
      <w:r w:rsidRPr="00383C2B">
        <w:t xml:space="preserve">What Kant would have said: Timmermann’s reconstruction. </w:t>
      </w:r>
      <w:r w:rsidRPr="00383C2B">
        <w:br/>
        <w:t xml:space="preserve">Timmermann (2024) believes that the standard way of interpreting the murderer-at-the-door example from Kant is too shallow. He follows the classic critique by Christine Korsgaard, noting how agents usually have multiple responsibilities at the same time: to the truth, to others’ safety, and to the rule of law. In Korsgaard’s words, it seems “grotesque” to have moral innocence by saying the literal truth when one could reasonably be stopping someone from being harmed by engaging in morally permissible </w:t>
      </w:r>
      <w:proofErr w:type="spellStart"/>
      <w:r w:rsidRPr="00383C2B">
        <w:t>behavior</w:t>
      </w:r>
      <w:proofErr w:type="spellEnd"/>
      <w:r w:rsidRPr="00383C2B">
        <w:t xml:space="preserve"> (Korsgaard 1986). Timmermann sketches a suite of non-lying responses: refusals to answer, irony, vagueness, detain, de-escalate, appeal to legal authority—helping one keep commitments to veracity while exercising practical wisdom about danger (Timmermann 2024). The lecture notes point to these very responses and the more general lesson: what is at stake is unrealistic if it </w:t>
      </w:r>
      <w:r w:rsidRPr="00383C2B">
        <w:lastRenderedPageBreak/>
        <w:t xml:space="preserve">isolates an individual from the institutions which make honesty </w:t>
      </w:r>
      <w:proofErr w:type="spellStart"/>
      <w:r w:rsidRPr="00383C2B">
        <w:t>livable</w:t>
      </w:r>
      <w:proofErr w:type="spellEnd"/>
      <w:r w:rsidRPr="00383C2B">
        <w:t>. Kant himself is clear enough here: “politics must always be accommodated to right”, pointing to ethical commonwealths, and institutional structures which mean citizens coordinate around good maxims and mutual accountability.</w:t>
      </w:r>
    </w:p>
    <w:p w14:paraId="1FDB69FE" w14:textId="5CA9C2A8" w:rsidR="00383C2B" w:rsidRDefault="00383C2B" w:rsidP="00383C2B">
      <w:pPr>
        <w:pStyle w:val="ListParagraph"/>
      </w:pPr>
      <w:r w:rsidRPr="00383C2B">
        <w:t xml:space="preserve">It's important to remember that, as Timmermann emphasizes, we are limited in our ability to prevent evil and we all experience bad luck. Even with the best-intentioned lie, things may not work out, and sometimes nothing that we do generates the desired outcome—or that in any case, the moral task is to create worlds in which worst-case scenarios are less likely. The difficulty is to not think about solutions that are perfect, but to focus on practices that will keep the problem from occurring. </w:t>
      </w:r>
      <w:r w:rsidRPr="00383C2B">
        <w:br/>
        <w:t xml:space="preserve">His very last point is that the ethical priority is institution-building: arranging social circumstances so that it would be difficult and costly for people to survive and thrive without adhering to honesty. </w:t>
      </w:r>
      <w:r w:rsidRPr="00383C2B">
        <w:br/>
        <w:t>3) From moral honesty to distributed consensus: the Byzantine problem</w:t>
      </w:r>
      <w:r w:rsidRPr="00383C2B">
        <w:br/>
        <w:t xml:space="preserve">The Byzantine Generals Problem depicts, in engineering form, Kant's concern about the problem of coordinating rational agents who have the potential to deceive. If some of the members in the group are going to lie to avoid culpability, equivocate during deliberation, or simply miss the meeting, how does the group make a unique, single correct decision? The lecture recaps the classical definition: "safety" (no contradictions), "validity" (if all the honest decide on a value, then that will be chosen), and "liveness" (that, eventually, honest parties decide). </w:t>
      </w:r>
      <w:r w:rsidRPr="00383C2B">
        <w:br/>
        <w:t>The solution is quorum design: create voting sets that are large enough that any two different decisions intersect in at least one honest party. Thus</w:t>
      </w:r>
      <w:r>
        <w:t>,</w:t>
      </w:r>
      <w:r w:rsidRPr="00383C2B">
        <w:t xml:space="preserve"> the rule of thumb for limits (with f Is max Byzantine faults) are n ≥ </w:t>
      </w:r>
      <w:proofErr w:type="spellStart"/>
      <w:r w:rsidRPr="00383C2B">
        <w:t>3f+1</w:t>
      </w:r>
      <w:proofErr w:type="spellEnd"/>
      <w:r w:rsidRPr="00383C2B">
        <w:t xml:space="preserve"> and require votes at least </w:t>
      </w:r>
      <w:proofErr w:type="spellStart"/>
      <w:r w:rsidRPr="00383C2B">
        <w:t>2f+1</w:t>
      </w:r>
      <w:proofErr w:type="spellEnd"/>
      <w:r w:rsidRPr="00383C2B">
        <w:t xml:space="preserve"> to decide (e.g.).</w:t>
      </w:r>
    </w:p>
    <w:p w14:paraId="2AB54DEA" w14:textId="6BDC05FA" w:rsidR="00383C2B" w:rsidRDefault="00383C2B" w:rsidP="00F07492">
      <w:pPr>
        <w:pStyle w:val="ListParagraph"/>
      </w:pPr>
      <w:r w:rsidRPr="00383C2B">
        <w:t xml:space="preserve">Thus, </w:t>
      </w:r>
      <w:r>
        <w:t>f</w:t>
      </w:r>
      <w:r w:rsidRPr="00383C2B">
        <w:t xml:space="preserve">rom this perspective, blockchain is a Byzantine fault tolerant ledger—its cryptography and incentives create a publicly verifiable history of events in which everyone can audit these events at little cost, and a majority of better motivations will be economically motivated to collaborate around the same shared history. </w:t>
      </w:r>
      <w:r w:rsidRPr="00383C2B">
        <w:br/>
        <w:t>Blockchain is a record that is shared, decentralized, and is append-only; the blocks link through cryptographic hash; and the exchanged transactions are only accepted when the economically motivated “majority” agree on the same agreed history (of events).</w:t>
      </w:r>
      <w:r w:rsidRPr="00383C2B">
        <w:br/>
        <w:t>The intent is not to create virtue in the participants however it is to limit the outcome of the association and/or system mean that it becomes unprofitable or ineffective to act unethically.</w:t>
      </w:r>
      <w:r w:rsidRPr="00383C2B">
        <w:br/>
        <w:t>4) Blockchain as a social technology for honesty</w:t>
      </w:r>
      <w:r w:rsidRPr="00383C2B">
        <w:br/>
        <w:t xml:space="preserve">From a Kantian perspective, blockchain is a social technology for honesty in the sense that it encodes institutional checks (public auditability, distributed accountability) that facilitate trustworthy collaboration, collective cooperation, and similar institutions function like parliaments, courts, universities, banks with oversight, and anti-corruption bodies, like ICAC, that all provide scaffolding for honest conduct in public life. </w:t>
      </w:r>
      <w:r w:rsidRPr="00383C2B">
        <w:br/>
        <w:t>In this context is the lecture's framing showcased explicitly—the institution being central to a functioning ethical common wealth.</w:t>
      </w:r>
      <w:r w:rsidRPr="00383C2B">
        <w:br/>
        <w:t xml:space="preserve">Nevertheless, the analogy can only take the argument so far. Institutions like ICAC operate normatively—they develop and enforce standards of right, action and </w:t>
      </w:r>
      <w:proofErr w:type="spellStart"/>
      <w:r w:rsidRPr="00383C2B">
        <w:t>behavior</w:t>
      </w:r>
      <w:proofErr w:type="spellEnd"/>
      <w:r w:rsidRPr="00383C2B">
        <w:t>; blockchain op</w:t>
      </w:r>
      <w:r w:rsidR="00F07492">
        <w:t>e</w:t>
      </w:r>
      <w:r w:rsidRPr="00383C2B">
        <w:t xml:space="preserve">rates mechanistically—it enforces standards of conduct irrespective of moral </w:t>
      </w:r>
      <w:proofErr w:type="spellStart"/>
      <w:r w:rsidRPr="00383C2B">
        <w:t>qualitivity</w:t>
      </w:r>
      <w:proofErr w:type="spellEnd"/>
      <w:r w:rsidRPr="00383C2B">
        <w:t xml:space="preserve">. </w:t>
      </w:r>
      <w:r w:rsidRPr="00383C2B">
        <w:br/>
        <w:t>For these reasons, the lecture's final stress matters: we must embed honesty into technology and bring it together with other social technologies; the issue is whether blockchain provides that option, and if it does not, how to improve or complement that outcome.</w:t>
      </w:r>
    </w:p>
    <w:p w14:paraId="45B5D8CF" w14:textId="77777777" w:rsidR="00F07492" w:rsidRDefault="00383C2B" w:rsidP="00383C2B">
      <w:pPr>
        <w:pStyle w:val="ListParagraph"/>
      </w:pPr>
      <w:r>
        <w:lastRenderedPageBreak/>
        <w:t>5)</w:t>
      </w:r>
      <w:r w:rsidR="0006001F">
        <w:t xml:space="preserve"> </w:t>
      </w:r>
      <w:r w:rsidR="0006001F" w:rsidRPr="0006001F">
        <w:t>“</w:t>
      </w:r>
      <w:proofErr w:type="spellStart"/>
      <w:r w:rsidR="0006001F" w:rsidRPr="0006001F">
        <w:t>Trustless</w:t>
      </w:r>
      <w:proofErr w:type="spellEnd"/>
      <w:r w:rsidR="0006001F" w:rsidRPr="0006001F">
        <w:t>” Is Not Ethics: Limits of Automated Veracity</w:t>
      </w:r>
      <w:r w:rsidR="0006001F" w:rsidRPr="0006001F">
        <w:br/>
        <w:t>The notion of '</w:t>
      </w:r>
      <w:proofErr w:type="spellStart"/>
      <w:r w:rsidR="0006001F" w:rsidRPr="0006001F">
        <w:t>trustless</w:t>
      </w:r>
      <w:proofErr w:type="spellEnd"/>
      <w:r w:rsidR="0006001F" w:rsidRPr="0006001F">
        <w:t>' tends to suggest a logic in which verification constitutes a sufficiently powerful substitute for trust. Yet, the key point is not that 'trust' disappears, but is instead displaced: actors must accept trust in regard to the properties of code, trust in network availability, trust in the economic assumptions of incentives, trust in the governance of protocol updates, etc. The lecture points out that current blockchains are "incredibly expensive" and are always, by design, "open to corruption" by coding mistakes, wrong assumptions, or a certain type of adversarial cryptography.</w:t>
      </w:r>
      <w:r w:rsidR="0006001F" w:rsidRPr="0006001F">
        <w:br/>
        <w:t>Even when blockchains operate as intended, cons, rug-pulls, and market manipulation are persistent threats, because once again consensus only ensures data integrity and not moral intent. To employ Kant's idiom, blockchains are solutions to a coordination problem in the context of uncertainty but not with respect to maxims: they do not ensure agents are truth telling; rather they increase the likelihood of not determining dishonest outcomes.</w:t>
      </w:r>
      <w:r w:rsidR="0006001F" w:rsidRPr="0006001F">
        <w:br/>
        <w:t xml:space="preserve">This is why the comparison of a blockchain to institutional anti-corruption (such as ICAC) is not incidental: corruption risk rises under pressure, and mechanistic controls do not work well in isolation. </w:t>
      </w:r>
      <w:r w:rsidR="0006001F" w:rsidRPr="0006001F">
        <w:br/>
        <w:t>Honesty requires support by cultures, laws, and incentives that all point in the same direction.</w:t>
      </w:r>
      <w:r w:rsidR="0006001F" w:rsidRPr="0006001F">
        <w:br/>
      </w:r>
      <w:r w:rsidR="0006001F" w:rsidRPr="0006001F">
        <w:br/>
      </w:r>
      <w:r w:rsidR="00DC4F67" w:rsidRPr="00F07492">
        <w:rPr>
          <w:b/>
          <w:bCs/>
        </w:rPr>
        <w:t>Conclusion</w:t>
      </w:r>
      <w:r w:rsidR="00DC4F67" w:rsidRPr="00DC4F67">
        <w:br/>
        <w:t xml:space="preserve">Blockchain partially renders as technological the desire behind Kant's ethics: to make honest coordination possible under conditions of distrust. By resolving a version of the Byzantine problem, it provides procedural honesty—a tamper evident history, verifiable state, and costly deceit. But the concept only yields so much toward an outcome translatable into ethical philosophy, given the larger ethical and political context; no ledger can legislate maxims, educate character, or substitute for institutions that secure justice. The high-distinction perspective therefore demands alignment as well: we should treat cryptographic consensus as only one part of </w:t>
      </w:r>
      <w:proofErr w:type="spellStart"/>
      <w:proofErr w:type="gramStart"/>
      <w:r w:rsidR="00DC4F67" w:rsidRPr="00DC4F67">
        <w:t>a</w:t>
      </w:r>
      <w:proofErr w:type="spellEnd"/>
      <w:proofErr w:type="gramEnd"/>
      <w:r w:rsidR="00DC4F67" w:rsidRPr="00DC4F67">
        <w:t xml:space="preserve"> ethical commonwealth – an ethical world where public institutions, culture, and code come together to make honesty the most reasonable way to live.</w:t>
      </w:r>
      <w:r w:rsidR="00DC4F67" w:rsidRPr="00DC4F67">
        <w:br/>
      </w:r>
    </w:p>
    <w:p w14:paraId="4932FCC6" w14:textId="2B6F791B" w:rsidR="00F07492" w:rsidRDefault="00F07492" w:rsidP="00F07492">
      <w:pPr>
        <w:pStyle w:val="ListParagraph"/>
        <w:rPr>
          <w:b/>
          <w:bCs/>
        </w:rPr>
      </w:pPr>
      <w:r w:rsidRPr="00F07492">
        <w:rPr>
          <w:b/>
          <w:bCs/>
        </w:rPr>
        <w:t>References (Chicago author–date)</w:t>
      </w:r>
    </w:p>
    <w:p w14:paraId="7763FFE5" w14:textId="77777777" w:rsidR="00F07492" w:rsidRPr="00F07492" w:rsidRDefault="00F07492" w:rsidP="00F07492">
      <w:pPr>
        <w:pStyle w:val="ListParagraph"/>
      </w:pPr>
      <w:r w:rsidRPr="00F07492">
        <w:t>Lecture / primary source for this case study</w:t>
      </w:r>
    </w:p>
    <w:p w14:paraId="1D9B2114" w14:textId="1305B2D1" w:rsidR="00F07492" w:rsidRPr="00F07492" w:rsidRDefault="00F07492" w:rsidP="00F07492">
      <w:pPr>
        <w:pStyle w:val="ListParagraph"/>
        <w:numPr>
          <w:ilvl w:val="0"/>
          <w:numId w:val="5"/>
        </w:numPr>
      </w:pPr>
      <w:proofErr w:type="spellStart"/>
      <w:r w:rsidRPr="00F07492">
        <w:t>W08</w:t>
      </w:r>
      <w:proofErr w:type="spellEnd"/>
      <w:r w:rsidRPr="00F07492">
        <w:t>-Blockchain. “Ethics of Emerging Technologies: Week 8 — Blockchain (Kant, Byzantine Problem, and Social Technologies for Honesty).” University lecture slides (</w:t>
      </w:r>
      <w:hyperlink r:id="rId5" w:history="1">
        <w:r w:rsidRPr="00147C3B">
          <w:rPr>
            <w:rStyle w:val="Hyperlink"/>
          </w:rPr>
          <w:t>https://canvas.newcastle.edu.au/courses/33045/pages/week-8-cryptocurrency-and-trust-in-banking?module_item_id=1680924</w:t>
        </w:r>
      </w:hyperlink>
      <w:r w:rsidRPr="00F07492">
        <w:t xml:space="preserve">). </w:t>
      </w:r>
    </w:p>
    <w:p w14:paraId="4FE4374C" w14:textId="5E88367E" w:rsidR="00F07492" w:rsidRPr="00F07492" w:rsidRDefault="00F07492" w:rsidP="00F07492">
      <w:pPr>
        <w:pStyle w:val="ListParagraph"/>
        <w:numPr>
          <w:ilvl w:val="0"/>
          <w:numId w:val="2"/>
        </w:numPr>
      </w:pPr>
      <w:r w:rsidRPr="00F07492">
        <w:t xml:space="preserve">Kant, Immanuel. 1996 [1797]. “On a Supposed Right to Lie from Philanthropy.” In </w:t>
      </w:r>
      <w:r w:rsidRPr="00F07492">
        <w:rPr>
          <w:i/>
          <w:iCs/>
        </w:rPr>
        <w:t>Practical Philosophy</w:t>
      </w:r>
      <w:r w:rsidRPr="00F07492">
        <w:t>, 605–16. Cambridge: Cambridge University Press.</w:t>
      </w:r>
    </w:p>
    <w:p w14:paraId="012A50E1" w14:textId="77777777" w:rsidR="00F07492" w:rsidRPr="00F07492" w:rsidRDefault="00F07492" w:rsidP="00F07492">
      <w:pPr>
        <w:pStyle w:val="ListParagraph"/>
        <w:numPr>
          <w:ilvl w:val="0"/>
          <w:numId w:val="3"/>
        </w:numPr>
      </w:pPr>
      <w:r w:rsidRPr="00F07492">
        <w:t xml:space="preserve">Kant, Immanuel. 1996 [1797]. </w:t>
      </w:r>
      <w:r w:rsidRPr="00F07492">
        <w:rPr>
          <w:i/>
          <w:iCs/>
        </w:rPr>
        <w:t>The Metaphysics of Morals</w:t>
      </w:r>
      <w:r w:rsidRPr="00F07492">
        <w:t>. Cambridge: Cambridge University Press.</w:t>
      </w:r>
    </w:p>
    <w:p w14:paraId="4F6D7B4A" w14:textId="77777777" w:rsidR="00F07492" w:rsidRPr="00F07492" w:rsidRDefault="00F07492" w:rsidP="00F07492">
      <w:pPr>
        <w:pStyle w:val="ListParagraph"/>
        <w:numPr>
          <w:ilvl w:val="0"/>
          <w:numId w:val="3"/>
        </w:numPr>
      </w:pPr>
      <w:r w:rsidRPr="00F07492">
        <w:t xml:space="preserve">Korsgaard, Christine M. 1986. “The Right to Lie: Kant on Dealing with Evil.” </w:t>
      </w:r>
      <w:r w:rsidRPr="00F07492">
        <w:rPr>
          <w:i/>
          <w:iCs/>
        </w:rPr>
        <w:t>Philosophy &amp; Public Affairs</w:t>
      </w:r>
      <w:r w:rsidRPr="00F07492">
        <w:t xml:space="preserve"> 15 (4): 325–49.</w:t>
      </w:r>
    </w:p>
    <w:p w14:paraId="361F9E86" w14:textId="77777777" w:rsidR="00F07492" w:rsidRPr="00F07492" w:rsidRDefault="00F07492" w:rsidP="00F07492">
      <w:pPr>
        <w:pStyle w:val="ListParagraph"/>
        <w:numPr>
          <w:ilvl w:val="0"/>
          <w:numId w:val="3"/>
        </w:numPr>
      </w:pPr>
      <w:r w:rsidRPr="00F07492">
        <w:t xml:space="preserve">Timmermann, Jens. 2024. </w:t>
      </w:r>
      <w:r w:rsidRPr="00F07492">
        <w:rPr>
          <w:i/>
          <w:iCs/>
        </w:rPr>
        <w:t>Kant and the Supposed Right to Lie</w:t>
      </w:r>
      <w:r w:rsidRPr="00F07492">
        <w:t>. Cambridge: Cambridge University Press.</w:t>
      </w:r>
    </w:p>
    <w:p w14:paraId="12ECB818" w14:textId="77777777" w:rsidR="00F07492" w:rsidRPr="00F07492" w:rsidRDefault="00F07492" w:rsidP="00F07492">
      <w:pPr>
        <w:pStyle w:val="ListParagraph"/>
        <w:numPr>
          <w:ilvl w:val="0"/>
          <w:numId w:val="4"/>
        </w:numPr>
      </w:pPr>
      <w:r w:rsidRPr="00F07492">
        <w:t xml:space="preserve">Lamport, Leslie, Robert Shostak, and Marshall Pease. 1982. “The Byzantine Generals Problem.” </w:t>
      </w:r>
      <w:r w:rsidRPr="00F07492">
        <w:rPr>
          <w:i/>
          <w:iCs/>
        </w:rPr>
        <w:t>ACM Transactions on Programming Languages and Systems</w:t>
      </w:r>
      <w:r w:rsidRPr="00F07492">
        <w:t xml:space="preserve"> 4 (3): 382–401.</w:t>
      </w:r>
    </w:p>
    <w:p w14:paraId="1E5F2865" w14:textId="77777777" w:rsidR="00F07492" w:rsidRPr="00F07492" w:rsidRDefault="00F07492" w:rsidP="00F07492">
      <w:pPr>
        <w:pStyle w:val="ListParagraph"/>
        <w:numPr>
          <w:ilvl w:val="0"/>
          <w:numId w:val="4"/>
        </w:numPr>
      </w:pPr>
      <w:r w:rsidRPr="00F07492">
        <w:t xml:space="preserve">Nakamoto, Satoshi. 2008. </w:t>
      </w:r>
      <w:r w:rsidRPr="00F07492">
        <w:rPr>
          <w:i/>
          <w:iCs/>
        </w:rPr>
        <w:t>Bitcoin: A Peer-to-Peer Electronic Cash System</w:t>
      </w:r>
      <w:r w:rsidRPr="00F07492">
        <w:t>.</w:t>
      </w:r>
    </w:p>
    <w:p w14:paraId="439D5C98" w14:textId="77777777" w:rsidR="00F07492" w:rsidRPr="00F07492" w:rsidRDefault="00F07492" w:rsidP="00F07492">
      <w:pPr>
        <w:pStyle w:val="ListParagraph"/>
        <w:numPr>
          <w:ilvl w:val="0"/>
          <w:numId w:val="4"/>
        </w:numPr>
      </w:pPr>
      <w:r w:rsidRPr="00F07492">
        <w:lastRenderedPageBreak/>
        <w:t xml:space="preserve">Drescher, Daniel. 2017. </w:t>
      </w:r>
      <w:r w:rsidRPr="00F07492">
        <w:rPr>
          <w:i/>
          <w:iCs/>
        </w:rPr>
        <w:t>Blockchain Basics: A Non-Technical Introduction in 25 Steps</w:t>
      </w:r>
      <w:r w:rsidRPr="00F07492">
        <w:t xml:space="preserve">. New York: </w:t>
      </w:r>
      <w:proofErr w:type="spellStart"/>
      <w:r w:rsidRPr="00F07492">
        <w:t>Apress</w:t>
      </w:r>
      <w:proofErr w:type="spellEnd"/>
      <w:r w:rsidRPr="00F07492">
        <w:t>.</w:t>
      </w:r>
    </w:p>
    <w:p w14:paraId="06F60C03" w14:textId="77777777" w:rsidR="00F07492" w:rsidRPr="00F07492" w:rsidRDefault="00F07492" w:rsidP="00F07492">
      <w:pPr>
        <w:pStyle w:val="ListParagraph"/>
        <w:numPr>
          <w:ilvl w:val="0"/>
          <w:numId w:val="4"/>
        </w:numPr>
      </w:pPr>
      <w:r w:rsidRPr="00F07492">
        <w:t xml:space="preserve">de Bruin, Boudewijn, Lisa Herzog, Martin O’Neill, and Joakim Sandberg. 2023. “Philosophy of Money and Finance.” In </w:t>
      </w:r>
      <w:r w:rsidRPr="00F07492">
        <w:rPr>
          <w:i/>
          <w:iCs/>
        </w:rPr>
        <w:t xml:space="preserve">The Stanford </w:t>
      </w:r>
      <w:proofErr w:type="spellStart"/>
      <w:r w:rsidRPr="00F07492">
        <w:rPr>
          <w:i/>
          <w:iCs/>
        </w:rPr>
        <w:t>Encyclopedia</w:t>
      </w:r>
      <w:proofErr w:type="spellEnd"/>
      <w:r w:rsidRPr="00F07492">
        <w:rPr>
          <w:i/>
          <w:iCs/>
        </w:rPr>
        <w:t xml:space="preserve"> of Philosophy</w:t>
      </w:r>
      <w:r w:rsidRPr="00F07492">
        <w:t>, ed. Edward N. Zalta and Uri Nodelman. Stanford: Metaphysics Research Lab.</w:t>
      </w:r>
    </w:p>
    <w:p w14:paraId="616A1F4C" w14:textId="33B20F68" w:rsidR="00F07492" w:rsidRDefault="00F07492" w:rsidP="00F07492">
      <w:pPr>
        <w:pStyle w:val="ListParagraph"/>
        <w:numPr>
          <w:ilvl w:val="0"/>
          <w:numId w:val="5"/>
        </w:numPr>
      </w:pPr>
      <w:proofErr w:type="spellStart"/>
      <w:r w:rsidRPr="00F07492">
        <w:t>Digiconomist</w:t>
      </w:r>
      <w:proofErr w:type="spellEnd"/>
      <w:r w:rsidRPr="00F07492">
        <w:t xml:space="preserve">. 2025. “Bitcoin Energy Consumption Index.” Accessed September 19, 2025. </w:t>
      </w:r>
      <w:hyperlink r:id="rId6" w:history="1">
        <w:r w:rsidRPr="00147C3B">
          <w:rPr>
            <w:rStyle w:val="Hyperlink"/>
          </w:rPr>
          <w:t>https://canvas.newcastle.edu.au/courses/33045/pages/week-8-cryptocurrency-and-trust-in-banking?module_item_id=1680924</w:t>
        </w:r>
      </w:hyperlink>
    </w:p>
    <w:p w14:paraId="6D5FB328" w14:textId="77777777" w:rsidR="00F07492" w:rsidRPr="00F07492" w:rsidRDefault="00F07492" w:rsidP="00F07492">
      <w:pPr>
        <w:pStyle w:val="ListParagraph"/>
      </w:pPr>
    </w:p>
    <w:p w14:paraId="030A39EF" w14:textId="77777777" w:rsidR="00F07492" w:rsidRPr="00F07492" w:rsidRDefault="00F07492" w:rsidP="00F07492">
      <w:pPr>
        <w:pStyle w:val="ListParagraph"/>
        <w:numPr>
          <w:ilvl w:val="0"/>
          <w:numId w:val="5"/>
        </w:numPr>
      </w:pPr>
      <w:r w:rsidRPr="00F07492">
        <w:t xml:space="preserve">Independent Commission Against Corruption (ICAC), NSW. Policy resources referenced in the lecture discussion of institutional honesty. </w:t>
      </w:r>
    </w:p>
    <w:p w14:paraId="481E858B" w14:textId="6DB505F1" w:rsidR="00F07492" w:rsidRDefault="00F07492" w:rsidP="00383C2B">
      <w:pPr>
        <w:pStyle w:val="ListParagraph"/>
      </w:pPr>
      <w:hyperlink r:id="rId7" w:history="1">
        <w:r w:rsidRPr="00147C3B">
          <w:rPr>
            <w:rStyle w:val="Hyperlink"/>
          </w:rPr>
          <w:t>https://canvas.newcastle.edu.au/courses/33045/pages/week-8-cryptocurrency-and-trust-in-banking?module_item_id=1680924</w:t>
        </w:r>
      </w:hyperlink>
    </w:p>
    <w:p w14:paraId="2A25E791" w14:textId="6BF599EA" w:rsidR="00383C2B" w:rsidRDefault="00383C2B" w:rsidP="00383C2B">
      <w:pPr>
        <w:pStyle w:val="ListParagraph"/>
      </w:pPr>
      <w:r w:rsidRPr="00383C2B">
        <w:br/>
      </w:r>
      <w:r w:rsidRPr="00383C2B">
        <w:br/>
      </w:r>
    </w:p>
    <w:sectPr w:rsidR="00383C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723FE"/>
    <w:multiLevelType w:val="multilevel"/>
    <w:tmpl w:val="EEEC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DB741F"/>
    <w:multiLevelType w:val="multilevel"/>
    <w:tmpl w:val="2F1C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342BA"/>
    <w:multiLevelType w:val="multilevel"/>
    <w:tmpl w:val="223C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8641F1"/>
    <w:multiLevelType w:val="multilevel"/>
    <w:tmpl w:val="F48A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B76FCD"/>
    <w:multiLevelType w:val="multilevel"/>
    <w:tmpl w:val="B49C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C86599"/>
    <w:multiLevelType w:val="hybridMultilevel"/>
    <w:tmpl w:val="0A8840B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9839464">
    <w:abstractNumId w:val="5"/>
  </w:num>
  <w:num w:numId="2" w16cid:durableId="769660092">
    <w:abstractNumId w:val="1"/>
  </w:num>
  <w:num w:numId="3" w16cid:durableId="1291276860">
    <w:abstractNumId w:val="0"/>
  </w:num>
  <w:num w:numId="4" w16cid:durableId="1845704872">
    <w:abstractNumId w:val="4"/>
  </w:num>
  <w:num w:numId="5" w16cid:durableId="157043504">
    <w:abstractNumId w:val="2"/>
  </w:num>
  <w:num w:numId="6" w16cid:durableId="9464286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09D"/>
    <w:rsid w:val="0006001F"/>
    <w:rsid w:val="00383C2B"/>
    <w:rsid w:val="005323C4"/>
    <w:rsid w:val="00591D78"/>
    <w:rsid w:val="006A60E0"/>
    <w:rsid w:val="008C509D"/>
    <w:rsid w:val="008F37DE"/>
    <w:rsid w:val="009471DD"/>
    <w:rsid w:val="00A205A9"/>
    <w:rsid w:val="00A67220"/>
    <w:rsid w:val="00BC7857"/>
    <w:rsid w:val="00DC4F67"/>
    <w:rsid w:val="00F07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94E51"/>
  <w15:chartTrackingRefBased/>
  <w15:docId w15:val="{FE941BE5-36D6-45FD-ABE5-320D2384A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0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0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0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0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0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0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0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0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0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0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09D"/>
    <w:rPr>
      <w:rFonts w:eastAsiaTheme="majorEastAsia" w:cstheme="majorBidi"/>
      <w:color w:val="272727" w:themeColor="text1" w:themeTint="D8"/>
    </w:rPr>
  </w:style>
  <w:style w:type="paragraph" w:styleId="Title">
    <w:name w:val="Title"/>
    <w:basedOn w:val="Normal"/>
    <w:next w:val="Normal"/>
    <w:link w:val="TitleChar"/>
    <w:uiPriority w:val="10"/>
    <w:qFormat/>
    <w:rsid w:val="008C5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09D"/>
    <w:pPr>
      <w:spacing w:before="160"/>
      <w:jc w:val="center"/>
    </w:pPr>
    <w:rPr>
      <w:i/>
      <w:iCs/>
      <w:color w:val="404040" w:themeColor="text1" w:themeTint="BF"/>
    </w:rPr>
  </w:style>
  <w:style w:type="character" w:customStyle="1" w:styleId="QuoteChar">
    <w:name w:val="Quote Char"/>
    <w:basedOn w:val="DefaultParagraphFont"/>
    <w:link w:val="Quote"/>
    <w:uiPriority w:val="29"/>
    <w:rsid w:val="008C509D"/>
    <w:rPr>
      <w:i/>
      <w:iCs/>
      <w:color w:val="404040" w:themeColor="text1" w:themeTint="BF"/>
    </w:rPr>
  </w:style>
  <w:style w:type="paragraph" w:styleId="ListParagraph">
    <w:name w:val="List Paragraph"/>
    <w:basedOn w:val="Normal"/>
    <w:uiPriority w:val="34"/>
    <w:qFormat/>
    <w:rsid w:val="008C509D"/>
    <w:pPr>
      <w:ind w:left="720"/>
      <w:contextualSpacing/>
    </w:pPr>
  </w:style>
  <w:style w:type="character" w:styleId="IntenseEmphasis">
    <w:name w:val="Intense Emphasis"/>
    <w:basedOn w:val="DefaultParagraphFont"/>
    <w:uiPriority w:val="21"/>
    <w:qFormat/>
    <w:rsid w:val="008C509D"/>
    <w:rPr>
      <w:i/>
      <w:iCs/>
      <w:color w:val="2F5496" w:themeColor="accent1" w:themeShade="BF"/>
    </w:rPr>
  </w:style>
  <w:style w:type="paragraph" w:styleId="IntenseQuote">
    <w:name w:val="Intense Quote"/>
    <w:basedOn w:val="Normal"/>
    <w:next w:val="Normal"/>
    <w:link w:val="IntenseQuoteChar"/>
    <w:uiPriority w:val="30"/>
    <w:qFormat/>
    <w:rsid w:val="008C50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09D"/>
    <w:rPr>
      <w:i/>
      <w:iCs/>
      <w:color w:val="2F5496" w:themeColor="accent1" w:themeShade="BF"/>
    </w:rPr>
  </w:style>
  <w:style w:type="character" w:styleId="IntenseReference">
    <w:name w:val="Intense Reference"/>
    <w:basedOn w:val="DefaultParagraphFont"/>
    <w:uiPriority w:val="32"/>
    <w:qFormat/>
    <w:rsid w:val="008C509D"/>
    <w:rPr>
      <w:b/>
      <w:bCs/>
      <w:smallCaps/>
      <w:color w:val="2F5496" w:themeColor="accent1" w:themeShade="BF"/>
      <w:spacing w:val="5"/>
    </w:rPr>
  </w:style>
  <w:style w:type="character" w:styleId="Hyperlink">
    <w:name w:val="Hyperlink"/>
    <w:basedOn w:val="DefaultParagraphFont"/>
    <w:uiPriority w:val="99"/>
    <w:unhideWhenUsed/>
    <w:rsid w:val="00F07492"/>
    <w:rPr>
      <w:color w:val="0563C1" w:themeColor="hyperlink"/>
      <w:u w:val="single"/>
    </w:rPr>
  </w:style>
  <w:style w:type="character" w:styleId="UnresolvedMention">
    <w:name w:val="Unresolved Mention"/>
    <w:basedOn w:val="DefaultParagraphFont"/>
    <w:uiPriority w:val="99"/>
    <w:semiHidden/>
    <w:unhideWhenUsed/>
    <w:rsid w:val="00F074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nvas.newcastle.edu.au/courses/33045/pages/week-8-cryptocurrency-and-trust-in-banking?module_item_id=16809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vas.newcastle.edu.au/courses/33045/pages/week-8-cryptocurrency-and-trust-in-banking?module_item_id=1680924" TargetMode="External"/><Relationship Id="rId5" Type="http://schemas.openxmlformats.org/officeDocument/2006/relationships/hyperlink" Target="https://canvas.newcastle.edu.au/courses/33045/pages/week-8-cryptocurrency-and-trust-in-banking?module_item_id=168092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1849</Words>
  <Characters>10541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Kar</dc:creator>
  <cp:keywords/>
  <dc:description/>
  <cp:lastModifiedBy>Arnab Kar</cp:lastModifiedBy>
  <cp:revision>4</cp:revision>
  <dcterms:created xsi:type="dcterms:W3CDTF">2025-11-01T14:04:00Z</dcterms:created>
  <dcterms:modified xsi:type="dcterms:W3CDTF">2025-11-02T14:17:00Z</dcterms:modified>
</cp:coreProperties>
</file>