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C7242" w14:textId="4CBEEE7B" w:rsidR="001A0EC2" w:rsidRPr="003A5555" w:rsidRDefault="001A0EC2">
      <w:pPr>
        <w:rPr>
          <w:b/>
          <w:bCs/>
        </w:rPr>
      </w:pPr>
      <w:r w:rsidRPr="003A5555">
        <w:rPr>
          <w:b/>
          <w:bCs/>
        </w:rPr>
        <w:t>Reflection: Self-Determination Theory and AI-Driven Adaptive Learning</w:t>
      </w:r>
    </w:p>
    <w:p w14:paraId="75D98600" w14:textId="3A1703E0" w:rsidR="003E44EB" w:rsidRDefault="00AB6388">
      <w:r w:rsidRPr="00AB6388">
        <w:t>What struck me the most was Ryan and Vansteenkiste's (2023, 6-9) focus on the organismic metatheory in Self-Determination Theory (SDT), which perceives human beings as actively oriented and growth-oriented systems based on needs for autonomy, competence, and relatedness. The metatheory does not see the individual as merely a passive object of external inputs as one might with reinforcement. Instead, it places principles of agency, curiosity, and volition as the natural ways of learning and development (Ryan and Deci 2017, 10-12). This idea strongly resonated with my recent experience of experimentation with adaptive learning platforms driven by artificial intelligence (AI) that utilize real-time analytics to customize content in a language-learning environment.</w:t>
      </w:r>
      <w:r w:rsidRPr="00AB6388">
        <w:br/>
      </w:r>
      <w:r w:rsidRPr="00AB6388">
        <w:br/>
        <w:t>In these technology systems, algorithms are continually evaluating learners' performance and making adjustments to the presented tasks, including continue, declining or even changing the difficulty, pacing, or type of feedback. From an SDT perspective, personalization can either promote or suppress an intrinsic motivation. This depends on how the personalization either supports or undermines the needs for autonomy and competence. For example, an adaptive system that uses similar principles or self-selected goals would promote personalization to the extent that the learner is allowed to determine the future trajectory of learning, a need for autonomy that Ryan and Deci (2006, 1562) designate as critical for volitional engagement. Alternatively, if the algorithms direct the learning pathway - and learners do not know by what criteria the algorithms make assessments - the experience may be perceived as controlling and lead to declining motivation or a maximum (i.e., superficial) engagement (Ryan and Deci 2001, 147).</w:t>
      </w:r>
    </w:p>
    <w:p w14:paraId="06085F4F" w14:textId="27B81C3B" w:rsidR="00AB6388" w:rsidRDefault="00AB6388">
      <w:r w:rsidRPr="00AB6388">
        <w:t xml:space="preserve">My experience using Duolingo's AI-powered "path" system captured the paradox of perceived competence and frustration. Initially, I felt assured that the system could modify activities based on my progress, and my perceived competence was increased with visible mastery levels (Ryan et al. 2021, 102). After some time, I also began to feel frustration when the program took control of my learning and locked certain lessons and activities until certain conditions were met by the algorithm. This illustrates the relationship that Ryan, Deci, and Vansteenkiste (2016, 412) warn about; that supportive feedback can turn into some external control when technology removes autonomy. </w:t>
      </w:r>
      <w:r w:rsidRPr="00AB6388">
        <w:br/>
      </w:r>
      <w:r w:rsidRPr="00AB6388">
        <w:br/>
        <w:t>Upon reflection through SDT, I realized how new educational technology reflects our philosophical implications regarding agency. If we create AI that respects autonomy while fostering competence and social relatedness (within community-based learning, or using clear and visible goal intentions), we can preserve the organismic ideals of SDT in a digital environment. This perspective has implications that extend beyond learning applications. In an increasingly algorithm-driven society, SDT provides a moral compass: it reminds us that while technologies can efficiently facilitate things for us, we cannot forget the human need for self-directed development and meaningful connection (Ryan and Deci 2019, 121). As I pursue my interests in adaptive systems, I now consider an effective approach to designing technology, not only in terms of optimizing engagement metrics, but fostering an environment designed to provide intrinsic motivation, curiosity, and eudaimonic well-being–what SDT refers to as "a flourishing life" (Ryan, Huta, and Deci 2008, 145).</w:t>
      </w:r>
      <w:r w:rsidRPr="00AB6388">
        <w:br/>
      </w:r>
    </w:p>
    <w:p w14:paraId="4AEC7E3A" w14:textId="77777777" w:rsidR="00044EAC" w:rsidRPr="001E0F81" w:rsidRDefault="00044EAC" w:rsidP="00044EAC">
      <w:pPr>
        <w:rPr>
          <w:b/>
          <w:bCs/>
        </w:rPr>
      </w:pPr>
      <w:r w:rsidRPr="001E0F81">
        <w:rPr>
          <w:b/>
          <w:bCs/>
        </w:rPr>
        <w:t xml:space="preserve">References </w:t>
      </w:r>
    </w:p>
    <w:p w14:paraId="6DB36014" w14:textId="77777777" w:rsidR="00044EAC" w:rsidRPr="001E0F81" w:rsidRDefault="00044EAC" w:rsidP="00044EAC">
      <w:r w:rsidRPr="001E0F81">
        <w:t xml:space="preserve">Ryan, Richard M., and Edward L. Deci. 2001. “To Be Happy or To Be Self-Fulfilled: A Review of Research on Hedonic and Eudaimonic Well-Being.” </w:t>
      </w:r>
      <w:r w:rsidRPr="001E0F81">
        <w:rPr>
          <w:i/>
          <w:iCs/>
        </w:rPr>
        <w:t>Annual Review of Psychology</w:t>
      </w:r>
      <w:r w:rsidRPr="001E0F81">
        <w:t xml:space="preserve"> 52: 141–166.</w:t>
      </w:r>
      <w:r w:rsidRPr="001E0F81">
        <w:br/>
        <w:t xml:space="preserve">———. 2006. “Self-Regulation and the Problem of Human Autonomy: Does Psychology Need Choice, </w:t>
      </w:r>
      <w:r w:rsidRPr="001E0F81">
        <w:lastRenderedPageBreak/>
        <w:t xml:space="preserve">Self-Determination, and Will?” </w:t>
      </w:r>
      <w:r w:rsidRPr="001E0F81">
        <w:rPr>
          <w:i/>
          <w:iCs/>
        </w:rPr>
        <w:t>Journal of Personality</w:t>
      </w:r>
      <w:r w:rsidRPr="001E0F81">
        <w:t xml:space="preserve"> 74 (6): 1557–1585.</w:t>
      </w:r>
      <w:r w:rsidRPr="001E0F81">
        <w:br/>
        <w:t xml:space="preserve">———. 2017. </w:t>
      </w:r>
      <w:r w:rsidRPr="001E0F81">
        <w:rPr>
          <w:i/>
          <w:iCs/>
        </w:rPr>
        <w:t>Self-Determination Theory: Basic Psychological Needs in Motivation, Development, and Wellness.</w:t>
      </w:r>
      <w:r w:rsidRPr="001E0F81">
        <w:t xml:space="preserve"> New York: Guilford.</w:t>
      </w:r>
      <w:r w:rsidRPr="001E0F81">
        <w:br/>
        <w:t xml:space="preserve">———. 2019. “Brick by Brick: The Origins, Development, and Future of Self-Determination Theory.” In </w:t>
      </w:r>
      <w:r w:rsidRPr="001E0F81">
        <w:rPr>
          <w:i/>
          <w:iCs/>
        </w:rPr>
        <w:t>Advances in Motivation Science,</w:t>
      </w:r>
      <w:r w:rsidRPr="001E0F81">
        <w:t xml:space="preserve"> vol. 6, 111–156. Elsevier.</w:t>
      </w:r>
      <w:r w:rsidRPr="001E0F81">
        <w:br/>
        <w:t xml:space="preserve">Ryan, Richard M., Edward L. Deci, and Maarten Vansteenkiste. 2016. “Autonomy and Autonomy Disturbances in Self-Development and Psychopathology.” In </w:t>
      </w:r>
      <w:r w:rsidRPr="001E0F81">
        <w:rPr>
          <w:i/>
          <w:iCs/>
        </w:rPr>
        <w:t>Developmental Psychopathology,</w:t>
      </w:r>
      <w:r w:rsidRPr="001E0F81">
        <w:t xml:space="preserve"> 3rd ed., 385–438. Wiley.</w:t>
      </w:r>
      <w:r w:rsidRPr="001E0F81">
        <w:br/>
        <w:t xml:space="preserve">Ryan, Richard M., Edward L. Deci, Maarten Vansteenkiste, and Bart Soenens. 2021. “Building a Science of Motivated Persons.” </w:t>
      </w:r>
      <w:r w:rsidRPr="001E0F81">
        <w:rPr>
          <w:i/>
          <w:iCs/>
        </w:rPr>
        <w:t>Motivation Science</w:t>
      </w:r>
      <w:r w:rsidRPr="001E0F81">
        <w:t xml:space="preserve"> 7 (2): 97–110.</w:t>
      </w:r>
      <w:r w:rsidRPr="001E0F81">
        <w:br/>
        <w:t xml:space="preserve">Ryan, Richard M., and Maarten Vansteenkiste. 2023. “Self-Determination Theory: Metatheory, Methods, and Meaning.” In </w:t>
      </w:r>
      <w:r w:rsidRPr="001E0F81">
        <w:rPr>
          <w:i/>
          <w:iCs/>
        </w:rPr>
        <w:t>The Oxford Handbook of Self-Determination Theory,</w:t>
      </w:r>
      <w:r w:rsidRPr="001E0F81">
        <w:t xml:space="preserve"> 4–10. Oxford University Press.</w:t>
      </w:r>
      <w:r w:rsidRPr="001E0F81">
        <w:br/>
        <w:t xml:space="preserve">Ryan, Richard M., Veronika Huta, and Edward L. Deci. 2008. “Living Well: A Self-Determination Theory Perspective on Eudaimonia.” </w:t>
      </w:r>
      <w:r w:rsidRPr="001E0F81">
        <w:rPr>
          <w:i/>
          <w:iCs/>
        </w:rPr>
        <w:t>Journal of Happiness Studies</w:t>
      </w:r>
      <w:r w:rsidRPr="001E0F81">
        <w:t xml:space="preserve"> 9 (1): 139–170.</w:t>
      </w:r>
    </w:p>
    <w:p w14:paraId="1579E218" w14:textId="77777777" w:rsidR="00044EAC" w:rsidRDefault="00044EAC" w:rsidP="00044EAC"/>
    <w:p w14:paraId="6A57EEC2" w14:textId="77777777" w:rsidR="001E0F81" w:rsidRDefault="001E0F81"/>
    <w:sectPr w:rsidR="001E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6C2"/>
    <w:rsid w:val="00044EAC"/>
    <w:rsid w:val="001A0EC2"/>
    <w:rsid w:val="001E0F81"/>
    <w:rsid w:val="002F41E9"/>
    <w:rsid w:val="003766C2"/>
    <w:rsid w:val="003A5555"/>
    <w:rsid w:val="003E44EB"/>
    <w:rsid w:val="00591D78"/>
    <w:rsid w:val="006A60E0"/>
    <w:rsid w:val="008F37DE"/>
    <w:rsid w:val="009471DD"/>
    <w:rsid w:val="00A00AEA"/>
    <w:rsid w:val="00A205A9"/>
    <w:rsid w:val="00A67220"/>
    <w:rsid w:val="00AB6388"/>
    <w:rsid w:val="00F21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394FA"/>
  <w15:chartTrackingRefBased/>
  <w15:docId w15:val="{0D02A04E-5AE2-476A-BE4C-EA2F32ACF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6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6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6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6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6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6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6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6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6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6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6C2"/>
    <w:rPr>
      <w:rFonts w:eastAsiaTheme="majorEastAsia" w:cstheme="majorBidi"/>
      <w:color w:val="272727" w:themeColor="text1" w:themeTint="D8"/>
    </w:rPr>
  </w:style>
  <w:style w:type="paragraph" w:styleId="Title">
    <w:name w:val="Title"/>
    <w:basedOn w:val="Normal"/>
    <w:next w:val="Normal"/>
    <w:link w:val="TitleChar"/>
    <w:uiPriority w:val="10"/>
    <w:qFormat/>
    <w:rsid w:val="00376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6C2"/>
    <w:pPr>
      <w:spacing w:before="160"/>
      <w:jc w:val="center"/>
    </w:pPr>
    <w:rPr>
      <w:i/>
      <w:iCs/>
      <w:color w:val="404040" w:themeColor="text1" w:themeTint="BF"/>
    </w:rPr>
  </w:style>
  <w:style w:type="character" w:customStyle="1" w:styleId="QuoteChar">
    <w:name w:val="Quote Char"/>
    <w:basedOn w:val="DefaultParagraphFont"/>
    <w:link w:val="Quote"/>
    <w:uiPriority w:val="29"/>
    <w:rsid w:val="003766C2"/>
    <w:rPr>
      <w:i/>
      <w:iCs/>
      <w:color w:val="404040" w:themeColor="text1" w:themeTint="BF"/>
    </w:rPr>
  </w:style>
  <w:style w:type="paragraph" w:styleId="ListParagraph">
    <w:name w:val="List Paragraph"/>
    <w:basedOn w:val="Normal"/>
    <w:uiPriority w:val="34"/>
    <w:qFormat/>
    <w:rsid w:val="003766C2"/>
    <w:pPr>
      <w:ind w:left="720"/>
      <w:contextualSpacing/>
    </w:pPr>
  </w:style>
  <w:style w:type="character" w:styleId="IntenseEmphasis">
    <w:name w:val="Intense Emphasis"/>
    <w:basedOn w:val="DefaultParagraphFont"/>
    <w:uiPriority w:val="21"/>
    <w:qFormat/>
    <w:rsid w:val="003766C2"/>
    <w:rPr>
      <w:i/>
      <w:iCs/>
      <w:color w:val="2F5496" w:themeColor="accent1" w:themeShade="BF"/>
    </w:rPr>
  </w:style>
  <w:style w:type="paragraph" w:styleId="IntenseQuote">
    <w:name w:val="Intense Quote"/>
    <w:basedOn w:val="Normal"/>
    <w:next w:val="Normal"/>
    <w:link w:val="IntenseQuoteChar"/>
    <w:uiPriority w:val="30"/>
    <w:qFormat/>
    <w:rsid w:val="003766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6C2"/>
    <w:rPr>
      <w:i/>
      <w:iCs/>
      <w:color w:val="2F5496" w:themeColor="accent1" w:themeShade="BF"/>
    </w:rPr>
  </w:style>
  <w:style w:type="character" w:styleId="IntenseReference">
    <w:name w:val="Intense Reference"/>
    <w:basedOn w:val="DefaultParagraphFont"/>
    <w:uiPriority w:val="32"/>
    <w:qFormat/>
    <w:rsid w:val="003766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2</Pages>
  <Words>745</Words>
  <Characters>4247</Characters>
  <Application>Microsoft Office Word</Application>
  <DocSecurity>0</DocSecurity>
  <Lines>35</Lines>
  <Paragraphs>9</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Kar</dc:creator>
  <cp:keywords/>
  <dc:description/>
  <cp:lastModifiedBy>Arnab Kar</cp:lastModifiedBy>
  <cp:revision>8</cp:revision>
  <dcterms:created xsi:type="dcterms:W3CDTF">2025-10-28T13:30:00Z</dcterms:created>
  <dcterms:modified xsi:type="dcterms:W3CDTF">2025-10-28T17:53:00Z</dcterms:modified>
</cp:coreProperties>
</file>