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55F6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  <w:t>Name:Akash Dani                                                                              Div:A</w:t>
      </w:r>
    </w:p>
    <w:p w14:paraId="072E2EB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  <w:t>Roll NO: 151                                                                                       Branch:CSEAI</w:t>
      </w:r>
    </w:p>
    <w:tbl>
      <w:tblPr>
        <w:tblStyle w:val="15"/>
        <w:tblpPr w:leftFromText="180" w:rightFromText="180" w:vertAnchor="page" w:horzAnchor="margin" w:tblpXSpec="center" w:tblpY="2161"/>
        <w:tblW w:w="9600" w:type="dxa"/>
        <w:tblInd w:w="0" w:type="dxa"/>
        <w:tblBorders>
          <w:top w:val="single" w:color="B7C9D6" w:sz="6" w:space="0"/>
          <w:left w:val="single" w:color="B7C9D6" w:sz="6" w:space="0"/>
          <w:bottom w:val="single" w:color="B7C9D6" w:sz="6" w:space="0"/>
          <w:right w:val="single" w:color="B7C9D6" w:sz="6" w:space="0"/>
          <w:insideH w:val="single" w:color="B7C9D6" w:sz="6" w:space="0"/>
          <w:insideV w:val="single" w:color="B7C9D6" w:sz="6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730"/>
        <w:gridCol w:w="2340"/>
        <w:gridCol w:w="2250"/>
        <w:gridCol w:w="2280"/>
      </w:tblGrid>
      <w:tr w14:paraId="17C01438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944" w:hRule="atLeast"/>
          <w:tblHeader/>
        </w:trPr>
        <w:tc>
          <w:tcPr>
            <w:shd w:val="clear" w:color="auto" w:fill="2F75B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02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Architecture</w:t>
            </w:r>
          </w:p>
        </w:tc>
        <w:tc>
          <w:tcPr>
            <w:shd w:val="clear" w:color="auto" w:fill="2F75B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03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High-level structure</w:t>
            </w:r>
          </w:p>
        </w:tc>
        <w:tc>
          <w:tcPr>
            <w:shd w:val="clear" w:color="auto" w:fill="2F75B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04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Advantages</w:t>
            </w:r>
          </w:p>
        </w:tc>
        <w:tc>
          <w:tcPr>
            <w:shd w:val="clear" w:color="auto" w:fill="2F75B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05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Limitations</w:t>
            </w:r>
          </w:p>
        </w:tc>
      </w:tr>
      <w:tr w14:paraId="17B2F7B2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956" w:hRule="atLeast"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06">
            <w:pPr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  <w:rtl w:val="0"/>
              </w:rPr>
              <w:t>Architecture A</w:t>
            </w:r>
          </w:p>
          <w:p w14:paraId="00000007">
            <w:pPr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  <w:rtl w:val="0"/>
              </w:rPr>
              <w:t>Microservices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08">
            <w:pPr>
              <w:rPr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1F1F1F"/>
                <w:sz w:val="21"/>
                <w:szCs w:val="21"/>
                <w:rtl w:val="0"/>
              </w:rPr>
              <w:t>Divides an application into multiple small, independently deployable services.</w:t>
            </w:r>
            <w:r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09">
            <w:pPr>
              <w:rPr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1F1F1F"/>
                <w:sz w:val="21"/>
                <w:szCs w:val="21"/>
                <w:rtl w:val="0"/>
              </w:rPr>
              <w:t>It allows individual business capabilities to be independently developed, deployed, and scaled, but it introduces significant distributed-system complexity regarding network communication, data consistency, and failures.</w:t>
            </w:r>
            <w:r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0A">
            <w:pPr>
              <w:rPr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1F1F1F"/>
                <w:sz w:val="21"/>
                <w:szCs w:val="21"/>
                <w:rtl w:val="0"/>
              </w:rPr>
              <w:t xml:space="preserve"> Introduces distributed-system complexity, including network communication, service failures, authentication, data consistency, and monitoring challenges.</w:t>
            </w:r>
            <w:r>
              <w:rPr>
                <w:sz w:val="24"/>
                <w:szCs w:val="24"/>
                <w:rtl w:val="0"/>
              </w:rPr>
              <w:t xml:space="preserve"> </w:t>
            </w:r>
          </w:p>
        </w:tc>
      </w:tr>
      <w:tr w14:paraId="3B7E3FCC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944" w:hRule="atLeast"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0B">
            <w:pPr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  <w:rtl w:val="0"/>
              </w:rPr>
              <w:t>Architecture B</w:t>
            </w:r>
          </w:p>
          <w:p w14:paraId="0000000C">
            <w:pPr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  <w:rtl w:val="0"/>
              </w:rPr>
              <w:t xml:space="preserve">Layered </w:t>
            </w:r>
          </w:p>
          <w:p w14:paraId="0000000D">
            <w:pPr>
              <w:rPr>
                <w:color w:val="1F1F1F"/>
                <w:sz w:val="24"/>
                <w:szCs w:val="24"/>
              </w:rPr>
            </w:pP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0E">
            <w:pPr>
              <w:rPr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1F1F1F"/>
                <w:sz w:val="21"/>
                <w:szCs w:val="21"/>
                <w:rtl w:val="0"/>
              </w:rPr>
              <w:t>Divides the application into a set of layers, where each layer has a specific responsibility</w:t>
            </w:r>
            <w:r>
              <w:rPr>
                <w:color w:val="1F1F1F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0F">
            <w:pPr>
              <w:rPr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1F1F1F"/>
                <w:sz w:val="21"/>
                <w:szCs w:val="21"/>
                <w:rtl w:val="0"/>
              </w:rPr>
              <w:t>It makes responsibilities clear by separating business logic from database access, but it can become unnecessarily complicated if too many layers are introduced or if dependency rules are not strictly maintained.</w:t>
            </w:r>
            <w:r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10">
            <w:pPr>
              <w:rPr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1F1F1F"/>
                <w:sz w:val="21"/>
                <w:szCs w:val="21"/>
                <w:rtl w:val="0"/>
              </w:rPr>
              <w:t>Can become unnecessarily complicated when too many layers are introduced, and responsibilities can become mixed if dependency rules are not strictly maintained.</w:t>
            </w:r>
            <w:r>
              <w:rPr>
                <w:sz w:val="24"/>
                <w:szCs w:val="24"/>
                <w:rtl w:val="0"/>
              </w:rPr>
              <w:t xml:space="preserve"> </w:t>
            </w:r>
          </w:p>
        </w:tc>
      </w:tr>
      <w:tr w14:paraId="7C1CA435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944" w:hRule="atLeast"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11">
            <w:pPr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  <w:rtl w:val="0"/>
              </w:rPr>
              <w:t>Architecture C</w:t>
            </w:r>
          </w:p>
          <w:p w14:paraId="00000012">
            <w:pPr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  <w:rtl w:val="0"/>
              </w:rPr>
              <w:t>Modular Monolithic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13">
            <w:pPr>
              <w:rPr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1F1F1F"/>
                <w:sz w:val="21"/>
                <w:szCs w:val="21"/>
                <w:rtl w:val="0"/>
              </w:rPr>
              <w:t>A single deployable application that is internally divided into well-defined business modules</w:t>
            </w:r>
            <w:r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14">
            <w:pPr>
              <w:rPr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1F1F1F"/>
                <w:sz w:val="24"/>
                <w:szCs w:val="24"/>
                <w:rtl w:val="0"/>
              </w:rPr>
              <w:t>It maintains the simpler deployment of a single application while organizing internal code into clear business modules, though poorly maintained boundaries can gradually create tight coupling</w:t>
            </w:r>
            <w:r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15">
            <w:pPr>
              <w:rPr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1F1F1F"/>
                <w:sz w:val="21"/>
                <w:szCs w:val="21"/>
                <w:rtl w:val="0"/>
              </w:rPr>
              <w:t>Poorly maintained boundaries can gradually reintroduce tight coupling between modules within the single application.</w:t>
            </w:r>
            <w:r>
              <w:rPr>
                <w:sz w:val="24"/>
                <w:szCs w:val="24"/>
                <w:rtl w:val="0"/>
              </w:rPr>
              <w:t xml:space="preserve"> </w:t>
            </w:r>
          </w:p>
        </w:tc>
      </w:tr>
    </w:tbl>
    <w:p w14:paraId="00000016">
      <w:r>
        <w:rPr>
          <w:rtl w:val="0"/>
        </w:rPr>
        <w:t xml:space="preserve">PART-A </w:t>
      </w:r>
    </w:p>
    <w:p w14:paraId="00000017"/>
    <w:p w14:paraId="00000018"/>
    <w:tbl>
      <w:tblPr>
        <w:tblStyle w:val="16"/>
        <w:tblW w:w="9774" w:type="dxa"/>
        <w:jc w:val="center"/>
        <w:tblBorders>
          <w:top w:val="single" w:color="B7C9D6" w:sz="6" w:space="0"/>
          <w:left w:val="single" w:color="B7C9D6" w:sz="6" w:space="0"/>
          <w:bottom w:val="single" w:color="B7C9D6" w:sz="6" w:space="0"/>
          <w:right w:val="single" w:color="B7C9D6" w:sz="6" w:space="0"/>
          <w:insideH w:val="single" w:color="B7C9D6" w:sz="6" w:space="0"/>
          <w:insideV w:val="single" w:color="B7C9D6" w:sz="6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777"/>
        <w:gridCol w:w="1999"/>
        <w:gridCol w:w="1999"/>
        <w:gridCol w:w="1999"/>
      </w:tblGrid>
      <w:tr w14:paraId="7DAAE9AC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530" w:hRule="atLeast"/>
          <w:tblHeader/>
          <w:jc w:val="center"/>
        </w:trPr>
        <w:tc>
          <w:tcPr>
            <w:shd w:val="clear" w:color="auto" w:fill="5B4AB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19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Criterion</w:t>
            </w:r>
          </w:p>
        </w:tc>
        <w:tc>
          <w:tcPr>
            <w:shd w:val="clear" w:color="auto" w:fill="5B4AB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1A">
            <w:pPr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Architecture A</w:t>
            </w:r>
          </w:p>
          <w:p w14:paraId="0000001B">
            <w:pPr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Microservices</w:t>
            </w:r>
          </w:p>
        </w:tc>
        <w:tc>
          <w:tcPr>
            <w:shd w:val="clear" w:color="auto" w:fill="5B4AB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1C">
            <w:pPr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Architecture B</w:t>
            </w:r>
          </w:p>
          <w:p w14:paraId="0000001D">
            <w:pPr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Layered</w:t>
            </w:r>
          </w:p>
        </w:tc>
        <w:tc>
          <w:tcPr>
            <w:shd w:val="clear" w:color="auto" w:fill="5B4AB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1E">
            <w:pPr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Architecture C</w:t>
            </w:r>
          </w:p>
          <w:p w14:paraId="0000001F">
            <w:pPr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Modular Monolithic</w:t>
            </w:r>
          </w:p>
        </w:tc>
      </w:tr>
      <w:tr w14:paraId="588D7BC7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540" w:hRule="atLeast"/>
          <w:jc w:val="center"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20">
            <w:pPr>
              <w:rPr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  <w:rtl w:val="0"/>
              </w:rPr>
              <w:t>Maintainability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21">
            <w:pPr>
              <w:rPr>
                <w:sz w:val="24"/>
                <w:szCs w:val="24"/>
              </w:rPr>
            </w:pPr>
            <w:r>
              <w:rPr>
                <w:sz w:val="18"/>
                <w:szCs w:val="18"/>
                <w:rtl w:val="0"/>
              </w:rPr>
              <w:t>High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22">
            <w:pPr>
              <w:rPr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  <w:rtl w:val="0"/>
              </w:rPr>
              <w:t xml:space="preserve"> Medium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23">
            <w:pPr>
              <w:rPr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  <w:rtl w:val="0"/>
              </w:rPr>
              <w:t>High</w:t>
            </w:r>
          </w:p>
        </w:tc>
      </w:tr>
      <w:tr w14:paraId="6CD5D6DD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530" w:hRule="atLeast"/>
          <w:jc w:val="center"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24">
            <w:pPr>
              <w:rPr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  <w:rtl w:val="0"/>
              </w:rPr>
              <w:t>Scalability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High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Medium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Medium</w:t>
            </w:r>
          </w:p>
        </w:tc>
      </w:tr>
      <w:tr w14:paraId="6DB3651E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540" w:hRule="atLeast"/>
          <w:jc w:val="center"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28">
            <w:pPr>
              <w:rPr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  <w:rtl w:val="0"/>
              </w:rPr>
              <w:t>Ease of testing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Medium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Medium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2B">
            <w:pPr>
              <w:rPr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  <w:rtl w:val="0"/>
              </w:rPr>
              <w:t>High</w:t>
            </w:r>
          </w:p>
        </w:tc>
      </w:tr>
      <w:tr w14:paraId="562C00E3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530" w:hRule="atLeast"/>
          <w:jc w:val="center"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2C">
            <w:pPr>
              <w:rPr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  <w:rtl w:val="0"/>
              </w:rPr>
              <w:t>Database access control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High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Low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Medium</w:t>
            </w:r>
          </w:p>
        </w:tc>
      </w:tr>
      <w:tr w14:paraId="16613ABE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540" w:hRule="atLeast"/>
          <w:jc w:val="center"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30">
            <w:pPr>
              <w:rPr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  <w:rtl w:val="0"/>
              </w:rPr>
              <w:t>Authentication placement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31">
            <w:pPr>
              <w:rPr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  <w:rtl w:val="0"/>
              </w:rPr>
              <w:t>High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32">
            <w:pPr>
              <w:rPr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  <w:rtl w:val="0"/>
              </w:rPr>
              <w:t>Medium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33">
            <w:pPr>
              <w:rPr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  <w:rtl w:val="0"/>
              </w:rPr>
              <w:t>Medium</w:t>
            </w:r>
          </w:p>
        </w:tc>
      </w:tr>
      <w:tr w14:paraId="73304964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530" w:hRule="atLeast"/>
          <w:jc w:val="center"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34">
            <w:pPr>
              <w:rPr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  <w:rtl w:val="0"/>
              </w:rPr>
              <w:t>Suitability for FinPay requirements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High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Medium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High</w:t>
            </w:r>
          </w:p>
        </w:tc>
      </w:tr>
      <w:tr w14:paraId="65F23EDF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865" w:hRule="atLeast"/>
          <w:jc w:val="center"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38">
            <w:pPr>
              <w:rPr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  <w:rtl w:val="0"/>
              </w:rPr>
              <w:t>Implementation complexity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3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High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Low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Medium</w:t>
            </w:r>
          </w:p>
        </w:tc>
      </w:tr>
    </w:tbl>
    <w:p w14:paraId="0000003C"/>
    <w:p w14:paraId="0000003D"/>
    <w:p w14:paraId="0000003E"/>
    <w:p w14:paraId="0000003F"/>
    <w:p w14:paraId="00000040"/>
    <w:tbl>
      <w:tblPr>
        <w:tblStyle w:val="17"/>
        <w:tblW w:w="9902" w:type="dxa"/>
        <w:jc w:val="center"/>
        <w:tblBorders>
          <w:top w:val="single" w:color="B7C9D6" w:sz="6" w:space="0"/>
          <w:left w:val="single" w:color="B7C9D6" w:sz="6" w:space="0"/>
          <w:bottom w:val="single" w:color="B7C9D6" w:sz="6" w:space="0"/>
          <w:right w:val="single" w:color="B7C9D6" w:sz="6" w:space="0"/>
          <w:insideH w:val="single" w:color="B7C9D6" w:sz="6" w:space="0"/>
          <w:insideV w:val="single" w:color="B7C9D6" w:sz="6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838"/>
        <w:gridCol w:w="2592"/>
        <w:gridCol w:w="1800"/>
        <w:gridCol w:w="3672"/>
      </w:tblGrid>
      <w:tr w14:paraId="719EA5A3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  <w:jc w:val="center"/>
        </w:trPr>
        <w:tc>
          <w:tcPr>
            <w:shd w:val="clear" w:color="auto" w:fill="167C8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4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Architecture</w:t>
            </w:r>
          </w:p>
        </w:tc>
        <w:tc>
          <w:tcPr>
            <w:shd w:val="clear" w:color="auto" w:fill="167C8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42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Why it was considered</w:t>
            </w:r>
          </w:p>
        </w:tc>
        <w:tc>
          <w:tcPr>
            <w:shd w:val="clear" w:color="auto" w:fill="167C8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43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Selected / Not selected</w:t>
            </w:r>
          </w:p>
        </w:tc>
        <w:tc>
          <w:tcPr>
            <w:shd w:val="clear" w:color="auto" w:fill="167C8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44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Reason or limitation for FinPay</w:t>
            </w:r>
          </w:p>
        </w:tc>
      </w:tr>
      <w:tr w14:paraId="63952340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jc w:val="center"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45">
            <w:pPr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  <w:rtl w:val="0"/>
              </w:rPr>
              <w:t>Architecture A</w:t>
            </w:r>
          </w:p>
          <w:p w14:paraId="0000004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>Microservices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47">
            <w:pPr>
              <w:rPr>
                <w:sz w:val="26"/>
                <w:szCs w:val="26"/>
              </w:rPr>
            </w:pPr>
            <w:r>
              <w:rPr>
                <w:rFonts w:ascii="Roboto" w:hAnsi="Roboto" w:eastAsia="Roboto" w:cs="Roboto"/>
                <w:color w:val="1F1F1F"/>
                <w:rtl w:val="0"/>
              </w:rPr>
              <w:t>Splits the system into independently deployable services (Wallet Service, Payment Service, etc.).</w:t>
            </w:r>
            <w:r>
              <w:rPr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Selected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49">
            <w:pPr>
              <w:rPr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1F1F1F"/>
                <w:rtl w:val="0"/>
              </w:rPr>
              <w:t>Introduces distributed-system complexity, including network communication, service failures, and data consistency.</w:t>
            </w:r>
            <w:r>
              <w:rPr>
                <w:sz w:val="24"/>
                <w:szCs w:val="24"/>
                <w:rtl w:val="0"/>
              </w:rPr>
              <w:t xml:space="preserve"> </w:t>
            </w:r>
          </w:p>
        </w:tc>
      </w:tr>
      <w:tr w14:paraId="716ABC1D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jc w:val="center"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4A">
            <w:pPr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  <w:rtl w:val="0"/>
              </w:rPr>
              <w:t>Architecture B</w:t>
            </w:r>
          </w:p>
          <w:p w14:paraId="0000004B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  <w:rtl w:val="0"/>
              </w:rPr>
              <w:t xml:space="preserve">Layered </w:t>
            </w:r>
          </w:p>
          <w:p w14:paraId="0000004C">
            <w:pPr>
              <w:rPr>
                <w:color w:val="1F1F1F"/>
                <w:sz w:val="24"/>
                <w:szCs w:val="24"/>
              </w:rPr>
            </w:pP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4D">
            <w:pPr>
              <w:rPr>
                <w:sz w:val="24"/>
                <w:szCs w:val="24"/>
              </w:rPr>
            </w:pPr>
            <w:r>
              <w:rPr>
                <w:rFonts w:ascii="Nova Mono" w:hAnsi="Nova Mono" w:eastAsia="Nova Mono" w:cs="Nova Mono"/>
                <w:color w:val="1F1F1F"/>
                <w:rtl w:val="0"/>
              </w:rPr>
              <w:t>Organizes code into responsibility-based layers (Router → Service → Repository → Model → Database).</w:t>
            </w:r>
            <w:r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4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Not Selected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4F">
            <w:pPr>
              <w:rPr>
                <w:sz w:val="26"/>
                <w:szCs w:val="26"/>
              </w:rPr>
            </w:pPr>
            <w:r>
              <w:rPr>
                <w:rFonts w:ascii="Roboto" w:hAnsi="Roboto" w:eastAsia="Roboto" w:cs="Roboto"/>
                <w:color w:val="1F1F1F"/>
                <w:rtl w:val="0"/>
              </w:rPr>
              <w:t>Can become unnecessarily complicated with too many layers; responsibilities mix if dependency rules aren't maintained.</w:t>
            </w:r>
            <w:r>
              <w:rPr>
                <w:sz w:val="26"/>
                <w:szCs w:val="26"/>
                <w:rtl w:val="0"/>
              </w:rPr>
              <w:t xml:space="preserve"> </w:t>
            </w:r>
          </w:p>
        </w:tc>
      </w:tr>
      <w:tr w14:paraId="31819AD2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jc w:val="center"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50">
            <w:pPr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  <w:rtl w:val="0"/>
              </w:rPr>
              <w:t>Architecture C</w:t>
            </w:r>
          </w:p>
          <w:p w14:paraId="00000051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  <w:rtl w:val="0"/>
              </w:rPr>
              <w:t>Modular Monolithic</w:t>
            </w:r>
          </w:p>
          <w:p w14:paraId="00000052">
            <w:pPr>
              <w:rPr>
                <w:color w:val="1F1F1F"/>
                <w:sz w:val="24"/>
                <w:szCs w:val="24"/>
              </w:rPr>
            </w:pP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53">
            <w:pPr>
              <w:rPr>
                <w:sz w:val="26"/>
                <w:szCs w:val="26"/>
              </w:rPr>
            </w:pPr>
            <w:r>
              <w:rPr>
                <w:rFonts w:ascii="Roboto" w:hAnsi="Roboto" w:eastAsia="Roboto" w:cs="Roboto"/>
                <w:color w:val="1F1F1F"/>
                <w:rtl w:val="0"/>
              </w:rPr>
              <w:t>Organizes a single deployable application into well-defined business modules (Wallet, Payment, etc.).</w:t>
            </w:r>
            <w:r>
              <w:rPr>
                <w:sz w:val="28"/>
                <w:szCs w:val="28"/>
                <w:rtl w:val="0"/>
              </w:rPr>
              <w:t xml:space="preserve"> </w:t>
            </w:r>
            <w:r>
              <w:rPr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Not Selected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55">
            <w:pPr>
              <w:rPr>
                <w:sz w:val="26"/>
                <w:szCs w:val="26"/>
              </w:rPr>
            </w:pPr>
            <w:r>
              <w:rPr>
                <w:rFonts w:ascii="Roboto" w:hAnsi="Roboto" w:eastAsia="Roboto" w:cs="Roboto"/>
                <w:color w:val="1F1F1F"/>
                <w:rtl w:val="0"/>
              </w:rPr>
              <w:t>Keeps deployment simple while establishing clear boundaries, though poorly maintained boundaries can cause tight coupling.</w:t>
            </w:r>
            <w:r>
              <w:rPr>
                <w:sz w:val="26"/>
                <w:szCs w:val="26"/>
                <w:rtl w:val="0"/>
              </w:rPr>
              <w:t xml:space="preserve"> </w:t>
            </w:r>
          </w:p>
        </w:tc>
      </w:tr>
    </w:tbl>
    <w:p w14:paraId="00000056"/>
    <w:p w14:paraId="00000057">
      <w:r>
        <w:rPr>
          <w:rtl w:val="0"/>
        </w:rPr>
        <w:t>PART-B</w:t>
      </w:r>
    </w:p>
    <w:p w14:paraId="1DBAC819">
      <w:pPr>
        <w:rPr>
          <w:rFonts w:hint="default"/>
          <w:rtl w:val="0"/>
        </w:rPr>
      </w:pPr>
      <w:r>
        <w:rPr>
          <w:rFonts w:hint="default"/>
          <w:rtl w:val="0"/>
        </w:rPr>
        <w:t>ARCHITECTURE PROMPT — FinPay Campus Wallet System (Modular Monolith)</w:t>
      </w:r>
    </w:p>
    <w:p w14:paraId="3DF6E466">
      <w:pPr>
        <w:rPr>
          <w:rFonts w:hint="default"/>
          <w:rtl w:val="0"/>
        </w:rPr>
      </w:pPr>
    </w:p>
    <w:p w14:paraId="4FD15465">
      <w:pPr>
        <w:rPr>
          <w:rFonts w:hint="default"/>
          <w:rtl w:val="0"/>
        </w:rPr>
      </w:pPr>
      <w:r>
        <w:rPr>
          <w:rFonts w:hint="default"/>
          <w:rtl w:val="0"/>
        </w:rPr>
        <w:t>You are a software architect. Design the server-side architecture for FinPay using the six-element specification below. Follow all six elements exactly.</w:t>
      </w:r>
    </w:p>
    <w:p w14:paraId="4EFD2738">
      <w:pPr>
        <w:rPr>
          <w:rFonts w:hint="default"/>
          <w:rtl w:val="0"/>
        </w:rPr>
      </w:pPr>
    </w:p>
    <w:p w14:paraId="439568EE">
      <w:pPr>
        <w:rPr>
          <w:rFonts w:hint="default"/>
          <w:rtl w:val="0"/>
        </w:rPr>
      </w:pPr>
      <w:r>
        <w:rPr>
          <w:rFonts w:hint="default"/>
          <w:rtl w:val="0"/>
        </w:rPr>
        <w:t>[ELEMENT 1 — SYSTEM SCOPE AND TECHNOLOGY STACK]</w:t>
      </w:r>
    </w:p>
    <w:p w14:paraId="2319834C">
      <w:pPr>
        <w:rPr>
          <w:rFonts w:hint="default"/>
          <w:rtl w:val="0"/>
        </w:rPr>
      </w:pPr>
      <w:r>
        <w:rPr>
          <w:rFonts w:hint="default"/>
          <w:rtl w:val="0"/>
        </w:rPr>
        <w:t>FinPay campus wallet platform managing student wallets, payment transactions, cashback calculation, merchant management, monthly reconciliation, and authenticated access. Implement as a Modular Monolith inside a single deployable application using Python 3.11+, FastAPI, SQLAlchemy 2.x, Pydantic v2, Alembic, and a single PostgreSQL database with ACID transaction support. Authentication uses JWT with python-jose.</w:t>
      </w:r>
    </w:p>
    <w:p w14:paraId="09E790F3">
      <w:pPr>
        <w:rPr>
          <w:rFonts w:hint="default"/>
          <w:rtl w:val="0"/>
        </w:rPr>
      </w:pPr>
    </w:p>
    <w:p w14:paraId="1935B51F">
      <w:pPr>
        <w:rPr>
          <w:rFonts w:hint="default"/>
          <w:rtl w:val="0"/>
        </w:rPr>
      </w:pPr>
      <w:r>
        <w:rPr>
          <w:rFonts w:hint="default"/>
          <w:rtl w:val="0"/>
        </w:rPr>
        <w:t>[ELEMENT 2 — LAYER AND MODULE STRUCTURE]</w:t>
      </w:r>
    </w:p>
    <w:p w14:paraId="5F7A34A8">
      <w:pPr>
        <w:rPr>
          <w:rFonts w:hint="default"/>
          <w:rtl w:val="0"/>
        </w:rPr>
      </w:pPr>
      <w:r>
        <w:rPr>
          <w:rFonts w:hint="default"/>
          <w:rtl w:val="0"/>
        </w:rPr>
        <w:t>Organize the application by high-cohesion business modules (bounded contexts), not technical layers:</w:t>
      </w:r>
    </w:p>
    <w:p w14:paraId="37B0A8FD">
      <w:pPr>
        <w:rPr>
          <w:rFonts w:hint="default"/>
          <w:rtl w:val="0"/>
        </w:rPr>
      </w:pPr>
      <w:r>
        <w:rPr>
          <w:rFonts w:hint="default"/>
          <w:rtl w:val="0"/>
        </w:rPr>
        <w:t>* modules/auth/ — User identity, credential verification, and RBAC token generation.</w:t>
      </w:r>
    </w:p>
    <w:p w14:paraId="5FE1A52B">
      <w:pPr>
        <w:rPr>
          <w:rFonts w:hint="default"/>
          <w:rtl w:val="0"/>
        </w:rPr>
      </w:pPr>
      <w:r>
        <w:rPr>
          <w:rFonts w:hint="default"/>
          <w:rtl w:val="0"/>
        </w:rPr>
        <w:t>* modules/wallet/ — Student wallet state, balance calculation, and immutable double-entry ledger persistence.</w:t>
      </w:r>
    </w:p>
    <w:p w14:paraId="48B26592">
      <w:pPr>
        <w:rPr>
          <w:rFonts w:hint="default"/>
          <w:rtl w:val="0"/>
        </w:rPr>
      </w:pPr>
      <w:r>
        <w:rPr>
          <w:rFonts w:hint="default"/>
          <w:rtl w:val="0"/>
        </w:rPr>
        <w:t>* modules/transaction/ — Payment orchestration, checkout lifecycle, and idempotency guarantees.</w:t>
      </w:r>
    </w:p>
    <w:p w14:paraId="1076232E">
      <w:pPr>
        <w:rPr>
          <w:rFonts w:hint="default"/>
          <w:rtl w:val="0"/>
        </w:rPr>
      </w:pPr>
      <w:r>
        <w:rPr>
          <w:rFonts w:hint="default"/>
          <w:rtl w:val="0"/>
        </w:rPr>
        <w:t>* modules/merchant/ — Merchant profiles, outlets, and campus merchant category taxonomy.</w:t>
      </w:r>
    </w:p>
    <w:p w14:paraId="38345F4E">
      <w:pPr>
        <w:rPr>
          <w:rFonts w:hint="default"/>
          <w:rtl w:val="0"/>
        </w:rPr>
      </w:pPr>
      <w:r>
        <w:rPr>
          <w:rFonts w:hint="default"/>
          <w:rtl w:val="0"/>
        </w:rPr>
        <w:t>* modules/cashback/ — Discount/promotional rule evaluation and cashback calculation.</w:t>
      </w:r>
    </w:p>
    <w:p w14:paraId="1AE89E14">
      <w:pPr>
        <w:rPr>
          <w:rFonts w:hint="default"/>
          <w:rtl w:val="0"/>
        </w:rPr>
      </w:pPr>
      <w:r>
        <w:rPr>
          <w:rFonts w:hint="default"/>
          <w:rtl w:val="0"/>
        </w:rPr>
        <w:t>* modules/reconciliation/ — Monthly audit verification, discrepancy checks, and settlement reporting.</w:t>
      </w:r>
    </w:p>
    <w:p w14:paraId="4DF72A5A">
      <w:pPr>
        <w:rPr>
          <w:rFonts w:hint="default"/>
          <w:rtl w:val="0"/>
        </w:rPr>
      </w:pPr>
      <w:r>
        <w:rPr>
          <w:rFonts w:hint="default"/>
          <w:rtl w:val="0"/>
        </w:rPr>
        <w:t>* core/ (or shared/) — Cross-cutting database session managers, money value objects, and base DTOs.</w:t>
      </w:r>
    </w:p>
    <w:p w14:paraId="5407D8A6">
      <w:pPr>
        <w:rPr>
          <w:rFonts w:hint="default"/>
          <w:rtl w:val="0"/>
        </w:rPr>
      </w:pPr>
    </w:p>
    <w:p w14:paraId="57254B75">
      <w:pPr>
        <w:rPr>
          <w:rFonts w:hint="default"/>
          <w:rtl w:val="0"/>
        </w:rPr>
      </w:pPr>
      <w:r>
        <w:rPr>
          <w:rFonts w:hint="default"/>
          <w:rtl w:val="0"/>
        </w:rPr>
        <w:t>Each module encapsulates its own internal router, service/domain logic, repositories, and SQLAlchemy models.</w:t>
      </w:r>
    </w:p>
    <w:p w14:paraId="3C5FD472">
      <w:pPr>
        <w:rPr>
          <w:rFonts w:hint="default"/>
          <w:rtl w:val="0"/>
        </w:rPr>
      </w:pPr>
    </w:p>
    <w:p w14:paraId="7C1E4C7B">
      <w:pPr>
        <w:rPr>
          <w:rFonts w:hint="default"/>
          <w:rtl w:val="0"/>
        </w:rPr>
      </w:pPr>
      <w:r>
        <w:rPr>
          <w:rFonts w:hint="default"/>
          <w:rtl w:val="0"/>
        </w:rPr>
        <w:t>[ELEMENT 3 — MODULE ACCESS AND COMMUNICATION RULES]</w:t>
      </w:r>
    </w:p>
    <w:p w14:paraId="2755CDAC">
      <w:pPr>
        <w:rPr>
          <w:rFonts w:hint="default"/>
          <w:rtl w:val="0"/>
        </w:rPr>
      </w:pPr>
      <w:r>
        <w:rPr>
          <w:rFonts w:hint="default"/>
          <w:rtl w:val="0"/>
        </w:rPr>
        <w:t>* Modules communicate via explicitly declared public interfaces/facades or in-process domain events, never via direct access to another module's internal private models, repositories, or raw database tables.</w:t>
      </w:r>
    </w:p>
    <w:p w14:paraId="490EBFFB">
      <w:pPr>
        <w:rPr>
          <w:rFonts w:hint="default"/>
          <w:rtl w:val="0"/>
        </w:rPr>
      </w:pPr>
      <w:r>
        <w:rPr>
          <w:rFonts w:hint="default"/>
          <w:rtl w:val="0"/>
        </w:rPr>
        <w:t>* Atomic multi-module operations (such as payment debit, merchant credit, and inline cashback) must be orchestrated within a single database ACID transaction boundary using row-level locking (SELECT ... FOR UPDATE).</w:t>
      </w:r>
    </w:p>
    <w:p w14:paraId="2E2955C8">
      <w:pPr>
        <w:rPr>
          <w:rFonts w:hint="default"/>
          <w:rtl w:val="0"/>
        </w:rPr>
      </w:pPr>
      <w:r>
        <w:rPr>
          <w:rFonts w:hint="default"/>
          <w:rtl w:val="0"/>
        </w:rPr>
        <w:t>* Strict unidirectional dependencies: Domain modules must not form circular import dependencies.</w:t>
      </w:r>
    </w:p>
    <w:p w14:paraId="3F01F008">
      <w:pPr>
        <w:rPr>
          <w:rFonts w:hint="default"/>
          <w:rtl w:val="0"/>
        </w:rPr>
      </w:pPr>
    </w:p>
    <w:p w14:paraId="04B4307F">
      <w:pPr>
        <w:rPr>
          <w:rFonts w:hint="default"/>
          <w:rtl w:val="0"/>
        </w:rPr>
      </w:pPr>
      <w:r>
        <w:rPr>
          <w:rFonts w:hint="default"/>
          <w:rtl w:val="0"/>
        </w:rPr>
        <w:t>[ELEMENT 4 — CROSS-CUTTING CONCERNS]</w:t>
      </w:r>
    </w:p>
    <w:p w14:paraId="478A3332">
      <w:pPr>
        <w:rPr>
          <w:rFonts w:hint="default"/>
          <w:rtl w:val="0"/>
        </w:rPr>
      </w:pPr>
      <w:r>
        <w:rPr>
          <w:rFonts w:hint="default"/>
          <w:rtl w:val="0"/>
        </w:rPr>
        <w:t>* Shared JWT authentication dependency injects a validated SecurityContext containing user role claims (STUDENT, MERCHANT, ADMIN, AUDITOR).</w:t>
      </w:r>
    </w:p>
    <w:p w14:paraId="7B4CF971">
      <w:pPr>
        <w:rPr>
          <w:rFonts w:hint="default"/>
          <w:rtl w:val="0"/>
        </w:rPr>
      </w:pPr>
      <w:r>
        <w:rPr>
          <w:rFonts w:hint="default"/>
          <w:rtl w:val="0"/>
        </w:rPr>
        <w:t>* Global exception handling maps internal module domain errors (InsufficientFundsError, IdempotencyConflictError, MerchantInactiveError) to HTTP status codes.</w:t>
      </w:r>
    </w:p>
    <w:p w14:paraId="67867CDE">
      <w:pPr>
        <w:rPr>
          <w:rFonts w:hint="default"/>
          <w:rtl w:val="0"/>
        </w:rPr>
      </w:pPr>
      <w:r>
        <w:rPr>
          <w:rFonts w:hint="default"/>
          <w:rtl w:val="0"/>
        </w:rPr>
        <w:t>* All external API communication uses strict Pydantic v2 schemas for request and response contracts.</w:t>
      </w:r>
    </w:p>
    <w:p w14:paraId="0B97CE1F">
      <w:pPr>
        <w:rPr>
          <w:rFonts w:hint="default"/>
          <w:rtl w:val="0"/>
        </w:rPr>
      </w:pPr>
      <w:r>
        <w:rPr>
          <w:rFonts w:hint="default"/>
          <w:rtl w:val="0"/>
        </w:rPr>
        <w:t>* Mandatory idempotency keys on payment operations to avoid duplicate charges.</w:t>
      </w:r>
    </w:p>
    <w:p w14:paraId="5CF28395">
      <w:pPr>
        <w:rPr>
          <w:rFonts w:hint="default"/>
          <w:rtl w:val="0"/>
        </w:rPr>
      </w:pPr>
    </w:p>
    <w:p w14:paraId="171443E2">
      <w:pPr>
        <w:rPr>
          <w:rFonts w:hint="default"/>
          <w:rtl w:val="0"/>
        </w:rPr>
      </w:pPr>
      <w:r>
        <w:rPr>
          <w:rFonts w:hint="default"/>
          <w:rtl w:val="0"/>
        </w:rPr>
        <w:t>[ELEMENT 5 — KEY ENTITY AND MODULE PLACEMENT]</w:t>
      </w:r>
    </w:p>
    <w:p w14:paraId="41324B9F">
      <w:pPr>
        <w:rPr>
          <w:rFonts w:hint="default"/>
          <w:rtl w:val="0"/>
        </w:rPr>
      </w:pPr>
      <w:r>
        <w:rPr>
          <w:rFonts w:hint="default"/>
          <w:rtl w:val="0"/>
        </w:rPr>
        <w:t>* modules/auth/: User entity, AuthService, AuthRouter.</w:t>
      </w:r>
    </w:p>
    <w:p w14:paraId="5E91D6E7">
      <w:pPr>
        <w:rPr>
          <w:rFonts w:hint="default"/>
          <w:rtl w:val="0"/>
        </w:rPr>
      </w:pPr>
      <w:r>
        <w:rPr>
          <w:rFonts w:hint="default"/>
          <w:rtl w:val="0"/>
        </w:rPr>
        <w:t>* modules/wallet/: Wallet entity, LedgerEntry entity, WalletService, WalletRepository.</w:t>
      </w:r>
    </w:p>
    <w:p w14:paraId="46423903">
      <w:pPr>
        <w:rPr>
          <w:rFonts w:hint="default"/>
          <w:rtl w:val="0"/>
        </w:rPr>
      </w:pPr>
      <w:r>
        <w:rPr>
          <w:rFonts w:hint="default"/>
          <w:rtl w:val="0"/>
        </w:rPr>
        <w:t>* modules/transaction/: Transaction entity, TransactionService, TransactionRouter.</w:t>
      </w:r>
    </w:p>
    <w:p w14:paraId="16B17406">
      <w:pPr>
        <w:rPr>
          <w:rFonts w:hint="default"/>
          <w:rtl w:val="0"/>
        </w:rPr>
      </w:pPr>
      <w:r>
        <w:rPr>
          <w:rFonts w:hint="default"/>
          <w:rtl w:val="0"/>
        </w:rPr>
        <w:t>* modules/merchant/: Merchant entity, MerchantCategory entity, MerchantService.</w:t>
      </w:r>
    </w:p>
    <w:p w14:paraId="46C954C0">
      <w:pPr>
        <w:rPr>
          <w:rFonts w:hint="default"/>
          <w:rtl w:val="0"/>
        </w:rPr>
      </w:pPr>
      <w:r>
        <w:rPr>
          <w:rFonts w:hint="default"/>
          <w:rtl w:val="0"/>
        </w:rPr>
        <w:t>* modules/cashback/: CashbackRule entity, CashbackRecord entity, CashbackService.</w:t>
      </w:r>
    </w:p>
    <w:p w14:paraId="3B9DCC42">
      <w:pPr>
        <w:rPr>
          <w:rFonts w:hint="default"/>
          <w:rtl w:val="0"/>
        </w:rPr>
      </w:pPr>
      <w:r>
        <w:rPr>
          <w:rFonts w:hint="default"/>
          <w:rtl w:val="0"/>
        </w:rPr>
        <w:t>* modules/reconciliation/: MonthlyReconciliation entity, ReconciliationService, ReconciliationRouter.</w:t>
      </w:r>
    </w:p>
    <w:p w14:paraId="222C27E2">
      <w:pPr>
        <w:rPr>
          <w:rFonts w:hint="default"/>
          <w:rtl w:val="0"/>
        </w:rPr>
      </w:pPr>
    </w:p>
    <w:p w14:paraId="38F4E40E">
      <w:pPr>
        <w:rPr>
          <w:rFonts w:hint="default"/>
          <w:rtl w:val="0"/>
        </w:rPr>
      </w:pPr>
      <w:r>
        <w:rPr>
          <w:rFonts w:hint="default"/>
          <w:rtl w:val="0"/>
        </w:rPr>
        <w:t>[ELEMENT 6 — EXPLICIT EXCLUSIONS]</w:t>
      </w:r>
    </w:p>
    <w:p w14:paraId="3C44456E">
      <w:pPr>
        <w:rPr>
          <w:rFonts w:hint="default"/>
          <w:rtl w:val="0"/>
        </w:rPr>
      </w:pPr>
      <w:r>
        <w:rPr>
          <w:rFonts w:hint="default"/>
          <w:rtl w:val="0"/>
        </w:rPr>
        <w:t>* Do not divide the application into separate microservices or independent network services.</w:t>
      </w:r>
    </w:p>
    <w:p w14:paraId="534F22D7">
      <w:pPr>
        <w:rPr>
          <w:rFonts w:hint="default"/>
          <w:rtl w:val="0"/>
        </w:rPr>
      </w:pPr>
      <w:r>
        <w:rPr>
          <w:rFonts w:hint="default"/>
          <w:rtl w:val="0"/>
        </w:rPr>
        <w:t>* Do not allow modules to directly query or write to tables owned by other modules.</w:t>
      </w:r>
    </w:p>
    <w:p w14:paraId="6FA11399">
      <w:pPr>
        <w:rPr>
          <w:rFonts w:hint="default"/>
          <w:rtl w:val="0"/>
        </w:rPr>
      </w:pPr>
      <w:r>
        <w:rPr>
          <w:rFonts w:hint="default"/>
          <w:rtl w:val="0"/>
        </w:rPr>
        <w:t>* Do not perform balance modifications outside the double-entry ledger logic in modules/wallet/.</w:t>
      </w:r>
    </w:p>
    <w:p w14:paraId="46512543">
      <w:pPr>
        <w:rPr>
          <w:rFonts w:hint="default"/>
          <w:rtl w:val="0"/>
        </w:rPr>
      </w:pPr>
      <w:r>
        <w:rPr>
          <w:rFonts w:hint="default"/>
          <w:rtl w:val="0"/>
        </w:rPr>
        <w:t>* Do not evaluate cashback rules outside modules/cashback/.</w:t>
      </w:r>
    </w:p>
    <w:p w14:paraId="2AFC2CAC">
      <w:pPr>
        <w:rPr>
          <w:rFonts w:hint="default"/>
          <w:rtl w:val="0"/>
        </w:rPr>
      </w:pPr>
      <w:r>
        <w:rPr>
          <w:rFonts w:hint="default"/>
          <w:rtl w:val="0"/>
        </w:rPr>
        <w:t>* Do not expose database models directly across module boundaries; use DTOs/interfaces.</w:t>
      </w:r>
    </w:p>
    <w:p w14:paraId="1A894F58">
      <w:pPr>
        <w:rPr>
          <w:rFonts w:hint="default"/>
          <w:rtl w:val="0"/>
        </w:rPr>
      </w:pPr>
      <w:r>
        <w:rPr>
          <w:rFonts w:hint="default"/>
          <w:rtl w:val="0"/>
        </w:rPr>
        <w:t>* Do not bypass atomic database transactions during payment settlement.</w:t>
      </w:r>
    </w:p>
    <w:p w14:paraId="4A3E42AA">
      <w:pPr>
        <w:rPr>
          <w:rFonts w:hint="default"/>
          <w:rtl w:val="0"/>
        </w:rPr>
      </w:pPr>
    </w:p>
    <w:p w14:paraId="2D94F098">
      <w:pPr>
        <w:rPr>
          <w:rFonts w:hint="default"/>
          <w:rtl w:val="0"/>
        </w:rPr>
      </w:pPr>
      <w:r>
        <w:rPr>
          <w:rFonts w:hint="default"/>
          <w:rtl w:val="0"/>
        </w:rPr>
        <w:t>Generate ONLY:</w:t>
      </w:r>
    </w:p>
    <w:p w14:paraId="7F1D574A">
      <w:pPr>
        <w:rPr>
          <w:rFonts w:hint="default"/>
          <w:rtl w:val="0"/>
        </w:rPr>
      </w:pPr>
      <w:r>
        <w:rPr>
          <w:rFonts w:hint="default"/>
          <w:rtl w:val="0"/>
        </w:rPr>
        <w:t>1. Architecture style</w:t>
      </w:r>
    </w:p>
    <w:p w14:paraId="078CF74A">
      <w:pPr>
        <w:rPr>
          <w:rFonts w:hint="default"/>
          <w:rtl w:val="0"/>
        </w:rPr>
      </w:pPr>
      <w:r>
        <w:rPr>
          <w:rFonts w:hint="default"/>
          <w:rtl w:val="0"/>
        </w:rPr>
        <w:t>2. High-level architecture diagram</w:t>
      </w:r>
    </w:p>
    <w:p w14:paraId="7B927AD7">
      <w:pPr>
        <w:rPr>
          <w:rFonts w:hint="default"/>
          <w:rtl w:val="0"/>
        </w:rPr>
      </w:pPr>
      <w:r>
        <w:rPr>
          <w:rFonts w:hint="default"/>
          <w:rtl w:val="0"/>
        </w:rPr>
        <w:t>3. Folder/component structure</w:t>
      </w:r>
    </w:p>
    <w:p w14:paraId="7D6181EE">
      <w:pPr>
        <w:rPr>
          <w:rFonts w:hint="default"/>
          <w:rtl w:val="0"/>
        </w:rPr>
      </w:pPr>
      <w:r>
        <w:rPr>
          <w:rFonts w:hint="default"/>
          <w:rtl w:val="0"/>
        </w:rPr>
        <w:t>4. Layer/module responsibilities</w:t>
      </w:r>
    </w:p>
    <w:p w14:paraId="55691BE4">
      <w:pPr>
        <w:rPr>
          <w:rFonts w:hint="default"/>
          <w:rtl w:val="0"/>
        </w:rPr>
      </w:pPr>
      <w:r>
        <w:rPr>
          <w:rFonts w:hint="default"/>
          <w:rtl w:val="0"/>
        </w:rPr>
        <w:t>5. Dependency and communication flow</w:t>
      </w:r>
    </w:p>
    <w:p w14:paraId="1D7CD5DD">
      <w:pPr>
        <w:rPr>
          <w:rFonts w:hint="default"/>
          <w:rtl w:val="0"/>
        </w:rPr>
      </w:pPr>
      <w:r>
        <w:rPr>
          <w:rFonts w:hint="default"/>
          <w:rtl w:val="0"/>
        </w:rPr>
        <w:t>6. Key entity placement</w:t>
      </w:r>
    </w:p>
    <w:p w14:paraId="52BFA130">
      <w:pPr>
        <w:rPr>
          <w:rFonts w:hint="default"/>
          <w:rtl w:val="0"/>
        </w:rPr>
      </w:pPr>
      <w:r>
        <w:rPr>
          <w:rFonts w:hint="default"/>
          <w:rtl w:val="0"/>
        </w:rPr>
        <w:t>7. Authentication and error-handling structure</w:t>
      </w:r>
    </w:p>
    <w:p w14:paraId="1AE808EB">
      <w:pPr>
        <w:rPr>
          <w:rFonts w:hint="default"/>
          <w:rtl w:val="0"/>
        </w:rPr>
      </w:pPr>
      <w:r>
        <w:rPr>
          <w:rFonts w:hint="default"/>
          <w:rtl w:val="0"/>
        </w:rPr>
        <w:t>8. Important assumptions, if any</w:t>
      </w:r>
    </w:p>
    <w:p w14:paraId="284EE93C">
      <w:pPr>
        <w:rPr>
          <w:rFonts w:hint="default"/>
          <w:rtl w:val="0"/>
        </w:rPr>
      </w:pPr>
    </w:p>
    <w:p w14:paraId="3CCEBD8D">
      <w:pPr>
        <w:rPr>
          <w:rtl w:val="0"/>
        </w:rPr>
      </w:pPr>
      <w:r>
        <w:rPr>
          <w:rFonts w:hint="default"/>
          <w:rtl w:val="0"/>
        </w:rPr>
        <w:t>DO NOT generate Python code, function implementations, SQL queries, test cases or complete application files.</w:t>
      </w:r>
    </w:p>
    <w:p w14:paraId="00000059"/>
    <w:p w14:paraId="0000005A">
      <w:r>
        <w:rPr>
          <w:rtl w:val="0"/>
        </w:rPr>
        <w:t>PART-C</w:t>
      </w:r>
    </w:p>
    <w:tbl>
      <w:tblPr>
        <w:tblStyle w:val="18"/>
        <w:tblW w:w="10455" w:type="dxa"/>
        <w:tblInd w:w="-279" w:type="dxa"/>
        <w:tblBorders>
          <w:top w:val="single" w:color="B7C9D6" w:sz="6" w:space="0"/>
          <w:left w:val="single" w:color="B7C9D6" w:sz="6" w:space="0"/>
          <w:bottom w:val="single" w:color="B7C9D6" w:sz="6" w:space="0"/>
          <w:right w:val="single" w:color="B7C9D6" w:sz="6" w:space="0"/>
          <w:insideH w:val="single" w:color="B7C9D6" w:sz="6" w:space="0"/>
          <w:insideV w:val="single" w:color="B7C9D6" w:sz="6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625"/>
        <w:gridCol w:w="2625"/>
        <w:gridCol w:w="2625"/>
        <w:gridCol w:w="2580"/>
      </w:tblGrid>
      <w:tr w14:paraId="4B6A4120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shd w:val="clear" w:color="auto" w:fill="167C8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5B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Aspect</w:t>
            </w:r>
          </w:p>
        </w:tc>
        <w:tc>
          <w:tcPr>
            <w:tcW w:w="2625" w:type="dxa"/>
            <w:shd w:val="clear" w:color="auto" w:fill="167C8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5C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Architecture selected in Part A</w:t>
            </w:r>
          </w:p>
        </w:tc>
        <w:tc>
          <w:tcPr>
            <w:tcW w:w="2625" w:type="dxa"/>
            <w:shd w:val="clear" w:color="auto" w:fill="167C8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5D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AI-generated architecture</w:t>
            </w:r>
          </w:p>
        </w:tc>
        <w:tc>
          <w:tcPr>
            <w:shd w:val="clear" w:color="auto" w:fill="167C8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5E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Difference / Observation</w:t>
            </w:r>
          </w:p>
        </w:tc>
      </w:tr>
      <w:tr w14:paraId="26EC7634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457" w:hRule="atLeast"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5F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Architecture structure</w:t>
            </w:r>
          </w:p>
        </w:tc>
        <w:tc>
          <w:tcPr>
            <w:tcW w:w="26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60">
            <w:pPr>
              <w:spacing w:before="240" w:after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Microservices Architecture</w:t>
            </w:r>
          </w:p>
          <w:p w14:paraId="00000061">
            <w:pPr>
              <w:rPr>
                <w:sz w:val="20"/>
                <w:szCs w:val="20"/>
              </w:rPr>
            </w:pPr>
          </w:p>
          <w:p w14:paraId="0000006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Distributed, independently deployable services running in isolated processes/containers with individual databases.</w:t>
            </w:r>
          </w:p>
          <w:p w14:paraId="00000063">
            <w:pPr>
              <w:rPr>
                <w:sz w:val="20"/>
                <w:szCs w:val="20"/>
              </w:rPr>
            </w:pPr>
          </w:p>
        </w:tc>
        <w:tc>
          <w:tcPr>
            <w:tcW w:w="26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64">
            <w:pPr>
              <w:spacing w:before="240" w:after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Modular Monolith</w:t>
            </w:r>
          </w:p>
          <w:p w14:paraId="00000065">
            <w:pPr>
              <w:rPr>
                <w:sz w:val="20"/>
                <w:szCs w:val="20"/>
              </w:rPr>
            </w:pPr>
          </w:p>
          <w:p w14:paraId="00000066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Single deployable application organized into strictly isolated, domain-bounded internal modules backed by a shared relational database.</w:t>
            </w:r>
          </w:p>
          <w:p w14:paraId="00000067">
            <w:pPr>
              <w:rPr>
                <w:sz w:val="20"/>
                <w:szCs w:val="20"/>
              </w:rPr>
            </w:pP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6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Part A prioritizes independent deployment and horizontal service scalability, whereas the AI architecture prioritizes ACID transactional integrity and simpler operational/deployment overhead. </w:t>
            </w:r>
          </w:p>
        </w:tc>
      </w:tr>
      <w:tr w14:paraId="03ED8C44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723" w:hRule="atLeast"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69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Main components / layers</w:t>
            </w:r>
          </w:p>
        </w:tc>
        <w:tc>
          <w:tcPr>
            <w:tcW w:w="26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6A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• API Gateway</w:t>
            </w:r>
          </w:p>
          <w:p w14:paraId="0000006B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• Auth / IAM Service</w:t>
            </w:r>
          </w:p>
          <w:p w14:paraId="0000006C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• Wallet Service</w:t>
            </w:r>
          </w:p>
          <w:p w14:paraId="0000006D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• Payment Transaction Service</w:t>
            </w:r>
          </w:p>
          <w:p w14:paraId="0000006E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• Merchant Service</w:t>
            </w:r>
          </w:p>
          <w:p w14:paraId="0000006F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• Cashback Engine</w:t>
            </w:r>
          </w:p>
          <w:p w14:paraId="00000070">
            <w:pPr>
              <w:rPr>
                <w:sz w:val="20"/>
                <w:szCs w:val="20"/>
              </w:rPr>
            </w:pPr>
          </w:p>
          <w:p w14:paraId="00000071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• Monthly Reconciliation Service</w:t>
            </w:r>
          </w:p>
          <w:p w14:paraId="00000072">
            <w:pPr>
              <w:rPr>
                <w:sz w:val="20"/>
                <w:szCs w:val="20"/>
              </w:rPr>
            </w:pPr>
          </w:p>
        </w:tc>
        <w:tc>
          <w:tcPr>
            <w:tcW w:w="26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73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• API Gateway / Reverse Proxy</w:t>
            </w:r>
          </w:p>
          <w:p w14:paraId="00000074">
            <w:pPr>
              <w:rPr>
                <w:sz w:val="20"/>
                <w:szCs w:val="20"/>
              </w:rPr>
            </w:pPr>
          </w:p>
          <w:p w14:paraId="00000075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• Auth &amp; RBAC Middleware</w:t>
            </w:r>
          </w:p>
          <w:p w14:paraId="00000076">
            <w:pPr>
              <w:rPr>
                <w:sz w:val="20"/>
                <w:szCs w:val="20"/>
              </w:rPr>
            </w:pPr>
          </w:p>
          <w:p w14:paraId="00000077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• Domain Modules (</w:t>
            </w:r>
            <w:r>
              <w:rPr>
                <w:rFonts w:ascii="Roboto Mono" w:hAnsi="Roboto Mono" w:eastAsia="Roboto Mono" w:cs="Roboto Mono"/>
                <w:color w:val="188038"/>
                <w:sz w:val="20"/>
                <w:szCs w:val="20"/>
                <w:rtl w:val="0"/>
              </w:rPr>
              <w:t>auth</w:t>
            </w:r>
            <w:r>
              <w:rPr>
                <w:sz w:val="20"/>
                <w:szCs w:val="20"/>
                <w:rtl w:val="0"/>
              </w:rP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  <w:sz w:val="20"/>
                <w:szCs w:val="20"/>
                <w:rtl w:val="0"/>
              </w:rPr>
              <w:t>wallet</w:t>
            </w:r>
            <w:r>
              <w:rPr>
                <w:sz w:val="20"/>
                <w:szCs w:val="20"/>
                <w:rtl w:val="0"/>
              </w:rP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  <w:sz w:val="20"/>
                <w:szCs w:val="20"/>
                <w:rtl w:val="0"/>
              </w:rPr>
              <w:t>transaction</w:t>
            </w:r>
            <w:r>
              <w:rPr>
                <w:sz w:val="20"/>
                <w:szCs w:val="20"/>
                <w:rtl w:val="0"/>
              </w:rP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  <w:sz w:val="20"/>
                <w:szCs w:val="20"/>
                <w:rtl w:val="0"/>
              </w:rPr>
              <w:t>merchant</w:t>
            </w:r>
            <w:r>
              <w:rPr>
                <w:sz w:val="20"/>
                <w:szCs w:val="20"/>
                <w:rtl w:val="0"/>
              </w:rP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  <w:sz w:val="20"/>
                <w:szCs w:val="20"/>
                <w:rtl w:val="0"/>
              </w:rPr>
              <w:t>cashback</w:t>
            </w:r>
            <w:r>
              <w:rPr>
                <w:sz w:val="20"/>
                <w:szCs w:val="20"/>
                <w:rtl w:val="0"/>
              </w:rPr>
              <w:t>)</w:t>
            </w:r>
          </w:p>
          <w:p w14:paraId="00000078">
            <w:pPr>
              <w:rPr>
                <w:sz w:val="20"/>
                <w:szCs w:val="20"/>
              </w:rPr>
            </w:pPr>
          </w:p>
          <w:p w14:paraId="00000079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• Double-Entry Ledger Engine</w:t>
            </w:r>
          </w:p>
          <w:p w14:paraId="0000007A">
            <w:pPr>
              <w:rPr>
                <w:sz w:val="20"/>
                <w:szCs w:val="20"/>
              </w:rPr>
            </w:pPr>
          </w:p>
          <w:p w14:paraId="0000007B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• Reconciliation Batch Worker</w:t>
            </w:r>
          </w:p>
          <w:p w14:paraId="0000007C">
            <w:pPr>
              <w:rPr>
                <w:sz w:val="20"/>
                <w:szCs w:val="20"/>
              </w:rPr>
            </w:pP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Both decompose the domain into identical functional entities (FR1–FR6), but the AI design explicitly introduces a dedicated, shared </w:t>
            </w:r>
            <w:r>
              <w:rPr>
                <w:b/>
                <w:bCs/>
                <w:sz w:val="20"/>
                <w:szCs w:val="20"/>
                <w:rtl w:val="0"/>
              </w:rPr>
              <w:t>Double-Entry General Ledger Core</w:t>
            </w:r>
            <w:r>
              <w:rPr>
                <w:sz w:val="20"/>
                <w:szCs w:val="20"/>
                <w:rtl w:val="0"/>
              </w:rPr>
              <w:t xml:space="preserve"> to govern all balance changes </w:t>
            </w:r>
          </w:p>
        </w:tc>
      </w:tr>
      <w:tr w14:paraId="0686A238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457" w:hRule="atLeast"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7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Responsibilities</w:t>
            </w:r>
          </w:p>
        </w:tc>
        <w:tc>
          <w:tcPr>
            <w:tcW w:w="26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Each microservice independently manages its own business logic, state lifecycle, and dedicated datastore (e.g., Wallet Service holds balances; Payment Service orchestrates checkouts). </w:t>
            </w:r>
          </w:p>
        </w:tc>
        <w:tc>
          <w:tcPr>
            <w:tcW w:w="26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Business logic is split across modular folders/packages, but ledger consistency and cross-cutting transactional balance mutations are handled centrally via database transactions. 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Responsibilities are functionally similar, but the AI architecture avoids distributed dual-writes and data fragmentation across services by enforcing immutable credit/debit rules in a central database. </w:t>
            </w:r>
          </w:p>
        </w:tc>
      </w:tr>
      <w:tr w14:paraId="4892B9D1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712" w:hRule="atLeast"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82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Interaction / communication</w:t>
            </w:r>
          </w:p>
        </w:tc>
        <w:tc>
          <w:tcPr>
            <w:tcW w:w="26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83">
            <w:pPr>
              <w:spacing w:before="240" w:after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Inter-Process / Network Communication</w:t>
            </w:r>
          </w:p>
          <w:p w14:paraId="00000084">
            <w:pPr>
              <w:rPr>
                <w:sz w:val="20"/>
                <w:szCs w:val="20"/>
              </w:rPr>
            </w:pPr>
          </w:p>
          <w:p w14:paraId="00000085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Synchronous REST/gRPC APIs, asynchronous event brokers/message queues (e.g., Kafka, RabbitMQ), and distributed transactions (Saga/2PC).</w:t>
            </w:r>
          </w:p>
          <w:p w14:paraId="00000086">
            <w:pPr>
              <w:rPr>
                <w:sz w:val="20"/>
                <w:szCs w:val="20"/>
              </w:rPr>
            </w:pPr>
          </w:p>
        </w:tc>
        <w:tc>
          <w:tcPr>
            <w:tcW w:w="26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87">
            <w:pPr>
              <w:spacing w:before="240" w:after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In-Process Communication &amp; ACID DB Calls</w:t>
            </w:r>
          </w:p>
          <w:p w14:paraId="00000088">
            <w:pPr>
              <w:rPr>
                <w:sz w:val="20"/>
                <w:szCs w:val="20"/>
              </w:rPr>
            </w:pPr>
          </w:p>
          <w:p w14:paraId="00000089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Direct in-memory interface calls/service methods within the same runtime, coordinated inside single database ACID transactions with row-level locks (</w:t>
            </w:r>
            <w:r>
              <w:rPr>
                <w:rFonts w:ascii="Roboto Mono" w:hAnsi="Roboto Mono" w:eastAsia="Roboto Mono" w:cs="Roboto Mono"/>
                <w:color w:val="188038"/>
                <w:sz w:val="20"/>
                <w:szCs w:val="20"/>
                <w:rtl w:val="0"/>
              </w:rPr>
              <w:t>SELECT FOR UPDATE</w:t>
            </w:r>
            <w:r>
              <w:rPr>
                <w:sz w:val="20"/>
                <w:szCs w:val="20"/>
                <w:rtl w:val="0"/>
              </w:rPr>
              <w:t>).</w:t>
            </w:r>
          </w:p>
          <w:p w14:paraId="0000008A">
            <w:pPr>
              <w:rPr>
                <w:sz w:val="20"/>
                <w:szCs w:val="20"/>
              </w:rPr>
            </w:pP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Part A incurs network latency, serialization overhead, and eventual consistency risks. The AI design uses zero-network in-process calls and guarantees strict transactional atomicity across payments, ledgers, and cashback. </w:t>
            </w:r>
          </w:p>
        </w:tc>
      </w:tr>
      <w:tr w14:paraId="5AC8990E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457" w:hRule="atLeast"/>
        </w:trPr>
        <w:tc>
          <w:tcPr>
            <w:tcW w:w="10455" w:type="dxa"/>
            <w:gridSpan w:val="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8C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Overall difference</w:t>
            </w:r>
          </w:p>
          <w:p w14:paraId="0A7238F9">
            <w:pPr>
              <w:pStyle w:val="11"/>
              <w:keepNext w:val="0"/>
              <w:keepLines w:val="0"/>
              <w:widowControl/>
              <w:suppressLineNumbers w:val="0"/>
              <w:ind w:left="720" w:right="720"/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Part A</w:t>
            </w:r>
            <w:r>
              <w:rPr>
                <w:rFonts w:hint="eastAsia" w:ascii="SimSun" w:hAnsi="SimSun" w:eastAsia="SimSun" w:cs="SimSun"/>
                <w:sz w:val="24"/>
                <w:szCs w:val="24"/>
              </w:rPr>
              <w:t xml:space="preserve"> builds FinPay like an enterprise-scale distributed ecosystem (good for large independent engineering teams, but complex and prone to distributed data bugs), whereas the </w:t>
            </w: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AI-generated design</w:t>
            </w:r>
            <w:r>
              <w:rPr>
                <w:rFonts w:hint="eastAsia" w:ascii="SimSun" w:hAnsi="SimSun" w:eastAsia="SimSun" w:cs="SimSun"/>
                <w:sz w:val="24"/>
                <w:szCs w:val="24"/>
              </w:rPr>
              <w:t xml:space="preserve"> treats FinPay as a unified financial ledger system where </w:t>
            </w: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ACID transactions, auditability, and data correctness</w:t>
            </w:r>
            <w:r>
              <w:rPr>
                <w:rFonts w:hint="eastAsia" w:ascii="SimSun" w:hAnsi="SimSun" w:eastAsia="SimSun" w:cs="SimSun"/>
                <w:sz w:val="24"/>
                <w:szCs w:val="24"/>
              </w:rPr>
              <w:t xml:space="preserve"> take precedence over distributed deployment.</w:t>
            </w:r>
          </w:p>
          <w:p w14:paraId="0000008F">
            <w:pPr>
              <w:rPr>
                <w:sz w:val="20"/>
                <w:szCs w:val="20"/>
              </w:rPr>
            </w:pPr>
          </w:p>
        </w:tc>
      </w:tr>
    </w:tbl>
    <w:p w14:paraId="00000090">
      <w:pPr>
        <w:rPr>
          <w:rFonts w:hint="default"/>
          <w:lang w:val="en-US"/>
        </w:rPr>
      </w:pPr>
      <w:r>
        <w:rPr>
          <w:rFonts w:hint="default"/>
          <w:lang w:val="en-US"/>
        </w:rPr>
        <w:t>PART D</w:t>
      </w:r>
    </w:p>
    <w:tbl>
      <w:tblPr>
        <w:tblStyle w:val="20"/>
        <w:tblpPr w:leftFromText="180" w:rightFromText="180" w:vertAnchor="page" w:horzAnchor="page" w:tblpX="964" w:tblpY="85"/>
        <w:tblW w:w="1038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2"/>
        <w:gridCol w:w="1781"/>
        <w:gridCol w:w="8482"/>
        <w:gridCol w:w="85"/>
      </w:tblGrid>
      <w:tr w14:paraId="69F8A79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85" w:type="dxa"/>
          <w:trHeight w:val="550" w:hRule="atLeast"/>
        </w:trPr>
        <w:tc>
          <w:tcPr>
            <w:tcBorders>
              <w:bottom w:val="single" w:color="000000" w:sz="4" w:space="0"/>
            </w:tcBorders>
          </w:tcPr>
          <w:p w14:paraId="24AC68E2">
            <w:pPr>
              <w:widowControl w:val="0"/>
              <w:spacing w:after="0" w:line="276" w:lineRule="auto"/>
            </w:pPr>
          </w:p>
        </w:tc>
        <w:tc>
          <w:tcPr>
            <w:gridSpan w:val="2"/>
            <w:tcBorders>
              <w:bottom w:val="single" w:color="000000" w:sz="4" w:space="0"/>
            </w:tcBorders>
            <w:shd w:val="clear" w:color="auto" w:fill="167C80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1EAD10AB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8"/>
                <w:szCs w:val="28"/>
                <w:rtl w:val="0"/>
              </w:rPr>
              <w:t>D2. Write ADR-001</w:t>
            </w:r>
          </w:p>
        </w:tc>
      </w:tr>
      <w:tr w14:paraId="4DDF423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29" w:hRule="atLeast"/>
          <w:tblHeader/>
        </w:trPr>
        <w:tc>
          <w:tcPr>
            <w:tcW w:w="18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4DEBD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>Field</w:t>
            </w:r>
          </w:p>
        </w:tc>
        <w:tc>
          <w:tcPr>
            <w:tcW w:w="856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5B65D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>Content / Requirements</w:t>
            </w:r>
          </w:p>
        </w:tc>
      </w:tr>
      <w:tr w14:paraId="3AEC78B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40" w:hRule="atLeast"/>
        </w:trPr>
        <w:tc>
          <w:tcPr>
            <w:tcW w:w="18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07D67E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>ID and Title</w:t>
            </w:r>
          </w:p>
        </w:tc>
        <w:tc>
          <w:tcPr>
            <w:tcW w:w="856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439FE8">
            <w:pPr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ADR-001: Selection of Modular Monolithic Architecture with Double-Entry Ledger</w:t>
            </w:r>
          </w:p>
        </w:tc>
      </w:tr>
      <w:tr w14:paraId="1C73070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40" w:hRule="atLeast"/>
        </w:trPr>
        <w:tc>
          <w:tcPr>
            <w:tcW w:w="18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7348FA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>Status</w:t>
            </w:r>
          </w:p>
        </w:tc>
        <w:tc>
          <w:tcPr>
            <w:tcW w:w="856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252A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Accepted </w:t>
            </w:r>
          </w:p>
        </w:tc>
      </w:tr>
      <w:tr w14:paraId="0557280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71" w:hRule="atLeast"/>
        </w:trPr>
        <w:tc>
          <w:tcPr>
            <w:tcW w:w="18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F740E3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>Context</w:t>
            </w:r>
          </w:p>
        </w:tc>
        <w:tc>
          <w:tcPr>
            <w:tcW w:w="856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0674C2">
            <w:pPr>
              <w:rPr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FinPay manages sensitive financial operations including student wallet balances, merchant payment processing, real-time cashback calculation, and monthly reconciliation. Distributed alternatives like microservices introduce network latency, distributed data consistency issues (partial failures/dual writes), and operational overhead that make maintaining strict financial correctness challenging. The system requires strict ACID transactional guarantees, atomic debit/credit operations, and row-level locking while maintaining clear separation of domain concerns for future maintenance and feature generation.</w:t>
            </w:r>
          </w:p>
        </w:tc>
      </w:tr>
      <w:tr w14:paraId="1C20CEA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40" w:hRule="atLeast"/>
        </w:trPr>
        <w:tc>
          <w:tcPr>
            <w:tcW w:w="18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DDF9B2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>Decision</w:t>
            </w:r>
          </w:p>
        </w:tc>
        <w:tc>
          <w:tcPr>
            <w:tcW w:w="856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20DB5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Adopt a 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Modular Monolith architecture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organized into domain-bounded modules (</w:t>
            </w:r>
            <w: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</w:rPr>
              <w:t>auth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, </w:t>
            </w:r>
            <w: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</w:rPr>
              <w:t>wallet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, </w:t>
            </w:r>
            <w: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</w:rPr>
              <w:t>transaction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, </w:t>
            </w:r>
            <w: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</w:rPr>
              <w:t>merchant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, </w:t>
            </w:r>
            <w: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</w:rPr>
              <w:t>cashback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, </w:t>
            </w:r>
            <w: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</w:rPr>
              <w:t>reconciliation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) sharing a single relational PostgreSQL database. All monetary state changes must be governed by an internal 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immutable double-entry ledger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executed within atomic database transactions. Inter-module communication must occur exclusively via explicit in-memory interfaces/facades rather than cross-module direct database table queries</w:t>
            </w:r>
            <w:r>
              <w:rPr>
                <w:rFonts w:ascii="SimSun" w:hAnsi="SimSun" w:eastAsia="SimSun" w:cs="SimSun"/>
                <w:sz w:val="24"/>
                <w:szCs w:val="24"/>
              </w:rPr>
              <w:t>.</w:t>
            </w:r>
          </w:p>
        </w:tc>
      </w:tr>
      <w:tr w14:paraId="49A4A8B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82" w:hRule="atLeast"/>
        </w:trPr>
        <w:tc>
          <w:tcPr>
            <w:tcW w:w="18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47151E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>Consequences</w:t>
            </w:r>
          </w:p>
        </w:tc>
        <w:tc>
          <w:tcPr>
            <w:tcW w:w="856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4954CD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sans-serif" w:hAnsi="sans-serif" w:eastAsia="sans-serif" w:cs="sans-serif"/>
              </w:rPr>
              <w:t>•</w:t>
            </w:r>
            <w:r>
              <w:rPr>
                <w:rFonts w:hint="default" w:ascii="Times New Roman" w:hAnsi="Times New Roman" w:eastAsia="sans-serif" w:cs="Times New Roman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b/>
                <w:bCs/>
              </w:rPr>
              <w:t>Easier:</w:t>
            </w:r>
            <w:r>
              <w:rPr>
                <w:rFonts w:hint="default" w:ascii="Times New Roman" w:hAnsi="Times New Roman" w:eastAsia="sans-serif" w:cs="Times New Roman"/>
              </w:rPr>
              <w:t xml:space="preserve"> Enforcing strict ACID consistency, atomic balance debits/credits, row-level locking (</w:t>
            </w:r>
            <w:r>
              <w:rPr>
                <w:rStyle w:val="10"/>
                <w:rFonts w:hint="default" w:ascii="Times New Roman" w:hAnsi="Times New Roman" w:eastAsia="sans-serif" w:cs="Times New Roman"/>
              </w:rPr>
              <w:t>SELECT ... FOR UPDATE</w:t>
            </w:r>
            <w:r>
              <w:rPr>
                <w:rFonts w:hint="default" w:ascii="Times New Roman" w:hAnsi="Times New Roman" w:eastAsia="sans-serif" w:cs="Times New Roman"/>
              </w:rPr>
              <w:t xml:space="preserve">), local debugging, and single-pipeline deployment. </w:t>
            </w:r>
          </w:p>
          <w:p w14:paraId="19F2E7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</w:p>
          <w:p w14:paraId="1F6F2280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</w:rPr>
              <w:t xml:space="preserve">• </w:t>
            </w:r>
            <w:r>
              <w:rPr>
                <w:rFonts w:hint="default" w:ascii="Times New Roman" w:hAnsi="Times New Roman" w:eastAsia="sans-serif" w:cs="Times New Roman"/>
                <w:b/>
                <w:bCs/>
              </w:rPr>
              <w:t>Harder:</w:t>
            </w:r>
            <w:r>
              <w:rPr>
                <w:rFonts w:hint="default" w:ascii="Times New Roman" w:hAnsi="Times New Roman" w:eastAsia="sans-serif" w:cs="Times New Roman"/>
              </w:rPr>
              <w:t xml:space="preserve"> Enforcing strict boundary discipline to avoid circular dependencies and accidental tight coupling between modules over time as the codebase grows. </w:t>
            </w:r>
          </w:p>
          <w:p w14:paraId="1462EB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</w:p>
          <w:p w14:paraId="601ED819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</w:rPr>
              <w:t xml:space="preserve">• </w:t>
            </w:r>
            <w:r>
              <w:rPr>
                <w:rFonts w:hint="default" w:ascii="Times New Roman" w:hAnsi="Times New Roman" w:eastAsia="sans-serif" w:cs="Times New Roman"/>
                <w:b/>
                <w:bCs/>
              </w:rPr>
              <w:t>Impossible:</w:t>
            </w:r>
            <w:r>
              <w:rPr>
                <w:rFonts w:hint="default" w:ascii="Times New Roman" w:hAnsi="Times New Roman" w:eastAsia="sans-serif" w:cs="Times New Roman"/>
              </w:rPr>
              <w:t xml:space="preserve"> Prevents distributed transaction inconsistencies (e.g., wallet deducted but payment or cashback record failing), phantom balances, and direct unauthorized cross-domain database writes. </w:t>
            </w:r>
          </w:p>
          <w:p w14:paraId="40616296">
            <w:pPr>
              <w:rPr>
                <w:sz w:val="24"/>
                <w:szCs w:val="24"/>
              </w:rPr>
            </w:pPr>
          </w:p>
        </w:tc>
      </w:tr>
      <w:tr w14:paraId="08173C9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29" w:hRule="atLeast"/>
        </w:trPr>
        <w:tc>
          <w:tcPr>
            <w:tcW w:w="18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4F850E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>Review Trigger</w:t>
            </w:r>
          </w:p>
        </w:tc>
        <w:tc>
          <w:tcPr>
            <w:tcW w:w="856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028B7B">
            <w:pPr>
              <w:rPr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Reconsider this decision if transaction throughput exceeds single-node database write scaling limits (e.g., campus-wide scaling across multi-institution deployments), or if autonomous engineering teams require independent deployment pipelines and localized service release cadences.</w:t>
            </w:r>
          </w:p>
        </w:tc>
      </w:tr>
    </w:tbl>
    <w:p w14:paraId="2FC6A689">
      <w:pPr>
        <w:tabs>
          <w:tab w:val="left" w:pos="1165"/>
        </w:tabs>
      </w:pPr>
    </w:p>
    <w:p w14:paraId="00000099">
      <w:pPr>
        <w:tabs>
          <w:tab w:val="left" w:pos="1165"/>
        </w:tabs>
      </w:pPr>
    </w:p>
    <w:p w14:paraId="0000009A">
      <w:pPr>
        <w:tabs>
          <w:tab w:val="left" w:pos="1165"/>
        </w:tabs>
      </w:pPr>
    </w:p>
    <w:tbl>
      <w:tblPr>
        <w:tblStyle w:val="19"/>
        <w:tblpPr w:leftFromText="180" w:rightFromText="180" w:topFromText="180" w:bottomFromText="180" w:vertAnchor="text" w:tblpX="-540" w:tblpY="0"/>
        <w:tblW w:w="10152" w:type="dxa"/>
        <w:tblInd w:w="0" w:type="dxa"/>
        <w:tblBorders>
          <w:top w:val="single" w:color="B7C9D6" w:sz="6" w:space="0"/>
          <w:left w:val="single" w:color="B7C9D6" w:sz="6" w:space="0"/>
          <w:bottom w:val="single" w:color="B7C9D6" w:sz="6" w:space="0"/>
          <w:right w:val="single" w:color="B7C9D6" w:sz="6" w:space="0"/>
          <w:insideH w:val="single" w:color="B7C9D6" w:sz="6" w:space="0"/>
          <w:insideV w:val="single" w:color="B7C9D6" w:sz="6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880"/>
        <w:gridCol w:w="7272"/>
      </w:tblGrid>
      <w:tr w14:paraId="2D47D1A1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shd w:val="clear" w:color="auto" w:fill="B8860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9B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RR Section</w:t>
            </w:r>
          </w:p>
        </w:tc>
        <w:tc>
          <w:tcPr>
            <w:shd w:val="clear" w:color="auto" w:fill="B8860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9C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What to record</w:t>
            </w:r>
          </w:p>
        </w:tc>
      </w:tr>
      <w:tr w14:paraId="59D78B9E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9D">
            <w:pPr>
              <w:rPr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  <w:rtl w:val="0"/>
              </w:rPr>
              <w:t>1. Architecture version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56306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System Name:</w:t>
            </w:r>
            <w:r>
              <w:t xml:space="preserve"> FinPay Campus Wallet System</w:t>
            </w:r>
          </w:p>
          <w:p w14:paraId="040FB95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Version:</w:t>
            </w:r>
            <w:r>
              <w:t xml:space="preserve"> v1.0.0 (Modular Monolith)</w:t>
            </w:r>
          </w:p>
          <w:p w14:paraId="7FEB329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Generation Date:</w:t>
            </w:r>
            <w:r>
              <w:t xml:space="preserve"> September 25, 2026</w:t>
            </w:r>
          </w:p>
          <w:p w14:paraId="61C6DE1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Prompt Reference:</w:t>
            </w:r>
            <w:r>
              <w:t xml:space="preserve"> FinPay Structured Prompt Part-B (Modular Monolith with Double-Entry Ledger)</w:t>
            </w:r>
          </w:p>
          <w:p w14:paraId="0000009E">
            <w:pPr>
              <w:rPr>
                <w:sz w:val="24"/>
                <w:szCs w:val="24"/>
              </w:rPr>
            </w:pPr>
          </w:p>
        </w:tc>
      </w:tr>
      <w:tr w14:paraId="3DE400C9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9F">
            <w:pPr>
              <w:rPr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  <w:rtl w:val="0"/>
              </w:rPr>
              <w:t>2. Architecture prompt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A0"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Part B</w:t>
            </w:r>
          </w:p>
        </w:tc>
      </w:tr>
      <w:tr w14:paraId="0F995C0A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A1">
            <w:pPr>
              <w:rPr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  <w:rtl w:val="0"/>
              </w:rPr>
              <w:t>3. Generated architecture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1CBA45">
            <w:pPr>
              <w:pStyle w:val="11"/>
              <w:keepNext w:val="0"/>
              <w:keepLines w:val="0"/>
              <w:widowControl/>
              <w:suppressLineNumbers w:val="0"/>
            </w:pPr>
            <w:r>
              <w:t xml:space="preserve">• </w:t>
            </w:r>
            <w:r>
              <w:rPr>
                <w:b/>
                <w:bCs/>
              </w:rPr>
              <w:t>Architecture Style:</w:t>
            </w:r>
            <w:r>
              <w:t xml:space="preserve"> Modular Monolith with Double-Entry Bookkeeping and ACID transaction boundaries.</w:t>
            </w:r>
          </w:p>
          <w:p w14:paraId="76B0FCA5">
            <w:pPr>
              <w:pStyle w:val="11"/>
              <w:keepNext w:val="0"/>
              <w:keepLines w:val="0"/>
              <w:widowControl/>
              <w:suppressLineNumbers w:val="0"/>
            </w:pPr>
            <w:r>
              <w:t xml:space="preserve">• </w:t>
            </w:r>
            <w:r>
              <w:rPr>
                <w:b/>
                <w:bCs/>
              </w:rPr>
              <w:t>Modules / Components:</w:t>
            </w:r>
            <w:r>
              <w:t xml:space="preserve"> </w:t>
            </w:r>
            <w:r>
              <w:rPr>
                <w:rStyle w:val="10"/>
              </w:rPr>
              <w:t>modules/auth/</w:t>
            </w:r>
            <w:r>
              <w:t xml:space="preserve"> (FR6), </w:t>
            </w:r>
            <w:r>
              <w:rPr>
                <w:rStyle w:val="10"/>
              </w:rPr>
              <w:t>modules/wallet/</w:t>
            </w:r>
            <w:r>
              <w:t xml:space="preserve"> (FR1), </w:t>
            </w:r>
            <w:r>
              <w:rPr>
                <w:rStyle w:val="10"/>
              </w:rPr>
              <w:t>modules/transaction/</w:t>
            </w:r>
            <w:r>
              <w:t xml:space="preserve"> (FR2), </w:t>
            </w:r>
            <w:r>
              <w:rPr>
                <w:rStyle w:val="10"/>
              </w:rPr>
              <w:t>modules/merchant/</w:t>
            </w:r>
            <w:r>
              <w:t xml:space="preserve"> (FR4), </w:t>
            </w:r>
            <w:r>
              <w:rPr>
                <w:rStyle w:val="10"/>
              </w:rPr>
              <w:t>modules/cashback/</w:t>
            </w:r>
            <w:r>
              <w:t xml:space="preserve"> (FR3), </w:t>
            </w:r>
            <w:r>
              <w:rPr>
                <w:rStyle w:val="10"/>
              </w:rPr>
              <w:t>modules/reconciliation/</w:t>
            </w:r>
            <w:r>
              <w:t xml:space="preserve"> (FR5), and </w:t>
            </w:r>
            <w:r>
              <w:rPr>
                <w:rStyle w:val="10"/>
              </w:rPr>
              <w:t>core/</w:t>
            </w:r>
            <w:r>
              <w:t xml:space="preserve"> / </w:t>
            </w:r>
            <w:r>
              <w:rPr>
                <w:rStyle w:val="10"/>
              </w:rPr>
              <w:t>shared/</w:t>
            </w:r>
            <w:r>
              <w:t>.</w:t>
            </w:r>
          </w:p>
          <w:p w14:paraId="127E030A">
            <w:pPr>
              <w:pStyle w:val="11"/>
              <w:keepNext w:val="0"/>
              <w:keepLines w:val="0"/>
              <w:widowControl/>
              <w:suppressLineNumbers w:val="0"/>
            </w:pPr>
            <w:r>
              <w:t xml:space="preserve">• </w:t>
            </w:r>
            <w:r>
              <w:rPr>
                <w:b/>
                <w:bCs/>
              </w:rPr>
              <w:t>Responsibilities:</w:t>
            </w:r>
            <w:r>
              <w:t xml:space="preserve"> Each module encapsulates its internal routes, services, repositories, and models. Wallets track balances via immutable credit/debit ledger entries; transactions coordinate checkouts atomically; cashback rules apply inline/event-driven.</w:t>
            </w:r>
          </w:p>
          <w:p w14:paraId="203371F0">
            <w:pPr>
              <w:pStyle w:val="11"/>
              <w:keepNext w:val="0"/>
              <w:keepLines w:val="0"/>
              <w:widowControl/>
              <w:suppressLineNumbers w:val="0"/>
            </w:pPr>
            <w:r>
              <w:t xml:space="preserve">• </w:t>
            </w:r>
            <w:r>
              <w:rPr>
                <w:b/>
                <w:bCs/>
              </w:rPr>
              <w:t>Key Constraints:</w:t>
            </w:r>
            <w:r>
              <w:t xml:space="preserve"> Modules interact strictly via declared public interfaces/facades; no direct cross-module database table access; mandatory idempotency keys on payment routes; row-level locking (</w:t>
            </w:r>
            <w:r>
              <w:rPr>
                <w:rStyle w:val="10"/>
              </w:rPr>
              <w:t>SELECT ... FOR UPDATE</w:t>
            </w:r>
            <w:r>
              <w:t>) on wallet mutations.</w:t>
            </w:r>
          </w:p>
          <w:p w14:paraId="000000A2">
            <w:pPr>
              <w:rPr>
                <w:sz w:val="24"/>
                <w:szCs w:val="24"/>
              </w:rPr>
            </w:pPr>
          </w:p>
        </w:tc>
      </w:tr>
      <w:tr w14:paraId="3CA56E8A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000A3">
            <w:pPr>
              <w:rPr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  <w:rtl w:val="0"/>
              </w:rPr>
              <w:t>4. Decision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A80C66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APPROVED</w:t>
            </w:r>
          </w:p>
          <w:p w14:paraId="000000A4">
            <w:pPr>
              <w:pStyle w:val="11"/>
              <w:keepNext w:val="0"/>
              <w:keepLines w:val="0"/>
              <w:widowControl/>
              <w:suppressLineNumbers w:val="0"/>
              <w:rPr>
                <w:sz w:val="24"/>
                <w:szCs w:val="24"/>
              </w:rPr>
            </w:pPr>
            <w:r>
              <w:rPr>
                <w:b/>
                <w:bCs/>
              </w:rPr>
              <w:t>Reviewer Name:</w:t>
            </w:r>
            <w:r>
              <w:t xml:space="preserve"> Akash Dani </w:t>
            </w:r>
          </w:p>
        </w:tc>
      </w:tr>
    </w:tbl>
    <w:p w14:paraId="000000A5">
      <w:pPr>
        <w:tabs>
          <w:tab w:val="left" w:pos="1165"/>
        </w:tabs>
      </w:pPr>
      <w:bookmarkStart w:id="0" w:name="_GoBack"/>
      <w:bookmarkEnd w:id="0"/>
    </w:p>
    <w:p w14:paraId="000000C5">
      <w:pPr>
        <w:tabs>
          <w:tab w:val="left" w:pos="1165"/>
        </w:tabs>
      </w:pPr>
    </w:p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9163CAA2-57B0-4575-BCF1-24F65D37A832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30CDBA76-EA2F-4E4C-8DE0-8FE80C9D112D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A60B0913-7818-488F-93AB-D2F643D53D7E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A5654422-0EDA-4464-A4F2-7250457BAD46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DDA07821-065A-48EE-88AA-E9DCA7D6D11F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va Mon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  <w:embedRegular r:id="rId6" w:fontKey="{E4162FD2-E45A-414C-959C-45A557F63E4A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7" w:fontKey="{A9289088-BD42-4E26-B706-41DDC9AF1625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8" w:fontKey="{13C0DB20-3F02-4D8B-91C7-FBAAB154CF8A}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9" w:fontKey="{99982396-0A87-4864-ADDE-1D96B8C3A843}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  <w:embedRegular r:id="rId10" w:fontKey="{C26BC2EC-CC4B-4471-BA5B-742BE3F10463}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11" w:fontKey="{952E0FF3-A45A-48E8-BEA5-8C3D434A8900}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  <w:embedRegular r:id="rId12" w:fontKey="{1E8A2E87-CEBA-4820-B38C-9239C29F3BDA}"/>
  </w:font>
  <w:font w:name="Noto Sans Georgian Bold">
    <w:panose1 w:val="00000000000000000000"/>
    <w:charset w:val="00"/>
    <w:family w:val="auto"/>
    <w:pitch w:val="default"/>
    <w:sig w:usb0="84000443" w:usb1="00000002" w:usb2="00000000" w:usb3="00000000" w:csb0="00000001" w:csb1="00000000"/>
    <w:embedRegular r:id="rId13" w:fontKey="{B655D8B6-FCAC-4CAF-A6B1-28C81DF96F10}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  <w:embedRegular r:id="rId14" w:fontKey="{065F2A07-FFF3-41F4-9612-DF4B82ED27D7}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  <w:embedRegular r:id="rId15" w:fontKey="{E5980F2A-4EC5-404C-94C0-B134847951D1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16" w:fontKey="{297609D0-59E0-4D3E-8105-72278326898D}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  <w:embedRegular r:id="rId17" w:fontKey="{96967919-9685-4F8A-87DC-5775BAD6D56F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354103E"/>
    <w:rsid w:val="4AFA7E0D"/>
    <w:rsid w:val="543013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Aptos" w:cs="Aptos"/>
      <w:sz w:val="19"/>
      <w:szCs w:val="19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iCs/>
      <w:color w:val="0F4761"/>
    </w:rPr>
  </w:style>
  <w:style w:type="paragraph" w:styleId="6">
    <w:name w:val="heading 5"/>
    <w:basedOn w:val="1"/>
    <w:next w:val="1"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uiPriority w:val="0"/>
    <w:pPr>
      <w:keepNext/>
      <w:keepLines/>
      <w:spacing w:before="40" w:after="0"/>
    </w:pPr>
    <w:rPr>
      <w:i/>
      <w:iCs/>
      <w:color w:val="595959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2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3">
    <w:name w:val="Title"/>
    <w:basedOn w:val="1"/>
    <w:next w:val="1"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0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_Style 11"/>
    <w:basedOn w:val="14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_Style 12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">
    <w:name w:val="_Style 13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9">
    <w:name w:val="_Style 14"/>
    <w:basedOn w:val="14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0">
    <w:name w:val="_Style 15"/>
    <w:basedOn w:val="14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7" Type="http://schemas.openxmlformats.org/officeDocument/2006/relationships/font" Target="fonts/font17.odttf"/><Relationship Id="rId16" Type="http://schemas.openxmlformats.org/officeDocument/2006/relationships/font" Target="fonts/font16.odttf"/><Relationship Id="rId15" Type="http://schemas.openxmlformats.org/officeDocument/2006/relationships/font" Target="fonts/font15.odttf"/><Relationship Id="rId14" Type="http://schemas.openxmlformats.org/officeDocument/2006/relationships/font" Target="fonts/font14.odttf"/><Relationship Id="rId13" Type="http://schemas.openxmlformats.org/officeDocument/2006/relationships/font" Target="fonts/font13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52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2026-09-25T10:42:25Z</dcterms:created>
  <dc:creator>Administrator</dc:creator>
  <cp:lastModifiedBy>Akash dani</cp:lastModifiedBy>
  <dcterms:modified xsi:type="dcterms:W3CDTF">2026-09-25T11:35:51Z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5699331F0C904D599F53B684C1ED12BC_13</vt:lpwstr>
  </property>
</Properties>
</file>