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w:t>
      </w:r>
      <w:r>
        <w:rPr>
          <w:highlight w:val="yellow"/>
        </w:rPr>
        <w:t>[CHECK: postal code]</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time-stamped analysis plan.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whereas components from random genes, which also captured composition, did. In the independent cohort, 31% of AD DEGs remained significant after adjustment, but only 3.7%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is fixed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pre-specified re-test, and its replication in an independent cohort carries more weight than the primary test.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the implementation was also audited against the plan during the study, and the effect of the problems it uncovered on the results is reported.</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Pre-specification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diagnosis of AD with Braak stage V–VI (advanced AD), compared with controls without a diagnosis of AD whose Braak stages ranged from I to IV (I, 3; II, 10; III, 26; IV, 31) (Srinivasan et al., 2020).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the BRETIGEA neuron, astrocyte and microglia scores were then added as covariates (an earlier version used marker scores whose gene sets had not been recorded). The cohort is rebuilt from recount3 and GEO by a script that matches GEO phenotypes to expression profiles by SRA experiment accession and computes log-CPM from the coverage values with an edgeR prior count of 3 (R/12_0_download_gse125583.R). Rebuilding the cohort in this way revealed an error in its first version, in which age and sex had been attached to the expression profiles by position rather than by sample identifier; all GSE125583 results reported here come from the corrected cohort (Section 4.6).</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p>
      <w:pPr>
        <w:pStyle w:val="BodyText"/>
      </w:pPr>
      <w:r>
        <w:rPr>
          <w:bCs/>
          <w:b/>
        </w:rPr>
        <w:t xml:space="preserve">Table 2.</w:t>
      </w:r>
      <w:r>
        <w:t xml:space="preserve"> </w:t>
      </w:r>
      <w:r>
        <w:t xml:space="preserve">Deviations from the plan (summary; full register in Supplementary File 2).</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GSE125583 age and sex attached to samples by identifier</w:t>
            </w:r>
          </w:p>
        </w:tc>
        <w:tc>
          <w:tcPr/>
          <w:p>
            <w:pPr>
              <w:pStyle w:val="Compact"/>
              <w:spacing w:line="240" w:lineRule="auto" w:after="0"/>
              <w:jc w:val="left"/>
            </w:pPr>
            <w:r>
              <w:rPr>
                <w:rFonts w:ascii="Times New Roman" w:hAnsi="Times New Roman"/>
                <w:sz w:val="20"/>
              </w:rPr>
              <w:t xml:space="preserve">First version attached them by position (58 of 195 sexes and 100 of 195 ages misassigned); corrected</w:t>
            </w:r>
          </w:p>
        </w:tc>
        <w:tc>
          <w:tcPr/>
          <w:p>
            <w:pPr>
              <w:pStyle w:val="Compact"/>
              <w:spacing w:line="240" w:lineRule="auto" w:after="0"/>
              <w:jc w:val="left"/>
            </w:pPr>
            <w:r>
              <w:rPr>
                <w:rFonts w:ascii="Times New Roman" w:hAnsi="Times New Roman"/>
                <w:sz w:val="20"/>
              </w:rPr>
              <w:t xml:space="preserve">Found when the cohort was rebuilt from public data</w:t>
            </w:r>
          </w:p>
        </w:tc>
        <w:tc>
          <w:tcPr/>
          <w:p>
            <w:pPr>
              <w:pStyle w:val="Compact"/>
              <w:spacing w:line="240" w:lineRule="auto" w:after="0"/>
              <w:jc w:val="left"/>
            </w:pPr>
            <w:r>
              <w:rPr>
                <w:rFonts w:ascii="Times New Roman" w:hAnsi="Times New Roman"/>
                <w:sz w:val="20"/>
              </w:rPr>
              <w:t xml:space="preserve">Correction declared before re-running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8,314 AD DEGs, of which 3,435 were shared with GBM. With the BRETIGEA scores added, the model gave 4,457 AD DEGs (diagnosis VIF 1.38) and 282 shared DEGs. The pre-declared shared-DEG ratio (282/3,435 = 0.082) was below the threshold of 0.20, so H1 replicated. With the fold-change thresholds, shared DEGs fell from 935 to 2 (ratio 0.002). Figure S1 compares the two AD cohorts. Supplementary Table S1b lists the 3,435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8,314 AD DEGs under Model A, 2,586 (31.1%) were still significant under Model B, and of the 14,811 GBM DEGs, 6,718 (45.4%) were. Of the 3,435 shared DEGs, only 128 (3.7%) were still shared after adjustment; the other 154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The advanced AD group was younger than the controls (median 84 versus 87 years; correlation between group and age r = −0.27; Wilcoxon P = 4.7 × 10⁻⁴), so age was included in every model.</w:t>
      </w:r>
    </w:p>
    <w:p>
      <w:pPr>
        <w:pStyle w:val="BodyText"/>
      </w:pPr>
      <w:r>
        <w:t xml:space="preserve">In the model adjusted for age and sex, 19 of the 20 genes of the DD signature kept the direction they had in the unadjusted model (log2FC correlation 0.999; SDC3, with an estimate close to zero, changed sign). All six stress genes were higher in advanced AD, and five reached FDR &lt; 0.05 (JUNB: FDR = 0.11; Supplementary Table S4). With the BRETIGEA neuron, astrocyte and microglia scores added, all six stayed up and four remained significant (log2FC between 0.19 and 0.33; CEBPD: FDR = 0.052; JUNB: FDR = 0.34). Composition adjustment reduced the number of significant genes across the genome from 8,314 to 3,627. Most of the genes in the neuronal category lost significance after this adjustment; only NRN1 remained down (log2FC from −1.25 to −0.42), and the direction of the BAIAP2 difference reversed. This fits with the bulk decline of these genes being largely a consequence of neuron loss (correlation between neuron score and group r = −0.43). None of the eight genes in the divergent, tumour-specific category remained significant. The astrocyte score was slightly lower (r = −0.18) and the microglia score slightly higher (r = 0.16) in advanced AD.</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shows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estimated composition, although only four of the six remained significant.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31%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In GSE125583, the controls were not free of pathology: most were at Braak stage III or IV, so the contrast with advanced AD is between late and intermediate tau stages and probably underestimates the disease effect; the AD group was also younger than the controls. The first version of this cohort attached age and sex to the expression profiles by position rather than by sample identifier. The error was found when the cohort was rebuilt from the public data; after correction the H1 decision did not change (shared-DEG ratio 0.074 before and 0.082 after), and all numbers reported here come from the corrected cohort.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3.7% of the shared genes in the replication cohort), while about 31%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 the Zenodo record page, which always shows the latest version, is https://zenodo.org/records/23020912.</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v1.1-submission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Deviation register (DEVIATIONS), with the date, reason and affected analyses of every departure from the plan.</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3,435 shared DEGs of the replication analysis (GSE125583), with estimates under Models A and B and an indicator for the 128 genes that remained shared after adjustment. Table S1c: the 154 genes that were shared only after adjustment. Table S2: correlations with the astrocyte score in the GBM cohort for the 46 of the 50 BRETIGEA astrocyte markers present in the GBM expression data,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2026-09-28T19:34:13Z</dcterms:created>
  <dcterms:modified xsi:type="dcterms:W3CDTF">2026-09-28T19:34:13Z</dcterms:modified>
</cp:coreProperties>
</file>

<file path=docProps/custom.xml><?xml version="1.0" encoding="utf-8"?>
<Properties xmlns="http://schemas.openxmlformats.org/officeDocument/2006/custom-properties" xmlns:vt="http://schemas.openxmlformats.org/officeDocument/2006/docPropsVTypes"/>
</file>