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a35d7d4d6f26be0ad79c8aa9678f541b072cd21"/>
    <w:p>
      <w:pPr>
        <w:pStyle w:val="Heading1"/>
      </w:pPr>
      <w:r>
        <w:t xml:space="preserve">Introduction — Draft v3 (revised 2026-09-24 after ChatGPT + Kimi reviews)</w:t>
      </w:r>
    </w:p>
    <w:p>
      <w:pPr>
        <w:pStyle w:val="FirstParagraph"/>
      </w:pPr>
      <w:r>
        <w:rPr>
          <w:b/>
          <w:bCs/>
        </w:rPr>
        <w:t xml:space="preserve">Manuscript:</w:t>
      </w:r>
      <w:r>
        <w:t xml:space="preserve"> </w:t>
      </w:r>
      <w:r>
        <w:t xml:space="preserve">Cross-disease single-cell transcriptomic analysis reveals a shared stress/hypoxia axis in Alzheimer’s disease and glioblastoma</w:t>
      </w:r>
      <w:r>
        <w:t xml:space="preserve"> </w:t>
      </w:r>
      <w:r>
        <w:rPr>
          <w:b/>
          <w:bCs/>
        </w:rPr>
        <w:t xml:space="preserve">Author:</w:t>
      </w:r>
      <w:r>
        <w:t xml:space="preserve"> </w:t>
      </w:r>
      <w:r>
        <w:t xml:space="preserve">Ahmet Karakuş, Bartın Üniversitesi</w:t>
      </w:r>
      <w:r>
        <w:t xml:space="preserve"> </w:t>
      </w:r>
      <w:r>
        <w:rPr>
          <w:b/>
          <w:bCs/>
        </w:rPr>
        <w:t xml:space="preserve">Language:</w:t>
      </w:r>
      <w:r>
        <w:t xml:space="preserve"> </w:t>
      </w:r>
      <w:r>
        <w:t xml:space="preserve">Turkish (draft), edilgen ağırlıklı akademik üslup</w:t>
      </w:r>
      <w:r>
        <w:t xml:space="preserve"> </w:t>
      </w:r>
      <w:r>
        <w:rPr>
          <w:b/>
          <w:bCs/>
        </w:rPr>
        <w:t xml:space="preserve">Version:</w:t>
      </w:r>
      <w:r>
        <w:t xml:space="preserve"> </w:t>
      </w:r>
      <w:r>
        <w:t xml:space="preserve">v3 — literature grounding + softened claims + 3 competing papers acknowledged</w:t>
      </w:r>
      <w:r>
        <w:t xml:space="preserve"> </w:t>
      </w:r>
      <w:r>
        <w:rPr>
          <w:b/>
          <w:bCs/>
        </w:rPr>
        <w:t xml:space="preserve">Status:</w:t>
      </w:r>
      <w:r>
        <w:t xml:space="preserve"> </w:t>
      </w:r>
      <w:r>
        <w:t xml:space="preserve">Revised paragraphs 3 and 5; paragraphs 1, 2, 4 unchanged from v2</w:t>
      </w:r>
    </w:p>
    <w:p>
      <w:r>
        <w:pict>
          <v:rect style="width:0;height:1.5pt" o:hralign="center" o:hrstd="t" o:hr="t"/>
        </w:pict>
      </w:r>
    </w:p>
    <w:p>
      <w:pPr>
        <w:pStyle w:val="FirstParagraph"/>
      </w:pPr>
      <w:r>
        <w:t xml:space="preserve">Alzheimer hastalığı (AH) ve glioblastoma multiforme (GBM), yüzeyde birbirinden çok farklı iki hastalık olarak görünmektedir. İlki, yavaş ilerleyen nörodejenerasyon ve nöron kaybı ile karakterize; ikincisi ise agresif, hızla büyüyen bir beyin tümörüdür. Küresel ölçekte AH, 55 milyondan fazla bireyi etkileyen bir demans nedenidir¹ ve etkin hastalık-modifiye edici tedavisi hâlâ sınırlıdır; GBM ise standart tedaviye rağmen medyan sağkalımı yaklaşık 15 ay olan primer beyin tümörünün en agresif formunu oluşturmaktadır². Bu klinik ayrıma karşın, her iki hastalığın da kortikal nöroepitelyal kökenli hücreleri etkilediği ve hücre kimliği ile hücre-durumu programlarının bozulmasıyla karakterize olduğu bilinmektedir.</w:t>
      </w:r>
    </w:p>
    <w:p>
      <w:pPr>
        <w:pStyle w:val="BodyText"/>
      </w:pPr>
      <w:r>
        <w:t xml:space="preserve">AH nörodejenerasyonunun tek hücre analizi, hastalığın belirli nöron alt tiplerini seçici olarak vurduğunu ortaya koymuştur. Leng ve arkadaşları³ post-mortem entorhinal ve superior frontal korteks örneklerinden elde ettikleri snRNA-seq verisinde, üst-tabaka eksitatör nöronların RORB+ alt popülasyonunun Braak evresi ilerledikçe belirgin olarak azaldığını ve savunmasız transkripsiyonel bir imza sergilediğini bildirmiştir; bu bulgu, Mathys ve arkadaşlarının⁵ prefrontal kortekste, Green ve arkadaşlarının⁶ ise SEA-AD atlası kapsamında elde ettiği bağımsız veri setleriyle desteklenmiştir. GBM tarafında ise Neftel ve arkadaşları⁴ tümör içi malign hücrelerin dört ayrı meta-duruma — nöral-öncü benzeri (NPC-like), oligodendrosit-öncü benzeri (OPC-like), astrositik (AC-like) ve mezenkimal (MES-like) — ayrıldığını ve tümör-içi hücresel plastisiteyi yansıtan bu durumların NPC-like/OPC-like eksenine kayma eğiliminin nöral-öncü benzeri programın yeniden aktivasyonunu düşündürdüğünü göstermiştir; benzer bulgular Couturier/Suvà ve Tirosh gruplarınca⁷ genişletilmiştir.</w:t>
      </w:r>
    </w:p>
    <w:p>
      <w:pPr>
        <w:pStyle w:val="BodyText"/>
      </w:pPr>
      <w:r>
        <w:t xml:space="preserve">AH ile kanser arasındaki epidemiyolojik ters ilişki (AH hastalarında düşük kanser insidansı ve kanser hayatta kalanlarında düşük AH riski)⁸ uzun süredir bilim insanlarının ilgisini çekmiş, iki hastalık grubunun paylaşabileceği moleküler mekanizmaların araştırılmasına yol açmıştır⁹. Bu araştırma çizgisinin öncüsü Liu ve arkadaşlarının 2013 yılında yayımladıkları çalışmadır¹⁶: 1.091 GBM ve 524 AH bulk mikrodizin veri seti üzerinden gerçekleştirilen bu öncü karşılaştırmalardan biri, ERK/MAPK sinyal yolağının GBM’de yukarı, Angiopoietin sinyal yolağının ise AH’de karşılıklı olarak yukarı regüle olduğunu göstermiş ve iki hastalık arasında ters yönlü yolak regülasyonu çerçevesini oluşturmuştur. Yakın zamanda, iki bağımsız 2025 çalışması bu araştırma alanını farklı metodolojik yaklaşımlarla genişletmiştir. Liu ve arkadaşları¹⁷, 1.217 tümör baskılayıcı geni (TSG) taramış ve Mendelian randomizasyon, tek hücre profillemesi ve in vitro susturma deneyleriyle TNFRSF12A’yı APP işleme ve Wnt sinyalizasyonu üzerinden ilerleyen çapraz-hastalık aday geni olarak tanımlamıştır. Xu ve arkadaşları¹⁸ ise on farklı makine öğrenmesi algoritmasını çoklu-omik verilerle (snRNA-seq + scRNA-seq + DNA metilasyonu) birleştirerek dört mitokondriyal marker (EFHD1, SASH1, FAM110B, SLC25A18) ve oligodendrosit-astrosit etkileşimlerini AH-GBM ortak biyolojisinde açığa çıkarmıştır.</w:t>
      </w:r>
    </w:p>
    <w:p>
      <w:pPr>
        <w:pStyle w:val="BodyText"/>
      </w:pPr>
      <w:r>
        <w:t xml:space="preserve">Bu üç öncü çalışma, AH-GBM ortak moleküler zeminine ait değerli katmanlar sunmakla birlikte, iki metodolojik boşluk hâlâ ele alınmamıştır. İlk olarak, aday-gen taramasına veya makine öğrenmesi tabanlı marker keşfine dayanan mevcut yaklaşımlar, önceden formal olarak kayıt altına alınmış hipotezlerin sistematik test edilmesi çerçevesinde transkriptom-wide çapraz-hastalık yakınsamayı ölçmemiştir. İkinci olarak, hücresel çözünürlüklü analizler yürütülmüş olmasına karşın, belirli hücresel karşılaştırmalar — özellikle AH’de savunmasız RORB+ eksitatör nöronların Braak patoloji ilerlemesindeki transkripsiyonel değişimi ile GBM’in nöral-öncü benzeri (NPC-like + OPC-like) malign hücresel durumlarının olgun-durumlardan (AC-like + MES-like) farklılaşması arasındaki yön-bilinçli örtüşme — sistematik olarak sınanmamıştır. Bu iki metodolojik boşluk, bu çalışmada birlikte hedeflenmiştir; ayrıca büyük ölçekli bağımsız kohort doğrulaması için tek işleme boru hattı üzerinden hizalanmış recount3¹⁰ verileri kullanılarak kohortlar arası hizalama farklılıklarından doğan yapay batch etkileri en aza indirilmiştir.</w:t>
      </w:r>
    </w:p>
    <w:p>
      <w:pPr>
        <w:pStyle w:val="BodyText"/>
      </w:pPr>
      <w:r>
        <w:t xml:space="preserve">Bu çalışmada, AH ve GBM’in tek hücre transkripsiyonel imzaları arasındaki yakınsama, dört aşamalı bir çerçevede sistematik olarak sınanmıştır. İlk aşamada Leng ve arkadaşlarının³ AH snRNA-seq verisinden Braak II (erken patoloji) ile Braak 0 (kontrol) arasındaki farklı ifadeyi RORB+ eksitatör nöronlar için çıkarılmıştır (birincil kontrast; ileri AH patolojisine karşı duyarlılık kontrastı olarak Braak VI − Braak 0 karşılaştırması Ek Tablo S1’de raporlanmıştır). İkinci aşamada Neftel ve arkadaşlarının⁴ GBM snRNA-seq verisi kullanılarak malign hücrelerin NPC-like/OPC-like durumları ile AC-like/MES-like durumları arasındaki farklı ifade profili hesaplanmıştır. Üçüncü aşamada, iki imzanın çapraz-hastalık yakınsaması, önceden belirlenmiş 2/3 karar kuralı ile üç bağımsız istatistiksel test kullanılarak (RRHO2, hipergeometrik zenginleştirme, permütasyon testi) formal olarak sınanmıştır. Dördüncü aşamada, çekirdek çıkarımlar bağımsız iki bulk kohortta doğrulanmıştır: GSE125583¹¹ (n=289, fuziform korteks, Braak evresine stratifiye) ve TCGA-GBM (n=157) ile GTEx korteks (n=510). Analiz planı, çalışmanın başında Bartın Üniversitesi kurumsal e-posta arşivi üzerinden zaman-damgalı olarak kayıt altına alınmış, sonrasında ortaya çıkan tüm yöntemsel sapmalar sürekli güncellenen bir DEVIATIONS belgesinde açıkça raporlanmıştır.</w:t>
      </w:r>
    </w:p>
    <w:p>
      <w:pPr>
        <w:pStyle w:val="BodyText"/>
      </w:pPr>
      <w:r>
        <w:t xml:space="preserve">Elde edilen bulgular, çapraz-hastalık yakınsama hipotezinin ilk formülasyonunun (H2) formal olarak reddedildiğini göstermiştir; buna karşın veriler, önceden öngörülmeyen fakat biyolojik olarak yorumlanabilir bir yakınsama eksenini ortaya koymuştur. Nihai çıkarımlar, her iki hastalıkta da aşağı-regüle olan 20 genlik bir çekirdek imza (DD imzası) ve bu imzanın bağımsız kohortlarda güçlü doz-yanıt ve sıralama uyumu göstermesi biçiminde özetlenebilir (Wilcoxon p = 1,3×10⁻⁵, Spearman ρ = 0,713). Elde edilen 20 genin üç ayrı biyolojik ekseni işaret ettiği — paylaşılan nöronal kimlik kaybı, paylaşılan stres/hipoksi yanıtı ve tümöre özgü ayrışan metabolik-proliferatif regülasyon — daha ayrıntılı bir sınıflandırmayla ortaya konmuştur. Bu bulgular, önceki AH-GBM karşılaştırmalarına (bulk mikrodizin¹⁶, TSG taraması¹⁷, ML tabanlı biomarker keşfi¹⁸) tamamlayıcı bir katman ekleyerek, çapraz-hastalık yakınsama olgusuna hipotez-testli ve hücre-tipi çözünürlüklü bir çerçevede yeni bir perspektif sunmaktadır.</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2026-09-24T19:50:32Z</dcterms:created>
  <dcterms:modified xsi:type="dcterms:W3CDTF">2026-09-24T19:50:32Z</dcterms:modified>
</cp:coreProperties>
</file>

<file path=docProps/custom.xml><?xml version="1.0" encoding="utf-8"?>
<Properties xmlns="http://schemas.openxmlformats.org/officeDocument/2006/custom-properties" xmlns:vt="http://schemas.openxmlformats.org/officeDocument/2006/docPropsVTypes"/>
</file>