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Bartın University, </w:t>
      </w:r>
      <w:r>
        <w:rPr>
          <w:highlight w:val="yellow"/>
        </w:rPr>
        <w:t>[CHECK: department]</w:t>
      </w:r>
      <w:r>
        <w:rPr/>
        <w:t xml:space="preserve">, </w:t>
      </w:r>
      <w:r>
        <w:rPr>
          <w:highlight w:val="yellow"/>
        </w:rPr>
        <w:t>[CHECK: postal address]</w:t>
      </w:r>
      <w:r>
        <w:rPr/>
        <w:t>,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Under a time-stamped analysis plan, I tested two hypotheses.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MuSiC gave the same count but implausible proportions. Independent noise covariates did not reproduce this loss, whereas components from random genes, which also captured composition, did. In the independent cohort, 30% of AD DEGs remained significant after adjustment, but only 3.5%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because age and Braak stage did not overlap in the discovery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Preregistration;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In an earlier bulk analysis I had observed a shared gene signature between AD and GBM, and I wanted to know whether it would hold up once composition was controlled </w:t>
      </w:r>
      <w:r>
        <w:rPr>
          <w:highlight w:val="yellow"/>
        </w:rPr>
        <w:t>[CHECK: publication status and citation of the earlier analysis]</w:t>
      </w:r>
      <w:r>
        <w:rPr/>
        <w:t>.</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I tested both questions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Flexible, data-dependent analysis decisions inflate false-positive rates (Simmons et al., 2011), so the hypotheses, thresholds, decision rules and publication framings for both possible outcomes were fixed in advance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I also audited the implementation against the plan during the study and report how the problems it uncovered affected the results.</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is made public together with this article </w:t>
      </w:r>
      <w:r>
        <w:rPr>
          <w:highlight w:val="yellow"/>
        </w:rPr>
        <w:t>[CHECK: repository URL / Zenodo DOI]</w:t>
      </w:r>
      <w:r>
        <w:rPr/>
        <w:t>.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t>
      </w:r>
      <w:r>
        <w:rPr>
          <w:highlight w:val="yellow"/>
        </w:rPr>
        <w:t>[CHECK: exact criterion]</w:t>
      </w:r>
      <w:r>
        <w:rPr/>
        <w:t xml:space="preserve">, and Braak stage V–VI for the advanced AD group of GSE125583 </w:t>
      </w:r>
      <w:r>
        <w:rPr>
          <w:highlight w:val="yellow"/>
        </w:rPr>
        <w:t>[CHECK]</w:t>
      </w:r>
      <w:r>
        <w:rPr/>
        <w:t>. Sex refers to biological sex as recorded in each source; gender information was not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w:t>
            </w:r>
            <w:r>
              <w:rPr>
                <w:rFonts w:ascii="Times New Roman" w:hAnsi="Times New Roman"/>
                <w:sz w:val="20"/>
                <w:highlight w:val="yellow"/>
              </w:rPr>
              <w:t>[CHECK: source publication; candidate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p>
      <w:pPr>
        <w:pStyle w:val="BodyText"/>
      </w:pPr>
      <w:r>
        <w:rPr>
          <w:iCs/>
          <w:i/>
        </w:rPr>
        <w:t xml:space="preserve">Abbreviations:</w:t>
      </w:r>
      <w:r>
        <w:t xml:space="preserve"> </w:t>
      </w:r>
      <w:r>
        <w:t xml:space="preserve">AD, Alzheimer’s disease; BA9, Brodmann area 9; GBM, glioblastoma; GTEx, Genotype-Tissue Expression project; H1, primary hypothesis; IDH, isocitrate dehydrogenase; M1, primary motor cortex;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I used the processed entorhinal cortex excitatory-neuron object released by Leng et al. (2021), with its scAlign (Johansen and Quon, 2019) subcluster labels. The plan defined vulnerable neurons by the 75th percentile of RORB expression. Instead, I used the three RORB+ subclusters that the original study identified as vulnerable (EC:Exc.s1, EC:Exc.s2 and EC:Exc.s4),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I summed the three subclusters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I fitted a model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 decided before seeing results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I used the adult malignant cells from the Smart-seq2 data (GSM3828672) and converted the GEO values, stored as log2(TPM/10 + 1), back to linear TPM with 10 × (2^x − 1). The GEO archive (GSE131928_RAW.tar) contains only processed TPM matrices, so an analysis on raw counts was not possible. This is a limitation for a negative binomial model, which assumes counts, so I also ran a limma-trend sensitivity analysis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I noticed this while making the figures and corrected it; the DU values, and therefore the H2 decisions, did not change (see the deviation register). The plan specified a BH adjustment at this point; for consistency with the original implementation, I multiplied the raw P value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I took the top 200 genes of each signature and tested their overlap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I drew 1,000 random pairs of 200-gene sets from the shared universe and computed the odds ratio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I checked the implementation by running it on the original AD input and reproducing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I discuss this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I used MuSiC (Wang et al., 2019) (version 1.0.0), which is also reference-based (deviation). The plan called for an Allen Brain Map reference and cited Tasic et al. (2018), a mouse dataset. I used the human primary motor cortex (M1) 10x Chromium v3 snRNA-seq data published by Bakken et al. (2021) (two donors, 76,533 nuclei).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I collapsed the reference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I randomly selected at most 500 nuclei per class and donor using the metadata only (3,023 nuclei in total), and committed the selection list before reading any expression data.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I fitted four models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 removed it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I computed the variance inflation factor (VIF) of the diagnosis coefficient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In a sensitivity analysis I also required |log2FC| &gt; 0.5 in AD and |log2FC| &gt; 1 in GBM. H1 was supported if the ratios of shared DEGs in Model B to Model A and in Model C to Model A were both at most 0.20, rejected if either ratio was at least 0.50, and inconclusive otherwise. I also ran sensitivity analyses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I estimated the within-donor correlation with</w:t>
      </w:r>
      <w:r>
        <w:t xml:space="preserve"> </w:t>
      </w:r>
      <w:r>
        <w:rPr>
          <w:rStyle w:val="VerbatimChar"/>
        </w:rPr>
        <w:t xml:space="preserve">duplicateCorrelation</w:t>
      </w:r>
      <w:r>
        <w:t xml:space="preserve"> </w:t>
      </w:r>
      <w:r>
        <w:t xml:space="preserve">and compared the original result with a limma-voom model that included a donor block and with a donor-summed edgeR model. I examined how sensitive the</w:t>
      </w:r>
      <w:r>
        <w:t xml:space="preserve"> </w:t>
      </w:r>
      <w:r>
        <w:t xml:space="preserve">“</w:t>
      </w:r>
      <w:r>
        <w:t xml:space="preserve">down in both diseases</w:t>
      </w:r>
      <w:r>
        <w:t xml:space="preserve">”</w:t>
      </w:r>
      <w:r>
        <w:t xml:space="preserve"> </w:t>
      </w:r>
      <w:r>
        <w:t xml:space="preserve">(DD) quadrant signal of the original analysis was to these corrections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I looked at the behaviour of six stress genes taken from the DD quadrant of the original analysis in an independent AD cohort. The recount3 (Wilks et al., 2021) counts are base-pair coverage values, not read counts, so instead of negative binomial methods I used limma-trend on log-CPM values. Advanced AD (n = 125) was compared with controls (n = 70) using</w:t>
      </w:r>
      <w:r>
        <w:t xml:space="preserve"> </w:t>
      </w:r>
      <w:r>
        <w:rPr>
          <w:rStyle w:val="VerbatimChar"/>
        </w:rPr>
        <w:t xml:space="preserve">~ group + age + sex</w:t>
      </w:r>
      <w:r>
        <w:t xml:space="preserve">, and I then added neuron, astrocyte and microglia marker scores (the mean z-score of each marker set) as covariates. The cohort as analysed is saved to disk by a script (R/12_build_gse125583_bulk.R), but the upstream download and log-CPM steps are not yet scripted </w:t>
      </w:r>
      <w:r>
        <w:rPr>
          <w:highlight w:val="yellow"/>
        </w:rPr>
        <w:t>[CHECK: loading script to be added before submission]</w:t>
      </w:r>
      <w:r>
        <w:rPr/>
        <w:t>.</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I ran a two-arm negative control with rules defined before the results were seen. In arm 1, six independent standard normal variables were added to Model A. In arm 2, I added the first principal component scores of six random 50-gene sets drawn from all genes outside the BRETIGEA marker lists. Each arm had 1,000 iterations. The primary metric was retention of AD DEGs (the median number of AD DEGs per iteration divided by the number in Model A). In arm 2, I measured how much composition the random covariates captured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I pre-declared and committed three further analyses before running them.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This analysis used the gene-symbol-level matrix and the six BRETIGEA scores, whereas the stress-gene analysis above used the Ensembl-level matrix and three marker scores, so their genome-wide DEG counts differ slightly.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w:t>
      </w:r>
      <w:r>
        <w:rPr>
          <w:highlight w:val="yellow"/>
        </w:rPr>
        <w:t>[CHECK: URL]</w:t>
      </w:r>
      <w:r>
        <w:rPr/>
        <w:t>.</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29"/>
    <w:bookmarkEnd w:id="30"/>
    <w:bookmarkStart w:id="37" w:name="results"/>
    <w:p>
      <w:pPr>
        <w:pStyle w:val="Heading2"/>
      </w:pPr>
      <w:r>
        <w:t xml:space="preserve">3. Results</w:t>
      </w:r>
    </w:p>
    <w:p>
      <w:pPr>
        <w:pStyle w:val="FirstParagraph"/>
      </w:pPr>
      <w:r>
        <w:t xml:space="preserve">I first report the tests of the two pre-specified hypotheses (Sections 3.1–3.3) and then the exploratory analyses, which do not enter the hypothesis decisions (Sections 3.4–3.6). All numbers come from the facts sheet generated from the locked result files.</w:t>
      </w:r>
    </w:p>
    <w:bookmarkStart w:id="31"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I report Model C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 had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I ran a two-arm negative control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9,306 AD DEGs, of which 3,912 were shared with GBM. With the BRETIGEA scores added, the model gave 4,242 AD DEGs (diagnosis VIF 1.4) and 288 shared DEGs. The pre-declared shared-DEG ratio (288/3,912 = 0.074) was below the threshold of 0.20, so H1 replicated. With the fold-change thresholds, shared DEGs fell from 1,105 to 3 (ratio 0.003). Figure S1 compares the two AD cohorts. Supplementary Table S1b lists the 3,912 shared genes and marks those that remained shared, and Table S1c lists the genes that became shared only after adjustment.</w:t>
      </w:r>
    </w:p>
    <w:p>
      <w:pPr>
        <w:pStyle w:val="BodyText"/>
      </w:pPr>
      <w:r>
        <w:t xml:space="preserve">The ratio compares counts, not genes, so I also looked at which genes remained (this was not pre-declared). Of the 9,306 AD DEGs under Model A, 2,800 (30.1%) were still significant under Model B, and of the 14,811 GBM DEGs, 6,718 (45.4%) were. Of the 3,912 shared DEGs, only 138 (3.5%) were still shared after adjustment; the other 150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I examined how this signal and the gene counts depend on those analytic choices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I repeated the four-quadrant overlap test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I held the Braak II versus Braak 0 contrast fixed and varied donor modelling and age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I examined six stress genes taken from the original DD quadrant (CEBPD, FLNA, JUNB, PER1, PFKFB3 and ZFP36L1) in an AD cohort that is not part of the plan (GSE125583, fusiform cortex; 125 advanced AD, 70 controls). Age is balanced between the groups in this cohort (correlation between group and age r = 0.071; Wilcoxon P = 0.373).</w:t>
      </w:r>
    </w:p>
    <w:p>
      <w:pPr>
        <w:pStyle w:val="BodyText"/>
      </w:pPr>
      <w:r>
        <w:t xml:space="preserve">In the model adjusted for age and sex, all 20 genes of the DD signature kept the direction they had in the unadjusted model (log2FC correlation 1.000). All six stress genes were higher in advanced AD, and five reached FDR &lt; 0.05 (JUNB: FDR = 0.083; Supplementary Table S4). With neuron, astrocyte and microglia marker scores added, all six stayed up and five remained significant (log2FC between 0.27 and 0.44; JUNB: FDR = 0.087). Composition adjustment reduced the number of significant genes across the genome from 9,313 to 4,514 (these counts refer to the Ensembl-level matrix and three marker scores, and differ slightly from those in Section 3.4). Most of the genes in the neuronal category lost significance after this adjustment; only NRN1 remained down (log2FC from −1.30 to −0.45), and the direction of the BAIAP2 difference reversed. This fits with the bulk decline of these genes being largely a consequence of neuron loss (correlation between neuron score and group r = −0.42). None of the eight genes in the divergent, tumour-specific category remained significant. The astrocyte score did not differ between groups (r = −0.05).</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 discuss in Section 4.3.</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My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My findings do not invalidate their conclusions. What they do show is that convergence claims resting on the number of shared bulk DEGs are weak evidence unless composition has been controlled.</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My data fit that literature. But when I separated the two corrections, modelling donor did not remove the DD signal. Adding age did. I had first written that pseudoreplication and the missing age term together produced the signal; the 2 × 2 decomposition, prompted by an external review, showed that this was wrong, and I have corrected it.</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taught me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marker-based composition.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My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I do not treat Model C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30%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3.5% of the shared genes in the replication cohort), while about 30%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6"/>
    <w:bookmarkStart w:id="47" w:name="declaration-of-competing-interest"/>
    <w:p>
      <w:pPr>
        <w:pStyle w:val="Heading2"/>
      </w:pPr>
      <w:r>
        <w:t xml:space="preserve">Declaration of competing interest</w:t>
      </w:r>
    </w:p>
    <w:p>
      <w:pPr>
        <w:pStyle w:val="FirstParagraph"/>
      </w:pPr>
      <w:r/>
      <w:r>
        <w:rPr>
          <w:highlight w:val="yellow"/>
        </w:rPr>
        <w:t>[CHECK: The author declares that he has no known competing financial interests or personal relationships that could have appeared to influence the work reported in this paper.]</w:t>
      </w:r>
    </w:p>
    <w:bookmarkEnd w:id="47"/>
    <w:bookmarkStart w:id="48" w:name="funding"/>
    <w:p>
      <w:pPr>
        <w:pStyle w:val="Heading2"/>
      </w:pPr>
      <w:r>
        <w:t xml:space="preserve">Funding</w:t>
      </w:r>
    </w:p>
    <w:p>
      <w:pPr>
        <w:pStyle w:val="FirstParagraph"/>
      </w:pPr>
      <w:r/>
      <w:r>
        <w:rPr>
          <w:highlight w:val="yellow"/>
        </w:rPr>
        <w:t>[CHECK: funding statement, or</w:t>
      </w:r>
      <w:r>
        <w:t xml:space="preserve"> </w:t>
      </w:r>
      <w:r>
        <w:t xml:space="preserve">“</w:t>
      </w:r>
      <w:r>
        <w:t xml:space="preserve">This research did not receive any specific grant from funding agencies in the public, commercial, or not-for-profit sectors.</w:t>
      </w:r>
      <w:r>
        <w:t xml:space="preserve">”</w:t>
      </w:r>
      <w:r>
        <w:t xml:space="preserve">]</w:t>
      </w:r>
    </w:p>
    <w:bookmarkEnd w:id="48"/>
    <w:bookmarkStart w:id="49"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49"/>
    <w:bookmarkStart w:id="50"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w:t>
      </w:r>
      <w:r>
        <w:rPr>
          <w:highlight w:val="yellow"/>
        </w:rPr>
        <w:t>[CHECK: repository URL and Zenodo DOI]</w:t>
      </w:r>
      <w:r>
        <w:rPr/>
        <w:t>.</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assist with drafting and editing text, writing and reviewing analysis code, and checking references against PubMed, and used ChatGPT (OpenAI) and Kimi (Moonshot AI) to obtain critical reviews of draft versions. All analyses were run, checked and interpreted by the author. After using these tools, the author reviewed and edited the content as needed and takes full responsibility for the content of the published article.</w:t>
      </w:r>
    </w:p>
    <w:bookmarkEnd w:id="51"/>
    <w:bookmarkStart w:id="52"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2"/>
    <w:bookmarkStart w:id="53"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3"/>
    <w:bookmarkStart w:id="54"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Deviation register (DEVIATIONS), with the date, reason and affected analyses of every departure from the plan.</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3,912 shared DEGs of the replication analysis (GSE125583), with estimates under Models A and B and an indicator for the 138 genes that remained shared after adjustment. Table S1c: the 150 genes that were shared only after adjustment. Table S2: correlations of the 50 BRETIGEA astrocyte markers with the astrocyte score in the GBM cohort,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4"/>
    <w:bookmarkEnd w:id="55"/>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2026-09-28T16:21:40Z</dcterms:created>
  <dcterms:modified xsi:type="dcterms:W3CDTF">2026-09-28T16:21:40Z</dcterms:modified>
</cp:coreProperties>
</file>

<file path=docProps/custom.xml><?xml version="1.0" encoding="utf-8"?>
<Properties xmlns="http://schemas.openxmlformats.org/officeDocument/2006/custom-properties" xmlns:vt="http://schemas.openxmlformats.org/officeDocument/2006/docPropsVTypes"/>
</file>