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Calibri" w:cs="Calibri" w:eastAsia="Calibri" w:hAnsi="Calibri"/>
          <w:b/>
          <w:bCs/>
          <w:sz w:val="36"/>
          <w:szCs w:val="36"/>
        </w:rPr>
        <w:t xml:space="preserve">Pre-specified Analysis Plan</w:t>
      </w:r>
    </w:p>
    <w:p>
      <w:pPr>
        <w:spacing w:after="400"/>
        <w:jc w:val="center"/>
      </w:pPr>
      <w:r>
        <w:rPr>
          <w:rFonts w:ascii="Calibri" w:cs="Calibri" w:eastAsia="Calibri" w:hAnsi="Calibri"/>
          <w:i/>
          <w:iCs/>
          <w:sz w:val="24"/>
          <w:szCs w:val="24"/>
        </w:rPr>
        <w:t xml:space="preserve">Written prior to data analysis; committed to the project GitHub repository at first commit</w:t>
      </w:r>
    </w:p>
    <w:p>
      <w:pPr>
        <w:spacing w:after="400" w:before="800"/>
        <w:jc w:val="center"/>
      </w:pPr>
      <w:r>
        <w:rPr>
          <w:rFonts w:ascii="Calibri" w:cs="Calibri" w:eastAsia="Calibri" w:hAnsi="Calibri"/>
          <w:b/>
          <w:bCs/>
          <w:sz w:val="30"/>
          <w:szCs w:val="30"/>
        </w:rPr>
        <w:t xml:space="preserve">Cell-composition-controlled re-evaluation of transcriptomic convergence between Alzheimer’s disease and glioblastoma multiforme: a hypothesis-driven bulk and single-cell integrative analysis</w:t>
      </w:r>
    </w:p>
    <w:p>
      <w:pPr>
        <w:spacing w:after="200" w:before="800"/>
        <w:jc w:val="center"/>
      </w:pPr>
      <w:r>
        <w:rPr>
          <w:rFonts w:ascii="Calibri" w:cs="Calibri" w:eastAsia="Calibri" w:hAnsi="Calibri"/>
          <w:b/>
          <w:bCs/>
          <w:sz w:val="26"/>
          <w:szCs w:val="26"/>
        </w:rPr>
        <w:t xml:space="preserve">Ahmet KARAKUŞ</w:t>
      </w:r>
    </w:p>
    <w:p>
      <w:pPr>
        <w:spacing w:after="100"/>
        <w:jc w:val="center"/>
      </w:pPr>
      <w:r>
        <w:rPr>
          <w:rFonts w:ascii="Calibri" w:cs="Calibri" w:eastAsia="Calibri" w:hAnsi="Calibri"/>
          <w:sz w:val="22"/>
          <w:szCs w:val="22"/>
        </w:rPr>
        <w:t xml:space="preserve">Department of Biotechnology, Faculty of Science, Bartın University, Bartın, Türkiye</w:t>
      </w:r>
    </w:p>
    <w:p>
      <w:pPr>
        <w:spacing w:after="100"/>
        <w:jc w:val="center"/>
      </w:pPr>
      <w:r>
        <w:rPr>
          <w:rFonts w:ascii="Calibri" w:cs="Calibri" w:eastAsia="Calibri" w:hAnsi="Calibri"/>
          <w:sz w:val="22"/>
          <w:szCs w:val="22"/>
        </w:rPr>
        <w:t xml:space="preserve">Correspondence: akarakus@bartin.edu.tr</w:t>
      </w:r>
    </w:p>
    <w:p>
      <w:pPr>
        <w:spacing w:after="400"/>
        <w:jc w:val="center"/>
      </w:pPr>
      <w:r>
        <w:rPr>
          <w:rFonts w:ascii="Calibri" w:cs="Calibri" w:eastAsia="Calibri" w:hAnsi="Calibri"/>
          <w:sz w:val="22"/>
          <w:szCs w:val="22"/>
        </w:rPr>
        <w:t xml:space="preserve">ORCID: 0000-0001-2345-6789</w:t>
      </w:r>
    </w:p>
    <w:p>
      <w:pPr>
        <w:spacing w:before="800"/>
        <w:jc w:val="center"/>
      </w:pPr>
      <w:r>
        <w:rPr>
          <w:rFonts w:ascii="Calibri" w:cs="Calibri" w:eastAsia="Calibri" w:hAnsi="Calibri"/>
          <w:sz w:val="22"/>
          <w:szCs w:val="22"/>
        </w:rPr>
        <w:t xml:space="preserve">Plan version: 1.0</w:t>
      </w:r>
    </w:p>
    <w:p>
      <w:pPr>
        <w:spacing w:after="100"/>
        <w:jc w:val="center"/>
      </w:pPr>
      <w:r>
        <w:rPr>
          <w:rFonts w:ascii="Calibri" w:cs="Calibri" w:eastAsia="Calibri" w:hAnsi="Calibri"/>
          <w:sz w:val="22"/>
          <w:szCs w:val="22"/>
        </w:rPr>
        <w:t xml:space="preserve">Date of first commit: [to be filled at GitHub initialisation]</w:t>
      </w:r>
    </w:p>
    <w:p>
      <w:pPr>
        <w:spacing w:after="100"/>
        <w:jc w:val="center"/>
      </w:pPr>
      <w:r>
        <w:rPr>
          <w:rFonts w:ascii="Calibri" w:cs="Calibri" w:eastAsia="Calibri" w:hAnsi="Calibri"/>
          <w:sz w:val="22"/>
          <w:szCs w:val="22"/>
        </w:rPr>
        <w:t xml:space="preserve">Project GitHub repository: [to be assigned]</w:t>
      </w:r>
    </w:p>
    <w:p>
      <w:pPr>
        <w:spacing w:after="400"/>
        <w:jc w:val="center"/>
      </w:pPr>
      <w:r>
        <w:rPr>
          <w:rFonts w:ascii="Calibri" w:cs="Calibri" w:eastAsia="Calibri" w:hAnsi="Calibri"/>
          <w:sz w:val="22"/>
          <w:szCs w:val="22"/>
        </w:rPr>
        <w:t xml:space="preserve">Planned analysis start date: [Week 1 following first commit timestamp]</w:t>
      </w:r>
    </w:p>
    <w:p>
      <w:r>
        <w:br w:type="page"/>
      </w:r>
    </w:p>
    <w:p>
      <w:pPr>
        <w:pStyle w:val="Heading1"/>
        <w:spacing w:after="180" w:before="360"/>
      </w:pPr>
      <w:r>
        <w:rPr>
          <w:rFonts w:ascii="Calibri" w:cs="Calibri" w:eastAsia="Calibri" w:hAnsi="Calibri"/>
          <w:b/>
          <w:bCs/>
          <w:sz w:val="32"/>
          <w:szCs w:val="32"/>
        </w:rPr>
        <w:t xml:space="preserve">Executive summary</w:t>
      </w:r>
    </w:p>
    <w:p>
      <w:pPr>
        <w:spacing w:after="120" w:before="0" w:line="300"/>
        <w:jc w:val="both"/>
      </w:pPr>
      <w:r>
        <w:rPr>
          <w:rFonts w:ascii="Calibri" w:cs="Calibri" w:eastAsia="Calibri" w:hAnsi="Calibri"/>
          <w:b w:val="false"/>
          <w:bCs w:val="false"/>
          <w:i w:val="false"/>
          <w:iCs w:val="false"/>
          <w:sz w:val="22"/>
          <w:szCs w:val="22"/>
        </w:rPr>
        <w:t xml:space="preserve">This document is a pre-specified analysis plan for a hypothesis-driven, cell-composition-controlled re-evaluation of the reported transcriptomic convergence between Alzheimer’s disease (AD) and glioblastoma multiforme (GBM). Prior bulk transcriptomic comparisons have proposed a shared molecular basis for the epidemiologically documented AD-cancer inverse comorbidity, typically reporting on the order of 100–300 shared differentially expressed genes enriched in neuronal and synaptic pathways. Both AD-affected brain regions and GBM tumour tissue, however, undergo dramatic shifts in cellular composition relative to healthy controls; whether reported shared signatures reflect cell-autonomous convergent biology or shared cell-composition confounding has not been systematically tested.</w:t>
      </w:r>
    </w:p>
    <w:p>
      <w:pPr>
        <w:spacing w:after="120" w:before="0" w:line="300"/>
        <w:jc w:val="both"/>
      </w:pPr>
      <w:r>
        <w:rPr>
          <w:rFonts w:ascii="Calibri" w:cs="Calibri" w:eastAsia="Calibri" w:hAnsi="Calibri"/>
          <w:b w:val="false"/>
          <w:bCs w:val="false"/>
          <w:i w:val="false"/>
          <w:iCs w:val="false"/>
          <w:sz w:val="22"/>
          <w:szCs w:val="22"/>
        </w:rPr>
        <w:t xml:space="preserve">This study will (i) test whether previously reported bulk-level AD-GBM shared gene expression signatures survive systematic cell-composition control using two independent deconvolution methods, and (ii) validate any residual shared signal at single-cell resolution by testing whether the identity of AD-vulnerable excitatory neurons (RORB+ entorhinal cortex Layer II neurons; Leng et al., 2021) overlaps statistically with the transcriptional identity of GBM neural-lineage-like malignant cell states (NPC-like and OPC-like; Neftel et al., 2019).</w:t>
      </w:r>
    </w:p>
    <w:p>
      <w:pPr>
        <w:spacing w:after="120" w:before="0" w:line="300"/>
        <w:jc w:val="both"/>
      </w:pPr>
      <w:r>
        <w:rPr>
          <w:rFonts w:ascii="Calibri" w:cs="Calibri" w:eastAsia="Calibri" w:hAnsi="Calibri"/>
          <w:b w:val="false"/>
          <w:bCs w:val="false"/>
          <w:i w:val="false"/>
          <w:iCs w:val="false"/>
          <w:sz w:val="22"/>
          <w:szCs w:val="22"/>
        </w:rPr>
        <w:t xml:space="preserve">The analytical design is structured such that both possible outcomes yield an interpretable and publishable result. If both hypotheses are supported, the study establishes that bulk-level AD-GBM convergence reflects shared cellular identity rather than shared disease programs, and provides a cell-type-resolved framework for interpreting cross-disease bulk transcriptomic comparisons. If the primary hypothesis is supported but the secondary is not, the study establishes that bulk-level convergence is a composition artifact with no cell-type-resolved biological analogue. Analytical decisions, statistical thresholds, and publication-scenario mappings are pre-specified below.</w:t>
      </w:r>
    </w:p>
    <w:p>
      <w:pPr>
        <w:spacing w:after="120" w:before="0" w:line="300"/>
        <w:jc w:val="both"/>
      </w:pPr>
      <w:r>
        <w:rPr>
          <w:rFonts w:ascii="Calibri" w:cs="Calibri" w:eastAsia="Calibri" w:hAnsi="Calibri"/>
          <w:b w:val="false"/>
          <w:bCs w:val="false"/>
          <w:i w:val="false"/>
          <w:iCs w:val="false"/>
          <w:sz w:val="22"/>
          <w:szCs w:val="22"/>
        </w:rPr>
        <w:t xml:space="preserve">The analysis will be conducted by a single investigator using publicly available data. To offset the loss of collective methodological oversight that multi-author teams provide, this plan commits to (a) commitment of this analysis plan to a public GitHub repository prior to any data analysis, establishing a cryptographic timestamp of the pre-specified hypotheses and decision rules, (b) parallel execution of key analytical steps using two independent methods with pre-specified concordance criteria, (c) fully containerised and version-controlled reproducibility infrastructure, and (d) transparent reporting of deviations from this plan if any occur, together with the git commit history that documents when each analytical decision was made.</w:t>
      </w:r>
    </w:p>
    <w:p>
      <w:r>
        <w:br w:type="page"/>
      </w:r>
    </w:p>
    <w:p>
      <w:pPr>
        <w:pStyle w:val="Heading1"/>
        <w:spacing w:after="180" w:before="360"/>
      </w:pPr>
      <w:r>
        <w:rPr>
          <w:rFonts w:ascii="Calibri" w:cs="Calibri" w:eastAsia="Calibri" w:hAnsi="Calibri"/>
          <w:b/>
          <w:bCs/>
          <w:sz w:val="32"/>
          <w:szCs w:val="32"/>
        </w:rPr>
        <w:t xml:space="preserve">1. Background and rationale</w:t>
      </w:r>
    </w:p>
    <w:p>
      <w:pPr>
        <w:pStyle w:val="Heading2"/>
        <w:spacing w:after="140" w:before="280"/>
      </w:pPr>
      <w:r>
        <w:rPr>
          <w:rFonts w:ascii="Calibri" w:cs="Calibri" w:eastAsia="Calibri" w:hAnsi="Calibri"/>
          <w:b/>
          <w:bCs/>
          <w:sz w:val="26"/>
          <w:szCs w:val="26"/>
        </w:rPr>
        <w:t xml:space="preserve">1.1 Three converging literatures with an unfilled intersection</w:t>
      </w:r>
    </w:p>
    <w:p>
      <w:pPr>
        <w:spacing w:after="120" w:before="0" w:line="300"/>
        <w:jc w:val="both"/>
      </w:pPr>
      <w:r>
        <w:rPr>
          <w:rFonts w:ascii="Calibri" w:cs="Calibri" w:eastAsia="Calibri" w:hAnsi="Calibri"/>
          <w:b w:val="false"/>
          <w:bCs w:val="false"/>
          <w:i w:val="false"/>
          <w:iCs w:val="false"/>
          <w:sz w:val="22"/>
          <w:szCs w:val="22"/>
        </w:rPr>
        <w:t xml:space="preserve">Three independent research literatures inform this study, and their intersection has not been systematically investigated to the best of the author’s knowledge based on structured PubMed searches conducted up to the date of this protocol.</w:t>
      </w:r>
    </w:p>
    <w:p>
      <w:pPr>
        <w:spacing w:after="120" w:before="0" w:line="300"/>
        <w:jc w:val="both"/>
      </w:pPr>
      <w:r>
        <w:rPr>
          <w:rFonts w:ascii="Calibri" w:cs="Calibri" w:eastAsia="Calibri" w:hAnsi="Calibri"/>
          <w:b/>
          <w:bCs/>
          <w:i w:val="false"/>
          <w:iCs w:val="false"/>
          <w:sz w:val="22"/>
          <w:szCs w:val="22"/>
        </w:rPr>
        <w:t xml:space="preserve">The AD–cancer inverse comorbidity literature. </w:t>
      </w:r>
      <w:r>
        <w:rPr>
          <w:rFonts w:ascii="Calibri" w:cs="Calibri" w:eastAsia="Calibri" w:hAnsi="Calibri"/>
          <w:b w:val="false"/>
          <w:bCs w:val="false"/>
          <w:i w:val="false"/>
          <w:iCs w:val="false"/>
          <w:sz w:val="22"/>
          <w:szCs w:val="22"/>
        </w:rPr>
        <w:t xml:space="preserve">Population-scale epidemiological studies have consistently documented an inverse association between AD and cancer incidence, robust to adjustments for age, sex, and survival bias (Driver et al., 2012, BMJ; Musicco et al., 2013, Neurology; Catalá-López et al., 2014, Psychotherapy and Psychosomatics). Molecular explanations have been sought primarily through bulk transcriptomic meta-analyses (Ibáñez et al., 2014, PLoS Genetics; Forés-Martos et al., 2021, Cancers; Cai et al., 2022, Medical Oncology). These studies report tens to hundreds of shared differentially expressed genes, typically enriched in synaptic, neuronal, and inflammatory pathways. The common methodological limitation is that none have systematically controlled for the substantial shifts in tissue-level cellular composition that both diseases induce, leaving unresolved whether the reported convergence reflects shared cell-autonomous biology or shared cell-composition confounding.</w:t>
      </w:r>
    </w:p>
    <w:p>
      <w:pPr>
        <w:spacing w:after="120" w:before="0" w:line="300"/>
        <w:jc w:val="both"/>
      </w:pPr>
      <w:r>
        <w:rPr>
          <w:rFonts w:ascii="Calibri" w:cs="Calibri" w:eastAsia="Calibri" w:hAnsi="Calibri"/>
          <w:b/>
          <w:bCs/>
          <w:i w:val="false"/>
          <w:iCs w:val="false"/>
          <w:sz w:val="22"/>
          <w:szCs w:val="22"/>
        </w:rPr>
        <w:t xml:space="preserve">The AD selective vulnerability literature. </w:t>
      </w:r>
      <w:r>
        <w:rPr>
          <w:rFonts w:ascii="Calibri" w:cs="Calibri" w:eastAsia="Calibri" w:hAnsi="Calibri"/>
          <w:b w:val="false"/>
          <w:bCs w:val="false"/>
          <w:i w:val="false"/>
          <w:iCs w:val="false"/>
          <w:sz w:val="22"/>
          <w:szCs w:val="22"/>
        </w:rPr>
        <w:t xml:space="preserve">Single-nucleus RNA sequencing (snRNA-seq) studies of the AD brain have mapped which neuronal subtypes are selectively lost in AD with molecular precision. Excitatory neurons expressing RORB in entorhinal cortex Layer II are particularly vulnerable and are lost early in disease progression (Leng et al., 2021, Nature Neuroscience; Otero-Garcia et al., 2022, Neuron; Green et al., 2024, Nature). This literature has focused on what defines AD-vulnerable identity within AD; whether that same molecular identity is expressed or mimicked in other disease contexts has not been examined.</w:t>
      </w:r>
    </w:p>
    <w:p>
      <w:pPr>
        <w:spacing w:after="120" w:before="0" w:line="300"/>
        <w:jc w:val="both"/>
      </w:pPr>
      <w:r>
        <w:rPr>
          <w:rFonts w:ascii="Calibri" w:cs="Calibri" w:eastAsia="Calibri" w:hAnsi="Calibri"/>
          <w:b/>
          <w:bCs/>
          <w:i w:val="false"/>
          <w:iCs w:val="false"/>
          <w:sz w:val="22"/>
          <w:szCs w:val="22"/>
        </w:rPr>
        <w:t xml:space="preserve">The cancer neuroscience and GBM neural-mimicry literature. </w:t>
      </w:r>
      <w:r>
        <w:rPr>
          <w:rFonts w:ascii="Calibri" w:cs="Calibri" w:eastAsia="Calibri" w:hAnsi="Calibri"/>
          <w:b w:val="false"/>
          <w:bCs w:val="false"/>
          <w:i w:val="false"/>
          <w:iCs w:val="false"/>
          <w:sz w:val="22"/>
          <w:szCs w:val="22"/>
        </w:rPr>
        <w:t xml:space="preserve">Recent work has demonstrated that GBM tumour cells form functional glutamatergic synapses with cortical neurons and express canonical presynaptic machinery, including SYN1, SYT1, VAMP2, and SNAP25 (Venkatesh et al., 2019, Nature; Venkataramani et al., 2019, Nature; Taylor et al., 2023, Nature; Krishna et al., 2023, Nature). This behaviour, termed neural mimicry or neuronal state hijack, is enriched in specific malignant cell states, particularly the NPC-like and OPC-like states defined by Neftel et al. (2019, Cell). The literature has characterised this mimicry in broad terms but has not asked whether the mimicked neuronal identity corresponds to any specific vulnerable neuronal subtype in neurodegenerative disease.</w:t>
      </w:r>
    </w:p>
    <w:p>
      <w:pPr>
        <w:spacing w:after="120" w:before="0" w:line="300"/>
        <w:jc w:val="both"/>
      </w:pPr>
      <w:r>
        <w:rPr>
          <w:rFonts w:ascii="Calibri" w:cs="Calibri" w:eastAsia="Calibri" w:hAnsi="Calibri"/>
          <w:b w:val="false"/>
          <w:bCs w:val="false"/>
          <w:i w:val="false"/>
          <w:iCs w:val="false"/>
          <w:sz w:val="22"/>
          <w:szCs w:val="22"/>
        </w:rPr>
        <w:t xml:space="preserve">The intersection of these three literatures raises a testable question that, to the author’s knowledge, has not previously been posed: does the molecular identity that GBM malignant cells mimic overlap with the identity of AD-vulnerable excitatory neurons? An affirmative answer would provide a cell-type-resolved biological explanation for the bulk-level AD-GBM transcriptomic convergence reported in prior literature, without requiring the (unlikely) assumption of shared cell-autonomous disease programs between a neurodegenerative and a neoplastic condition. A negative answer would establish that bulk-level convergence is a pure composition artifact with no cell-type-resolved biological analogue, and would sharpen the methodological standards for cross-disease bulk transcriptomic comparison.</w:t>
      </w:r>
    </w:p>
    <w:p>
      <w:pPr>
        <w:pStyle w:val="Heading2"/>
        <w:spacing w:after="140" w:before="280"/>
      </w:pPr>
      <w:r>
        <w:rPr>
          <w:rFonts w:ascii="Calibri" w:cs="Calibri" w:eastAsia="Calibri" w:hAnsi="Calibri"/>
          <w:b/>
          <w:bCs/>
          <w:sz w:val="26"/>
          <w:szCs w:val="26"/>
        </w:rPr>
        <w:t xml:space="preserve">1.2 Prior work being extended</w:t>
      </w:r>
    </w:p>
    <w:p>
      <w:pPr>
        <w:spacing w:after="120" w:before="0" w:line="300"/>
        <w:jc w:val="both"/>
      </w:pPr>
      <w:r>
        <w:rPr>
          <w:rFonts w:ascii="Calibri" w:cs="Calibri" w:eastAsia="Calibri" w:hAnsi="Calibri"/>
          <w:b w:val="false"/>
          <w:bCs w:val="false"/>
          <w:i w:val="false"/>
          <w:iCs w:val="false"/>
          <w:sz w:val="22"/>
          <w:szCs w:val="22"/>
        </w:rPr>
        <w:t xml:space="preserve">The present author has conducted a preliminary bulk-level analysis (unpublished; deposited GitHub and Zenodo) applying BRETIGEA-based cell-composition control to an AD meta-cohort (GSE48350 + GSE36980, n = 122) and a GBM cohort (TCGA-GBM + GTEx, n = 339). This preliminary work observed that (i) 198 shared differentially expressed genes between AD and GBM in the uncorrected analysis collapsed to zero after inclusion of six BRETIGEA cell-type scores as covariates, (ii) three Hallmark pathways (DNA repair, glycolysis, MYC targets V1) showed opposite directional regulation between the two disorders, and (iii) hub gene analysis of the WGCNA neuronal-programme modules in both cohorts identified six shared hubs (NAPB, STXBP1, SULT4A1, RGS7, PHF24, SYT1), all encoding presynaptic vesicle machinery components.</w:t>
      </w:r>
    </w:p>
    <w:p>
      <w:pPr>
        <w:spacing w:after="120" w:before="0" w:line="300"/>
        <w:jc w:val="both"/>
      </w:pPr>
      <w:r>
        <w:rPr>
          <w:rFonts w:ascii="Calibri" w:cs="Calibri" w:eastAsia="Calibri" w:hAnsi="Calibri"/>
          <w:b w:val="false"/>
          <w:bCs w:val="false"/>
          <w:i w:val="false"/>
          <w:iCs w:val="false"/>
          <w:sz w:val="22"/>
          <w:szCs w:val="22"/>
        </w:rPr>
        <w:t xml:space="preserve">This preliminary work was hypothesis-generating rather than hypothesis-testing, was based on a single deconvolution method, used a single AD single-cell dataset (Grubman et al., 2019; 4 AD versus 4 control donors) whose statistical power was inadequate for the intended validation, and framed the observation of six shared presynaptic hub genes as an artifact of tumour displacement of normal neurons. That framing did not consider the alternative explanation now central to the present plan: that GBM neural-mimicry cells intrinsically express the same presynaptic machinery lost in AD-vulnerable neurons. The present study is designed from the beginning to test that alternative explanation with pre-specified hypotheses, independent single-cell validation, dual-method deconvolution, and a scope appropriate for a single investigator to execute rigorously within a defined timeline.</w:t>
      </w:r>
    </w:p>
    <w:p>
      <w:pPr>
        <w:pStyle w:val="Heading2"/>
        <w:spacing w:after="140" w:before="280"/>
      </w:pPr>
      <w:r>
        <w:rPr>
          <w:rFonts w:ascii="Calibri" w:cs="Calibri" w:eastAsia="Calibri" w:hAnsi="Calibri"/>
          <w:b/>
          <w:bCs/>
          <w:sz w:val="26"/>
          <w:szCs w:val="26"/>
        </w:rPr>
        <w:t xml:space="preserve">1.3 Why a single-investigator, pre-specified plan design</w:t>
      </w:r>
    </w:p>
    <w:p>
      <w:pPr>
        <w:spacing w:after="120" w:before="0" w:line="300"/>
        <w:jc w:val="both"/>
      </w:pPr>
      <w:r>
        <w:rPr>
          <w:rFonts w:ascii="Calibri" w:cs="Calibri" w:eastAsia="Calibri" w:hAnsi="Calibri"/>
          <w:b w:val="false"/>
          <w:bCs w:val="false"/>
          <w:i w:val="false"/>
          <w:iCs w:val="false"/>
          <w:sz w:val="22"/>
          <w:szCs w:val="22"/>
        </w:rPr>
        <w:t xml:space="preserve">The scope of the present study is deliberately constrained to what a single investigator can execute with methodological rigour within a 3–4 month full-time analytical period. This reflects a considered trade-off. A broader study incorporating additional independent cohorts (ROSMAP RNA-seq, CGGA, pan-glioma snRNA-seq atlases) would increase generalisability but would exceed the capacity of a single investigator to process, quality-control, and interpret with the care required by the target journals. The present protocol prioritises depth and reproducibility over breadth.</w:t>
      </w:r>
    </w:p>
    <w:p>
      <w:pPr>
        <w:spacing w:after="120" w:before="0" w:line="300"/>
        <w:jc w:val="both"/>
      </w:pPr>
      <w:r>
        <w:rPr>
          <w:rFonts w:ascii="Calibri" w:cs="Calibri" w:eastAsia="Calibri" w:hAnsi="Calibri"/>
          <w:b w:val="false"/>
          <w:bCs w:val="false"/>
          <w:i w:val="false"/>
          <w:iCs w:val="false"/>
          <w:sz w:val="22"/>
          <w:szCs w:val="22"/>
        </w:rPr>
        <w:t xml:space="preserve">To offset the loss of collective methodological oversight that multi-author teams provide, this plan is committed to a public GitHub repository prior to any data analysis, and the initial commit hash serves as a cryptographic timestamp of the pre-specified hypotheses, analytical procedures, and decision thresholds. Any deviations from this plan will be documented in the final manuscript with justification, and the git commit history provides an independently verifiable chronological record. Additionally, key analytical steps are executed in parallel using two independent methods (dual deconvolution, three complementary convergence tests) with pre-specified concordance criteria, providing internal cross-checks against selective interpretation. All analysis code, intermediate data objects, and computational environment specifications are committed to the same public repository from the first day of analysis, allowing any reader to reconstruct the full analytical trail and verify that no post-hoc modifications were introduced.</w:t>
      </w:r>
    </w:p>
    <w:p>
      <w:r>
        <w:br w:type="page"/>
      </w:r>
    </w:p>
    <w:p>
      <w:pPr>
        <w:pStyle w:val="Heading1"/>
        <w:spacing w:after="180" w:before="360"/>
      </w:pPr>
      <w:r>
        <w:rPr>
          <w:rFonts w:ascii="Calibri" w:cs="Calibri" w:eastAsia="Calibri" w:hAnsi="Calibri"/>
          <w:b/>
          <w:bCs/>
          <w:sz w:val="32"/>
          <w:szCs w:val="32"/>
        </w:rPr>
        <w:t xml:space="preserve">2. Research questions and hypotheses</w:t>
      </w:r>
    </w:p>
    <w:p>
      <w:pPr>
        <w:pStyle w:val="Heading2"/>
        <w:spacing w:after="140" w:before="280"/>
      </w:pPr>
      <w:r>
        <w:rPr>
          <w:rFonts w:ascii="Calibri" w:cs="Calibri" w:eastAsia="Calibri" w:hAnsi="Calibri"/>
          <w:b/>
          <w:bCs/>
          <w:sz w:val="26"/>
          <w:szCs w:val="26"/>
        </w:rPr>
        <w:t xml:space="preserve">2.1 Primary research question</w:t>
      </w:r>
    </w:p>
    <w:p>
      <w:pPr>
        <w:spacing w:after="120" w:before="0" w:line="300"/>
        <w:jc w:val="both"/>
      </w:pPr>
      <w:r>
        <w:rPr>
          <w:rFonts w:ascii="Calibri" w:cs="Calibri" w:eastAsia="Calibri" w:hAnsi="Calibri"/>
          <w:b w:val="false"/>
          <w:bCs w:val="false"/>
          <w:i w:val="false"/>
          <w:iCs w:val="false"/>
          <w:sz w:val="22"/>
          <w:szCs w:val="22"/>
        </w:rPr>
        <w:t xml:space="preserve">Does the transcriptomic convergence between AD and GBM reported at the bulk tissue level survive systematic cell-composition control, and if any residual signal remains, does it correspond to shared cell-autonomous molecular pathology or to shared cellular identity between AD-vulnerable excitatory neurons and GBM neural-lineage-like malignant cell states?</w:t>
      </w:r>
    </w:p>
    <w:p>
      <w:pPr>
        <w:pStyle w:val="Heading2"/>
        <w:spacing w:after="140" w:before="280"/>
      </w:pPr>
      <w:r>
        <w:rPr>
          <w:rFonts w:ascii="Calibri" w:cs="Calibri" w:eastAsia="Calibri" w:hAnsi="Calibri"/>
          <w:b/>
          <w:bCs/>
          <w:sz w:val="26"/>
          <w:szCs w:val="26"/>
        </w:rPr>
        <w:t xml:space="preserve">2.2 Primary hypothesis (H1)</w:t>
      </w:r>
    </w:p>
    <w:p>
      <w:pPr>
        <w:spacing w:after="120" w:before="0" w:line="300"/>
        <w:jc w:val="both"/>
      </w:pPr>
      <w:r>
        <w:rPr>
          <w:rFonts w:ascii="Calibri" w:cs="Calibri" w:eastAsia="Calibri" w:hAnsi="Calibri"/>
          <w:b w:val="false"/>
          <w:bCs w:val="false"/>
          <w:i w:val="false"/>
          <w:iCs w:val="false"/>
          <w:sz w:val="22"/>
          <w:szCs w:val="22"/>
        </w:rPr>
        <w:t xml:space="preserve">Reported shared differentially expressed genes (DEGs) between AD and GBM at the bulk transcriptomic level are substantially reduced when cell-type composition is included as a covariate, and this reduction is robust to the choice of deconvolution method.</w:t>
      </w:r>
    </w:p>
    <w:p>
      <w:pPr>
        <w:spacing w:after="120" w:before="0" w:line="300"/>
        <w:jc w:val="both"/>
      </w:pPr>
      <w:r>
        <w:rPr>
          <w:rFonts w:ascii="Calibri" w:cs="Calibri" w:eastAsia="Calibri" w:hAnsi="Calibri"/>
          <w:b/>
          <w:bCs/>
          <w:i w:val="false"/>
          <w:iCs w:val="false"/>
          <w:sz w:val="22"/>
          <w:szCs w:val="22"/>
        </w:rPr>
        <w:t xml:space="preserve">H1 supported if: </w:t>
      </w:r>
      <w:r>
        <w:rPr>
          <w:rFonts w:ascii="Calibri" w:cs="Calibri" w:eastAsia="Calibri" w:hAnsi="Calibri"/>
          <w:b w:val="false"/>
          <w:bCs w:val="false"/>
          <w:i w:val="false"/>
          <w:iCs w:val="false"/>
          <w:sz w:val="22"/>
          <w:szCs w:val="22"/>
        </w:rPr>
        <w:t xml:space="preserve">the number of shared DEGs (defined as FDR &lt; 0.05 with directional concordance in both cohorts) after cell-composition control is ≤ 20% of the uncorrected shared DEG count in BOTH deconvolution methods (BRETIGEA and bMIND).</w:t>
      </w:r>
    </w:p>
    <w:p>
      <w:pPr>
        <w:spacing w:after="120" w:before="0" w:line="300"/>
        <w:jc w:val="both"/>
      </w:pPr>
      <w:r>
        <w:rPr>
          <w:rFonts w:ascii="Calibri" w:cs="Calibri" w:eastAsia="Calibri" w:hAnsi="Calibri"/>
          <w:b/>
          <w:bCs/>
          <w:i w:val="false"/>
          <w:iCs w:val="false"/>
          <w:sz w:val="22"/>
          <w:szCs w:val="22"/>
        </w:rPr>
        <w:t xml:space="preserve">H1 rejected if: </w:t>
      </w:r>
      <w:r>
        <w:rPr>
          <w:rFonts w:ascii="Calibri" w:cs="Calibri" w:eastAsia="Calibri" w:hAnsi="Calibri"/>
          <w:b w:val="false"/>
          <w:bCs w:val="false"/>
          <w:i w:val="false"/>
          <w:iCs w:val="false"/>
          <w:sz w:val="22"/>
          <w:szCs w:val="22"/>
        </w:rPr>
        <w:t xml:space="preserve">the cell-composition-controlled shared DEG count is ≥ 50% of the uncorrected count in either method.</w:t>
      </w:r>
    </w:p>
    <w:p>
      <w:pPr>
        <w:spacing w:after="120" w:before="0" w:line="300"/>
        <w:jc w:val="both"/>
      </w:pPr>
      <w:r>
        <w:rPr>
          <w:rFonts w:ascii="Calibri" w:cs="Calibri" w:eastAsia="Calibri" w:hAnsi="Calibri"/>
          <w:b/>
          <w:bCs/>
          <w:i w:val="false"/>
          <w:iCs w:val="false"/>
          <w:sz w:val="22"/>
          <w:szCs w:val="22"/>
        </w:rPr>
        <w:t xml:space="preserve">H1 inconclusive if: </w:t>
      </w:r>
      <w:r>
        <w:rPr>
          <w:rFonts w:ascii="Calibri" w:cs="Calibri" w:eastAsia="Calibri" w:hAnsi="Calibri"/>
          <w:b w:val="false"/>
          <w:bCs w:val="false"/>
          <w:i w:val="false"/>
          <w:iCs w:val="false"/>
          <w:sz w:val="22"/>
          <w:szCs w:val="22"/>
        </w:rPr>
        <w:t xml:space="preserve">the two methods disagree substantially (one shows ≤ 20% retention, the other shows ≥ 50% retention). In this case the analysis will be reported as method-dependent, and additional sensitivity analyses (Section 8) will be conducted to identify the source of divergence.</w:t>
      </w:r>
    </w:p>
    <w:p>
      <w:pPr>
        <w:pStyle w:val="Heading2"/>
        <w:spacing w:after="140" w:before="280"/>
      </w:pPr>
      <w:r>
        <w:rPr>
          <w:rFonts w:ascii="Calibri" w:cs="Calibri" w:eastAsia="Calibri" w:hAnsi="Calibri"/>
          <w:b/>
          <w:bCs/>
          <w:sz w:val="26"/>
          <w:szCs w:val="26"/>
        </w:rPr>
        <w:t xml:space="preserve">2.3 Secondary hypothesis (H2)</w:t>
      </w:r>
    </w:p>
    <w:p>
      <w:pPr>
        <w:spacing w:after="120" w:before="0" w:line="300"/>
        <w:jc w:val="both"/>
      </w:pPr>
      <w:r>
        <w:rPr>
          <w:rFonts w:ascii="Calibri" w:cs="Calibri" w:eastAsia="Calibri" w:hAnsi="Calibri"/>
          <w:b w:val="false"/>
          <w:bCs w:val="false"/>
          <w:i w:val="false"/>
          <w:iCs w:val="false"/>
          <w:sz w:val="22"/>
          <w:szCs w:val="22"/>
        </w:rPr>
        <w:t xml:space="preserve">The residual shared neuronal-programme signal detectable at the bulk transcriptomic level between AD and GBM, if any, reflects overlap between the transcriptional identity of AD-vulnerable excitatory neurons (specifically RORB+ entorhinal cortex Layer II neurons; Leng et al., 2021) and the transcriptional identity of GBM neural-lineage-like malignant cell states (specifically NPC-like and OPC-like states; Neftel et al., 2019), rather than shared cell-autonomous disease pathology.</w:t>
      </w:r>
    </w:p>
    <w:p>
      <w:pPr>
        <w:spacing w:after="120" w:before="0" w:line="300"/>
        <w:jc w:val="both"/>
      </w:pPr>
      <w:r>
        <w:rPr>
          <w:rFonts w:ascii="Calibri" w:cs="Calibri" w:eastAsia="Calibri" w:hAnsi="Calibri"/>
          <w:b/>
          <w:bCs/>
          <w:i w:val="false"/>
          <w:iCs w:val="false"/>
          <w:sz w:val="22"/>
          <w:szCs w:val="22"/>
        </w:rPr>
        <w:t xml:space="preserve">H2 supported if all three of the following are met: </w:t>
      </w:r>
      <w:r>
        <w:rPr>
          <w:rFonts w:ascii="Calibri" w:cs="Calibri" w:eastAsia="Calibri" w:hAnsi="Calibri"/>
          <w:b w:val="false"/>
          <w:bCs w:val="false"/>
          <w:i w:val="false"/>
          <w:iCs w:val="false"/>
          <w:sz w:val="22"/>
          <w:szCs w:val="22"/>
        </w:rPr>
        <w:t xml:space="preserve">(i) rank-rank hypergeometric overlap test (RRHO2) between the AD-vulnerable neuron down-regulated gene signature and the GBM NPC-like/OPC-like state up-regulated gene signature yields joint significance at FDR &lt; 0.001; (ii) hypergeometric overlap test on the top-N genes (N pre-specified as 200) yields odds ratio ≥ 3 with Bonferroni-corrected p &lt; 0.001; (iii) permutation test against 1000 randomly sampled gene sets of matched size yields empirical p &lt; 0.01.</w:t>
      </w:r>
    </w:p>
    <w:p>
      <w:pPr>
        <w:spacing w:after="120" w:before="0" w:line="300"/>
        <w:jc w:val="both"/>
      </w:pPr>
      <w:r>
        <w:rPr>
          <w:rFonts w:ascii="Calibri" w:cs="Calibri" w:eastAsia="Calibri" w:hAnsi="Calibri"/>
          <w:b/>
          <w:bCs/>
          <w:i w:val="false"/>
          <w:iCs w:val="false"/>
          <w:sz w:val="22"/>
          <w:szCs w:val="22"/>
        </w:rPr>
        <w:t xml:space="preserve">H2 rejected if: </w:t>
      </w:r>
      <w:r>
        <w:rPr>
          <w:rFonts w:ascii="Calibri" w:cs="Calibri" w:eastAsia="Calibri" w:hAnsi="Calibri"/>
          <w:b w:val="false"/>
          <w:bCs w:val="false"/>
          <w:i w:val="false"/>
          <w:iCs w:val="false"/>
          <w:sz w:val="22"/>
          <w:szCs w:val="22"/>
        </w:rPr>
        <w:t xml:space="preserve">any two of these three tests fail to meet their respective thresholds.</w:t>
      </w:r>
    </w:p>
    <w:p>
      <w:pPr>
        <w:spacing w:after="120" w:before="0" w:line="300"/>
        <w:jc w:val="both"/>
      </w:pPr>
      <w:r>
        <w:rPr>
          <w:rFonts w:ascii="Calibri" w:cs="Calibri" w:eastAsia="Calibri" w:hAnsi="Calibri"/>
          <w:b/>
          <w:bCs/>
          <w:i w:val="false"/>
          <w:iCs w:val="false"/>
          <w:sz w:val="22"/>
          <w:szCs w:val="22"/>
        </w:rPr>
        <w:t xml:space="preserve">H2 inconclusive if: </w:t>
      </w:r>
      <w:r>
        <w:rPr>
          <w:rFonts w:ascii="Calibri" w:cs="Calibri" w:eastAsia="Calibri" w:hAnsi="Calibri"/>
          <w:b w:val="false"/>
          <w:bCs w:val="false"/>
          <w:i w:val="false"/>
          <w:iCs w:val="false"/>
          <w:sz w:val="22"/>
          <w:szCs w:val="22"/>
        </w:rPr>
        <w:t xml:space="preserve">exactly one of the three tests fails. In this case the analysis will be reported as marginal, additional sensitivity analyses will be conducted (Section 8), and the interpretation will explicitly acknowledge the limited strength of evidence.</w:t>
      </w:r>
    </w:p>
    <w:p>
      <w:pPr>
        <w:pStyle w:val="Heading2"/>
        <w:spacing w:after="140" w:before="280"/>
      </w:pPr>
      <w:r>
        <w:rPr>
          <w:rFonts w:ascii="Calibri" w:cs="Calibri" w:eastAsia="Calibri" w:hAnsi="Calibri"/>
          <w:b/>
          <w:bCs/>
          <w:sz w:val="26"/>
          <w:szCs w:val="26"/>
        </w:rPr>
        <w:t xml:space="preserve">2.4 Exploratory analyses (not hypothesis-testing)</w:t>
      </w:r>
    </w:p>
    <w:p>
      <w:pPr>
        <w:spacing w:after="120" w:before="0" w:line="300"/>
        <w:jc w:val="both"/>
      </w:pPr>
      <w:r>
        <w:rPr>
          <w:rFonts w:ascii="Calibri" w:cs="Calibri" w:eastAsia="Calibri" w:hAnsi="Calibri"/>
          <w:b w:val="false"/>
          <w:bCs w:val="false"/>
          <w:i w:val="false"/>
          <w:iCs w:val="false"/>
          <w:sz w:val="22"/>
          <w:szCs w:val="22"/>
        </w:rPr>
        <w:t xml:space="preserve">The following analyses will be conducted for descriptive purposes and will be labelled as exploratory in the final manuscript. Their results will not affect the interpretation of the pre-specified hypotheses:</w:t>
      </w:r>
    </w:p>
    <w:p>
      <w:pPr>
        <w:pStyle w:val="ListParagraph"/>
        <w:numPr>
          <w:ilvl w:val="0"/>
          <w:numId w:val="2"/>
        </w:numPr>
        <w:spacing w:after="100" w:line="280"/>
        <w:jc w:val="both"/>
      </w:pPr>
      <w:r>
        <w:rPr>
          <w:rFonts w:ascii="Calibri" w:cs="Calibri" w:eastAsia="Calibri" w:hAnsi="Calibri"/>
          <w:sz w:val="22"/>
          <w:szCs w:val="22"/>
        </w:rPr>
        <w:t xml:space="preserve">Transcription factor activity inference (decoupleR with CollecTRI regulons) at both bulk and single-cell levels, to characterise regulatory programmes underlying observed signatures.</w:t>
      </w:r>
    </w:p>
    <w:p>
      <w:pPr>
        <w:pStyle w:val="ListParagraph"/>
        <w:numPr>
          <w:ilvl w:val="0"/>
          <w:numId w:val="2"/>
        </w:numPr>
        <w:spacing w:after="100" w:line="280"/>
        <w:jc w:val="both"/>
      </w:pPr>
      <w:r>
        <w:rPr>
          <w:rFonts w:ascii="Calibri" w:cs="Calibri" w:eastAsia="Calibri" w:hAnsi="Calibri"/>
          <w:sz w:val="22"/>
          <w:szCs w:val="22"/>
        </w:rPr>
        <w:t xml:space="preserve">Hallmark pathway enrichment analysis (fgsea) to characterise the biological themes of surviving cell-composition-controlled signatures.</w:t>
      </w:r>
    </w:p>
    <w:p>
      <w:pPr>
        <w:pStyle w:val="ListParagraph"/>
        <w:numPr>
          <w:ilvl w:val="0"/>
          <w:numId w:val="2"/>
        </w:numPr>
        <w:spacing w:after="100" w:line="280"/>
        <w:jc w:val="both"/>
      </w:pPr>
      <w:r>
        <w:rPr>
          <w:rFonts w:ascii="Calibri" w:cs="Calibri" w:eastAsia="Calibri" w:hAnsi="Calibri"/>
          <w:sz w:val="22"/>
          <w:szCs w:val="22"/>
        </w:rPr>
        <w:t xml:space="preserve">Correlation of the derived convergence score with clinical variables (Braak stage, CERAD score in AD; overall survival, MGMT methylation status in GBM) where available.</w:t>
      </w:r>
    </w:p>
    <w:p>
      <w:r>
        <w:br w:type="page"/>
      </w:r>
    </w:p>
    <w:p>
      <w:pPr>
        <w:pStyle w:val="Heading1"/>
        <w:spacing w:after="180" w:before="360"/>
      </w:pPr>
      <w:r>
        <w:rPr>
          <w:rFonts w:ascii="Calibri" w:cs="Calibri" w:eastAsia="Calibri" w:hAnsi="Calibri"/>
          <w:b/>
          <w:bCs/>
          <w:sz w:val="32"/>
          <w:szCs w:val="32"/>
        </w:rPr>
        <w:t xml:space="preserve">3. Study design</w:t>
      </w:r>
    </w:p>
    <w:p>
      <w:pPr>
        <w:spacing w:after="120" w:before="0" w:line="300"/>
        <w:jc w:val="both"/>
      </w:pPr>
      <w:r>
        <w:rPr>
          <w:rFonts w:ascii="Calibri" w:cs="Calibri" w:eastAsia="Calibri" w:hAnsi="Calibri"/>
          <w:b w:val="false"/>
          <w:bCs w:val="false"/>
          <w:i w:val="false"/>
          <w:iCs w:val="false"/>
          <w:sz w:val="22"/>
          <w:szCs w:val="22"/>
        </w:rPr>
        <w:t xml:space="preserve">The study is a secondary re-analysis of publicly available human transcriptomic datasets, structured as four sequential analytical stages. Stages are executed in the order presented; the outputs of earlier stages feed into later stages. No new human or animal data are collected. All datasets used were originally collected under institutional approvals held by the depositing investigators; the present study does not require additional ethics approval as it uses fully de-identified public data.</w:t>
      </w:r>
    </w:p>
    <w:p>
      <w:pPr>
        <w:pStyle w:val="Heading2"/>
        <w:spacing w:after="140" w:before="280"/>
      </w:pPr>
      <w:r>
        <w:rPr>
          <w:rFonts w:ascii="Calibri" w:cs="Calibri" w:eastAsia="Calibri" w:hAnsi="Calibri"/>
          <w:b/>
          <w:bCs/>
          <w:sz w:val="26"/>
          <w:szCs w:val="26"/>
        </w:rPr>
        <w:t xml:space="preserve">3.1 Overview of analytical stages</w:t>
      </w:r>
    </w:p>
    <w:p>
      <w:pPr>
        <w:pStyle w:val="ListParagraph"/>
        <w:numPr>
          <w:ilvl w:val="0"/>
          <w:numId w:val="2"/>
        </w:numPr>
        <w:spacing w:after="100" w:line="280"/>
        <w:jc w:val="both"/>
      </w:pPr>
      <w:r>
        <w:rPr>
          <w:rFonts w:ascii="Calibri" w:cs="Calibri" w:eastAsia="Calibri" w:hAnsi="Calibri"/>
          <w:sz w:val="22"/>
          <w:szCs w:val="22"/>
        </w:rPr>
        <w:t xml:space="preserve">Stage 1: Definition of the AD-vulnerable excitatory neuron transcriptional signature using snRNA-seq data (Leng et al., 2021).</w:t>
      </w:r>
    </w:p>
    <w:p>
      <w:pPr>
        <w:pStyle w:val="ListParagraph"/>
        <w:numPr>
          <w:ilvl w:val="0"/>
          <w:numId w:val="2"/>
        </w:numPr>
        <w:spacing w:after="100" w:line="280"/>
        <w:jc w:val="both"/>
      </w:pPr>
      <w:r>
        <w:rPr>
          <w:rFonts w:ascii="Calibri" w:cs="Calibri" w:eastAsia="Calibri" w:hAnsi="Calibri"/>
          <w:sz w:val="22"/>
          <w:szCs w:val="22"/>
        </w:rPr>
        <w:t xml:space="preserve">Stage 2: Characterisation of GBM neural-lineage-like malignant cell states and their neuronal-mimicry transcriptional signature using scRNA-seq data (Neftel et al., 2019).</w:t>
      </w:r>
    </w:p>
    <w:p>
      <w:pPr>
        <w:pStyle w:val="ListParagraph"/>
        <w:numPr>
          <w:ilvl w:val="0"/>
          <w:numId w:val="2"/>
        </w:numPr>
        <w:spacing w:after="100" w:line="280"/>
        <w:jc w:val="both"/>
      </w:pPr>
      <w:r>
        <w:rPr>
          <w:rFonts w:ascii="Calibri" w:cs="Calibri" w:eastAsia="Calibri" w:hAnsi="Calibri"/>
          <w:sz w:val="22"/>
          <w:szCs w:val="22"/>
        </w:rPr>
        <w:t xml:space="preserve">Stage 3: Statistical test of convergence between the Stage 1 and Stage 2 signatures using three complementary methods (RRHO2, hypergeometric, permutation).</w:t>
      </w:r>
    </w:p>
    <w:p>
      <w:pPr>
        <w:pStyle w:val="ListParagraph"/>
        <w:numPr>
          <w:ilvl w:val="0"/>
          <w:numId w:val="2"/>
        </w:numPr>
        <w:spacing w:after="100" w:line="280"/>
        <w:jc w:val="both"/>
      </w:pPr>
      <w:r>
        <w:rPr>
          <w:rFonts w:ascii="Calibri" w:cs="Calibri" w:eastAsia="Calibri" w:hAnsi="Calibri"/>
          <w:sz w:val="22"/>
          <w:szCs w:val="22"/>
        </w:rPr>
        <w:t xml:space="preserve">Stage 4: Bulk-level replication of the primary author’s prior analysis using two independent deconvolution methods (BRETIGEA and bMIND), and reconciliation of bulk-level results with the single-cell-resolved findings from Stages 1–3.</w:t>
      </w:r>
    </w:p>
    <w:p>
      <w:r>
        <w:br w:type="page"/>
      </w:r>
    </w:p>
    <w:p>
      <w:pPr>
        <w:pStyle w:val="Heading1"/>
        <w:spacing w:after="180" w:before="360"/>
      </w:pPr>
      <w:r>
        <w:rPr>
          <w:rFonts w:ascii="Calibri" w:cs="Calibri" w:eastAsia="Calibri" w:hAnsi="Calibri"/>
          <w:b/>
          <w:bCs/>
          <w:sz w:val="32"/>
          <w:szCs w:val="32"/>
        </w:rPr>
        <w:t xml:space="preserve">4. Data sources</w:t>
      </w:r>
    </w:p>
    <w:p>
      <w:pPr>
        <w:spacing w:after="120" w:before="0" w:line="300"/>
        <w:jc w:val="both"/>
      </w:pPr>
      <w:r>
        <w:rPr>
          <w:rFonts w:ascii="Calibri" w:cs="Calibri" w:eastAsia="Calibri" w:hAnsi="Calibri"/>
          <w:b w:val="false"/>
          <w:bCs w:val="false"/>
          <w:i w:val="false"/>
          <w:iCs w:val="false"/>
          <w:sz w:val="22"/>
          <w:szCs w:val="22"/>
        </w:rPr>
        <w:t xml:space="preserve">All datasets are publicly available and require no special access approval. Table 1 summarises the datasets, their roles in the analysis, and inclusion criteria.</w:t>
      </w:r>
    </w:p>
    <w:p>
      <w:pPr>
        <w:pStyle w:val="Heading2"/>
        <w:spacing w:after="140" w:before="280"/>
      </w:pPr>
      <w:r>
        <w:rPr>
          <w:rFonts w:ascii="Calibri" w:cs="Calibri" w:eastAsia="Calibri" w:hAnsi="Calibri"/>
          <w:b/>
          <w:bCs/>
          <w:sz w:val="26"/>
          <w:szCs w:val="26"/>
        </w:rPr>
        <w:t xml:space="preserve">Table 1. Data sources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200"/>
        <w:gridCol w:w="4300"/>
      </w:tblGrid>
      <w:tr>
        <w:tc>
          <w:tcPr>
            <w:tcW w:type="dxa" w:w="1300"/>
            <w:shd w:fill="D9E1F2" w:color="auto" w:val="clear"/>
          </w:tcPr>
          <w:p>
            <w:pPr>
              <w:spacing w:after="60" w:before="60" w:line="260"/>
              <w:jc w:val="left"/>
            </w:pPr>
            <w:r>
              <w:rPr>
                <w:rFonts w:ascii="Calibri" w:cs="Calibri" w:eastAsia="Calibri" w:hAnsi="Calibri"/>
                <w:b/>
                <w:bCs/>
                <w:sz w:val="18"/>
                <w:szCs w:val="18"/>
              </w:rPr>
              <w:t xml:space="preserve">Accession</w:t>
            </w:r>
          </w:p>
        </w:tc>
        <w:tc>
          <w:tcPr>
            <w:tcW w:type="dxa" w:w="2200"/>
            <w:shd w:fill="D9E1F2" w:color="auto" w:val="clear"/>
          </w:tcPr>
          <w:p>
            <w:pPr>
              <w:spacing w:after="60" w:before="60" w:line="260"/>
              <w:jc w:val="left"/>
            </w:pPr>
            <w:r>
              <w:rPr>
                <w:rFonts w:ascii="Calibri" w:cs="Calibri" w:eastAsia="Calibri" w:hAnsi="Calibri"/>
                <w:b/>
                <w:bCs/>
                <w:sz w:val="18"/>
                <w:szCs w:val="18"/>
              </w:rPr>
              <w:t xml:space="preserve">Study</w:t>
            </w:r>
          </w:p>
        </w:tc>
        <w:tc>
          <w:tcPr>
            <w:tcW w:type="dxa" w:w="1200"/>
            <w:shd w:fill="D9E1F2" w:color="auto" w:val="clear"/>
          </w:tcPr>
          <w:p>
            <w:pPr>
              <w:spacing w:after="60" w:before="60" w:line="260"/>
              <w:jc w:val="left"/>
            </w:pPr>
            <w:r>
              <w:rPr>
                <w:rFonts w:ascii="Calibri" w:cs="Calibri" w:eastAsia="Calibri" w:hAnsi="Calibri"/>
                <w:b/>
                <w:bCs/>
                <w:sz w:val="18"/>
                <w:szCs w:val="18"/>
              </w:rPr>
              <w:t xml:space="preserve">Platform</w:t>
            </w:r>
          </w:p>
        </w:tc>
        <w:tc>
          <w:tcPr>
            <w:tcW w:type="dxa" w:w="4300"/>
            <w:shd w:fill="D9E1F2" w:color="auto" w:val="clear"/>
          </w:tcPr>
          <w:p>
            <w:pPr>
              <w:spacing w:after="60" w:before="60" w:line="260"/>
              <w:jc w:val="left"/>
            </w:pPr>
            <w:r>
              <w:rPr>
                <w:rFonts w:ascii="Calibri" w:cs="Calibri" w:eastAsia="Calibri" w:hAnsi="Calibri"/>
                <w:b/>
                <w:bCs/>
                <w:sz w:val="18"/>
                <w:szCs w:val="18"/>
              </w:rPr>
              <w:t xml:space="preserve">Role in the analysis</w:t>
            </w:r>
          </w:p>
        </w:tc>
      </w:tr>
      <w:tr>
        <w:tc>
          <w:tcPr>
            <w:tcW w:type="dxa" w:w="1300"/>
          </w:tcPr>
          <w:p>
            <w:pPr>
              <w:spacing w:after="60" w:before="60" w:line="260"/>
              <w:jc w:val="left"/>
            </w:pPr>
            <w:r>
              <w:rPr>
                <w:rFonts w:ascii="Calibri" w:cs="Calibri" w:eastAsia="Calibri" w:hAnsi="Calibri"/>
                <w:b w:val="false"/>
                <w:bCs w:val="false"/>
                <w:sz w:val="18"/>
                <w:szCs w:val="18"/>
              </w:rPr>
              <w:t xml:space="preserve">GSE147528</w:t>
            </w:r>
          </w:p>
        </w:tc>
        <w:tc>
          <w:tcPr>
            <w:tcW w:type="dxa" w:w="2200"/>
          </w:tcPr>
          <w:p>
            <w:pPr>
              <w:spacing w:after="60" w:before="60" w:line="260"/>
              <w:jc w:val="left"/>
            </w:pPr>
            <w:r>
              <w:rPr>
                <w:rFonts w:ascii="Calibri" w:cs="Calibri" w:eastAsia="Calibri" w:hAnsi="Calibri"/>
                <w:b w:val="false"/>
                <w:bCs w:val="false"/>
                <w:sz w:val="18"/>
                <w:szCs w:val="18"/>
              </w:rPr>
              <w:t xml:space="preserve">Leng et al. 2021, Nat Neurosci</w:t>
            </w:r>
          </w:p>
        </w:tc>
        <w:tc>
          <w:tcPr>
            <w:tcW w:type="dxa" w:w="1200"/>
          </w:tcPr>
          <w:p>
            <w:pPr>
              <w:spacing w:after="60" w:before="60" w:line="260"/>
              <w:jc w:val="left"/>
            </w:pPr>
            <w:r>
              <w:rPr>
                <w:rFonts w:ascii="Calibri" w:cs="Calibri" w:eastAsia="Calibri" w:hAnsi="Calibri"/>
                <w:b w:val="false"/>
                <w:bCs w:val="false"/>
                <w:sz w:val="18"/>
                <w:szCs w:val="18"/>
              </w:rPr>
              <w:t xml:space="preserve">snRNA-seq (10x)</w:t>
            </w:r>
          </w:p>
        </w:tc>
        <w:tc>
          <w:tcPr>
            <w:tcW w:type="dxa" w:w="4300"/>
          </w:tcPr>
          <w:p>
            <w:pPr>
              <w:spacing w:after="60" w:before="60" w:line="260"/>
              <w:jc w:val="left"/>
            </w:pPr>
            <w:r>
              <w:rPr>
                <w:rFonts w:ascii="Calibri" w:cs="Calibri" w:eastAsia="Calibri" w:hAnsi="Calibri"/>
                <w:b w:val="false"/>
                <w:bCs w:val="false"/>
                <w:sz w:val="18"/>
                <w:szCs w:val="18"/>
              </w:rPr>
              <w:t xml:space="preserve">Primary source for AD-vulnerable neuron identity (Stage 1). Entorhinal cortex and superior frontal gyrus, Braak stage 0/II/VI, n = 10 donors.</w:t>
            </w:r>
          </w:p>
        </w:tc>
      </w:tr>
      <w:tr>
        <w:tc>
          <w:tcPr>
            <w:tcW w:type="dxa" w:w="1300"/>
          </w:tcPr>
          <w:p>
            <w:pPr>
              <w:spacing w:after="60" w:before="60" w:line="260"/>
              <w:jc w:val="left"/>
            </w:pPr>
            <w:r>
              <w:rPr>
                <w:rFonts w:ascii="Calibri" w:cs="Calibri" w:eastAsia="Calibri" w:hAnsi="Calibri"/>
                <w:b w:val="false"/>
                <w:bCs w:val="false"/>
                <w:sz w:val="18"/>
                <w:szCs w:val="18"/>
              </w:rPr>
              <w:t xml:space="preserve">GSE131928</w:t>
            </w:r>
          </w:p>
        </w:tc>
        <w:tc>
          <w:tcPr>
            <w:tcW w:type="dxa" w:w="2200"/>
          </w:tcPr>
          <w:p>
            <w:pPr>
              <w:spacing w:after="60" w:before="60" w:line="260"/>
              <w:jc w:val="left"/>
            </w:pPr>
            <w:r>
              <w:rPr>
                <w:rFonts w:ascii="Calibri" w:cs="Calibri" w:eastAsia="Calibri" w:hAnsi="Calibri"/>
                <w:b w:val="false"/>
                <w:bCs w:val="false"/>
                <w:sz w:val="18"/>
                <w:szCs w:val="18"/>
              </w:rPr>
              <w:t xml:space="preserve">Neftel et al. 2019, Cell</w:t>
            </w:r>
          </w:p>
        </w:tc>
        <w:tc>
          <w:tcPr>
            <w:tcW w:type="dxa" w:w="1200"/>
          </w:tcPr>
          <w:p>
            <w:pPr>
              <w:spacing w:after="60" w:before="60" w:line="260"/>
              <w:jc w:val="left"/>
            </w:pPr>
            <w:r>
              <w:rPr>
                <w:rFonts w:ascii="Calibri" w:cs="Calibri" w:eastAsia="Calibri" w:hAnsi="Calibri"/>
                <w:b w:val="false"/>
                <w:bCs w:val="false"/>
                <w:sz w:val="18"/>
                <w:szCs w:val="18"/>
              </w:rPr>
              <w:t xml:space="preserve">scRNA-seq (Smart-seq2 and 10x)</w:t>
            </w:r>
          </w:p>
        </w:tc>
        <w:tc>
          <w:tcPr>
            <w:tcW w:type="dxa" w:w="4300"/>
          </w:tcPr>
          <w:p>
            <w:pPr>
              <w:spacing w:after="60" w:before="60" w:line="260"/>
              <w:jc w:val="left"/>
            </w:pPr>
            <w:r>
              <w:rPr>
                <w:rFonts w:ascii="Calibri" w:cs="Calibri" w:eastAsia="Calibri" w:hAnsi="Calibri"/>
                <w:b w:val="false"/>
                <w:bCs w:val="false"/>
                <w:sz w:val="18"/>
                <w:szCs w:val="18"/>
              </w:rPr>
              <w:t xml:space="preserve">Primary source for GBM malignant cell states and neural-mimicry signature (Stage 2). Adult IDH-wildtype GBM, n = 24 tumours (~10,000 malignant cells).</w:t>
            </w:r>
          </w:p>
        </w:tc>
      </w:tr>
      <w:tr>
        <w:tc>
          <w:tcPr>
            <w:tcW w:type="dxa" w:w="1300"/>
          </w:tcPr>
          <w:p>
            <w:pPr>
              <w:spacing w:after="60" w:before="60" w:line="260"/>
              <w:jc w:val="left"/>
            </w:pPr>
            <w:r>
              <w:rPr>
                <w:rFonts w:ascii="Calibri" w:cs="Calibri" w:eastAsia="Calibri" w:hAnsi="Calibri"/>
                <w:b w:val="false"/>
                <w:bCs w:val="false"/>
                <w:sz w:val="18"/>
                <w:szCs w:val="18"/>
              </w:rPr>
              <w:t xml:space="preserve">GSE48350</w:t>
            </w:r>
          </w:p>
        </w:tc>
        <w:tc>
          <w:tcPr>
            <w:tcW w:type="dxa" w:w="2200"/>
          </w:tcPr>
          <w:p>
            <w:pPr>
              <w:spacing w:after="60" w:before="60" w:line="260"/>
              <w:jc w:val="left"/>
            </w:pPr>
            <w:r>
              <w:rPr>
                <w:rFonts w:ascii="Calibri" w:cs="Calibri" w:eastAsia="Calibri" w:hAnsi="Calibri"/>
                <w:b w:val="false"/>
                <w:bCs w:val="false"/>
                <w:sz w:val="18"/>
                <w:szCs w:val="18"/>
              </w:rPr>
              <w:t xml:space="preserve">Berchtold et al. 2013</w:t>
            </w:r>
          </w:p>
        </w:tc>
        <w:tc>
          <w:tcPr>
            <w:tcW w:type="dxa" w:w="1200"/>
          </w:tcPr>
          <w:p>
            <w:pPr>
              <w:spacing w:after="60" w:before="60" w:line="260"/>
              <w:jc w:val="left"/>
            </w:pPr>
            <w:r>
              <w:rPr>
                <w:rFonts w:ascii="Calibri" w:cs="Calibri" w:eastAsia="Calibri" w:hAnsi="Calibri"/>
                <w:b w:val="false"/>
                <w:bCs w:val="false"/>
                <w:sz w:val="18"/>
                <w:szCs w:val="18"/>
              </w:rPr>
              <w:t xml:space="preserve">Affymetrix HG-U133 Plus 2.0</w:t>
            </w:r>
          </w:p>
        </w:tc>
        <w:tc>
          <w:tcPr>
            <w:tcW w:type="dxa" w:w="4300"/>
          </w:tcPr>
          <w:p>
            <w:pPr>
              <w:spacing w:after="60" w:before="60" w:line="260"/>
              <w:jc w:val="left"/>
            </w:pPr>
            <w:r>
              <w:rPr>
                <w:rFonts w:ascii="Calibri" w:cs="Calibri" w:eastAsia="Calibri" w:hAnsi="Calibri"/>
                <w:b w:val="false"/>
                <w:bCs w:val="false"/>
                <w:sz w:val="18"/>
                <w:szCs w:val="18"/>
              </w:rPr>
              <w:t xml:space="preserve">AD bulk cohort component (Stage 4). Hippocampus and entorhinal cortex, donors ≥ 65 years, 75 samples retained after filtering.</w:t>
            </w:r>
          </w:p>
        </w:tc>
      </w:tr>
      <w:tr>
        <w:tc>
          <w:tcPr>
            <w:tcW w:type="dxa" w:w="1300"/>
          </w:tcPr>
          <w:p>
            <w:pPr>
              <w:spacing w:after="60" w:before="60" w:line="260"/>
              <w:jc w:val="left"/>
            </w:pPr>
            <w:r>
              <w:rPr>
                <w:rFonts w:ascii="Calibri" w:cs="Calibri" w:eastAsia="Calibri" w:hAnsi="Calibri"/>
                <w:b w:val="false"/>
                <w:bCs w:val="false"/>
                <w:sz w:val="18"/>
                <w:szCs w:val="18"/>
              </w:rPr>
              <w:t xml:space="preserve">GSE36980</w:t>
            </w:r>
          </w:p>
        </w:tc>
        <w:tc>
          <w:tcPr>
            <w:tcW w:type="dxa" w:w="2200"/>
          </w:tcPr>
          <w:p>
            <w:pPr>
              <w:spacing w:after="60" w:before="60" w:line="260"/>
              <w:jc w:val="left"/>
            </w:pPr>
            <w:r>
              <w:rPr>
                <w:rFonts w:ascii="Calibri" w:cs="Calibri" w:eastAsia="Calibri" w:hAnsi="Calibri"/>
                <w:b w:val="false"/>
                <w:bCs w:val="false"/>
                <w:sz w:val="18"/>
                <w:szCs w:val="18"/>
              </w:rPr>
              <w:t xml:space="preserve">Hokama et al. 2014</w:t>
            </w:r>
          </w:p>
        </w:tc>
        <w:tc>
          <w:tcPr>
            <w:tcW w:type="dxa" w:w="1200"/>
          </w:tcPr>
          <w:p>
            <w:pPr>
              <w:spacing w:after="60" w:before="60" w:line="260"/>
              <w:jc w:val="left"/>
            </w:pPr>
            <w:r>
              <w:rPr>
                <w:rFonts w:ascii="Calibri" w:cs="Calibri" w:eastAsia="Calibri" w:hAnsi="Calibri"/>
                <w:b w:val="false"/>
                <w:bCs w:val="false"/>
                <w:sz w:val="18"/>
                <w:szCs w:val="18"/>
              </w:rPr>
              <w:t xml:space="preserve">Affymetrix HuGene 1.0 ST</w:t>
            </w:r>
          </w:p>
        </w:tc>
        <w:tc>
          <w:tcPr>
            <w:tcW w:type="dxa" w:w="4300"/>
          </w:tcPr>
          <w:p>
            <w:pPr>
              <w:spacing w:after="60" w:before="60" w:line="260"/>
              <w:jc w:val="left"/>
            </w:pPr>
            <w:r>
              <w:rPr>
                <w:rFonts w:ascii="Calibri" w:cs="Calibri" w:eastAsia="Calibri" w:hAnsi="Calibri"/>
                <w:b w:val="false"/>
                <w:bCs w:val="false"/>
                <w:sz w:val="18"/>
                <w:szCs w:val="18"/>
              </w:rPr>
              <w:t xml:space="preserve">AD bulk cohort component (Stage 4). Hippocampus and temporal cortex, 47 samples.</w:t>
            </w:r>
          </w:p>
        </w:tc>
      </w:tr>
      <w:tr>
        <w:tc>
          <w:tcPr>
            <w:tcW w:type="dxa" w:w="1300"/>
          </w:tcPr>
          <w:p>
            <w:pPr>
              <w:spacing w:after="60" w:before="60" w:line="260"/>
              <w:jc w:val="left"/>
            </w:pPr>
            <w:r>
              <w:rPr>
                <w:rFonts w:ascii="Calibri" w:cs="Calibri" w:eastAsia="Calibri" w:hAnsi="Calibri"/>
                <w:b w:val="false"/>
                <w:bCs w:val="false"/>
                <w:sz w:val="18"/>
                <w:szCs w:val="18"/>
              </w:rPr>
              <w:t xml:space="preserve">TCGA-GBM</w:t>
            </w:r>
          </w:p>
        </w:tc>
        <w:tc>
          <w:tcPr>
            <w:tcW w:type="dxa" w:w="2200"/>
          </w:tcPr>
          <w:p>
            <w:pPr>
              <w:spacing w:after="60" w:before="60" w:line="260"/>
              <w:jc w:val="left"/>
            </w:pPr>
            <w:r>
              <w:rPr>
                <w:rFonts w:ascii="Calibri" w:cs="Calibri" w:eastAsia="Calibri" w:hAnsi="Calibri"/>
                <w:b w:val="false"/>
                <w:bCs w:val="false"/>
                <w:sz w:val="18"/>
                <w:szCs w:val="18"/>
              </w:rPr>
              <w:t xml:space="preserve">TCGA Research Network 2013</w:t>
            </w:r>
          </w:p>
        </w:tc>
        <w:tc>
          <w:tcPr>
            <w:tcW w:type="dxa" w:w="1200"/>
          </w:tcPr>
          <w:p>
            <w:pPr>
              <w:spacing w:after="60" w:before="60" w:line="260"/>
              <w:jc w:val="left"/>
            </w:pPr>
            <w:r>
              <w:rPr>
                <w:rFonts w:ascii="Calibri" w:cs="Calibri" w:eastAsia="Calibri" w:hAnsi="Calibri"/>
                <w:b w:val="false"/>
                <w:bCs w:val="false"/>
                <w:sz w:val="18"/>
                <w:szCs w:val="18"/>
              </w:rPr>
              <w:t xml:space="preserve">RNA-seq (via UCSC Xena TOIL)</w:t>
            </w:r>
          </w:p>
        </w:tc>
        <w:tc>
          <w:tcPr>
            <w:tcW w:type="dxa" w:w="4300"/>
          </w:tcPr>
          <w:p>
            <w:pPr>
              <w:spacing w:after="60" w:before="60" w:line="260"/>
              <w:jc w:val="left"/>
            </w:pPr>
            <w:r>
              <w:rPr>
                <w:rFonts w:ascii="Calibri" w:cs="Calibri" w:eastAsia="Calibri" w:hAnsi="Calibri"/>
                <w:b w:val="false"/>
                <w:bCs w:val="false"/>
                <w:sz w:val="18"/>
                <w:szCs w:val="18"/>
              </w:rPr>
              <w:t xml:space="preserve">GBM bulk tumour cohort (Stage 4). 153 primary tumours retained (recurrent samples excluded).</w:t>
            </w:r>
          </w:p>
        </w:tc>
      </w:tr>
      <w:tr>
        <w:tc>
          <w:tcPr>
            <w:tcW w:type="dxa" w:w="1300"/>
          </w:tcPr>
          <w:p>
            <w:pPr>
              <w:spacing w:after="60" w:before="60" w:line="260"/>
              <w:jc w:val="left"/>
            </w:pPr>
            <w:r>
              <w:rPr>
                <w:rFonts w:ascii="Calibri" w:cs="Calibri" w:eastAsia="Calibri" w:hAnsi="Calibri"/>
                <w:b w:val="false"/>
                <w:bCs w:val="false"/>
                <w:sz w:val="18"/>
                <w:szCs w:val="18"/>
              </w:rPr>
              <w:t xml:space="preserve">GTEx</w:t>
            </w:r>
          </w:p>
        </w:tc>
        <w:tc>
          <w:tcPr>
            <w:tcW w:type="dxa" w:w="2200"/>
          </w:tcPr>
          <w:p>
            <w:pPr>
              <w:spacing w:after="60" w:before="60" w:line="260"/>
              <w:jc w:val="left"/>
            </w:pPr>
            <w:r>
              <w:rPr>
                <w:rFonts w:ascii="Calibri" w:cs="Calibri" w:eastAsia="Calibri" w:hAnsi="Calibri"/>
                <w:b w:val="false"/>
                <w:bCs w:val="false"/>
                <w:sz w:val="18"/>
                <w:szCs w:val="18"/>
              </w:rPr>
              <w:t xml:space="preserve">GTEx Consortium 2020</w:t>
            </w:r>
          </w:p>
        </w:tc>
        <w:tc>
          <w:tcPr>
            <w:tcW w:type="dxa" w:w="1200"/>
          </w:tcPr>
          <w:p>
            <w:pPr>
              <w:spacing w:after="60" w:before="60" w:line="260"/>
              <w:jc w:val="left"/>
            </w:pPr>
            <w:r>
              <w:rPr>
                <w:rFonts w:ascii="Calibri" w:cs="Calibri" w:eastAsia="Calibri" w:hAnsi="Calibri"/>
                <w:b w:val="false"/>
                <w:bCs w:val="false"/>
                <w:sz w:val="18"/>
                <w:szCs w:val="18"/>
              </w:rPr>
              <w:t xml:space="preserve">RNA-seq (via UCSC Xena TOIL)</w:t>
            </w:r>
          </w:p>
        </w:tc>
        <w:tc>
          <w:tcPr>
            <w:tcW w:type="dxa" w:w="4300"/>
          </w:tcPr>
          <w:p>
            <w:pPr>
              <w:spacing w:after="60" w:before="60" w:line="260"/>
              <w:jc w:val="left"/>
            </w:pPr>
            <w:r>
              <w:rPr>
                <w:rFonts w:ascii="Calibri" w:cs="Calibri" w:eastAsia="Calibri" w:hAnsi="Calibri"/>
                <w:b w:val="false"/>
                <w:bCs w:val="false"/>
                <w:sz w:val="18"/>
                <w:szCs w:val="18"/>
              </w:rPr>
              <w:t xml:space="preserve">Healthy brain control for GBM cohort (Stage 4). 186 samples: 84 hippocampus, 102 frontal cortex BA9.</w:t>
            </w:r>
          </w:p>
        </w:tc>
      </w:tr>
    </w:tbl>
    <w:p>
      <w:r>
        <w:t xml:space="preserve"/>
      </w:r>
    </w:p>
    <w:p>
      <w:pPr>
        <w:pStyle w:val="Heading2"/>
        <w:spacing w:after="140" w:before="280"/>
      </w:pPr>
      <w:r>
        <w:rPr>
          <w:rFonts w:ascii="Calibri" w:cs="Calibri" w:eastAsia="Calibri" w:hAnsi="Calibri"/>
          <w:b/>
          <w:bCs/>
          <w:sz w:val="26"/>
          <w:szCs w:val="26"/>
        </w:rPr>
        <w:t xml:space="preserve">4.1 Inclusion and exclusion criteria (fixed in this plan)</w:t>
      </w:r>
    </w:p>
    <w:p>
      <w:pPr>
        <w:spacing w:after="120" w:before="0" w:line="300"/>
        <w:jc w:val="both"/>
      </w:pPr>
      <w:r>
        <w:rPr>
          <w:rFonts w:ascii="Calibri" w:cs="Calibri" w:eastAsia="Calibri" w:hAnsi="Calibri"/>
          <w:b/>
          <w:bCs/>
          <w:i w:val="false"/>
          <w:iCs w:val="false"/>
          <w:sz w:val="22"/>
          <w:szCs w:val="22"/>
        </w:rPr>
        <w:t xml:space="preserve">For GSE147528 (Leng): </w:t>
      </w:r>
      <w:r>
        <w:rPr>
          <w:rFonts w:ascii="Calibri" w:cs="Calibri" w:eastAsia="Calibri" w:hAnsi="Calibri"/>
          <w:b w:val="false"/>
          <w:bCs w:val="false"/>
          <w:i w:val="false"/>
          <w:iCs w:val="false"/>
          <w:sz w:val="22"/>
          <w:szCs w:val="22"/>
        </w:rPr>
        <w:t xml:space="preserve">all annotated excitatory neuron nuclei from entorhinal cortex samples of Braak stage 0 (control) and Braak stage VI (advanced AD) donors will be included. Superior frontal gyrus samples and intermediate Braak stages will be reserved for sensitivity analysis (Section 8). Nuclei will be filtered at nFeature_RNA ≥ 200, nCount_RNA ≥ 400, percent.mt ≤ 5%, and doublet exclusion via scDblFinder (default parameters).</w:t>
      </w:r>
    </w:p>
    <w:p>
      <w:pPr>
        <w:spacing w:after="120" w:before="0" w:line="300"/>
        <w:jc w:val="both"/>
      </w:pPr>
      <w:r>
        <w:rPr>
          <w:rFonts w:ascii="Calibri" w:cs="Calibri" w:eastAsia="Calibri" w:hAnsi="Calibri"/>
          <w:b/>
          <w:bCs/>
          <w:i w:val="false"/>
          <w:iCs w:val="false"/>
          <w:sz w:val="22"/>
          <w:szCs w:val="22"/>
        </w:rPr>
        <w:t xml:space="preserve">For GSE131928 (Neftel): </w:t>
      </w:r>
      <w:r>
        <w:rPr>
          <w:rFonts w:ascii="Calibri" w:cs="Calibri" w:eastAsia="Calibri" w:hAnsi="Calibri"/>
          <w:b w:val="false"/>
          <w:bCs w:val="false"/>
          <w:i w:val="false"/>
          <w:iCs w:val="false"/>
          <w:sz w:val="22"/>
          <w:szCs w:val="22"/>
        </w:rPr>
        <w:t xml:space="preserve">all malignant cells from adult IDH-wildtype primary GBM tumours will be included. Non-malignant cells (immune, endothelial, oligodendrocytes as annotated in the original publication metadata) will be excluded. Malignant cell state assignment (NPC-like, OPC-like, AC-like, MES-like) will follow the two-dimensional meta-module scoring scheme described by Neftel et al. (2019) and implemented in the Broad Institute Single Cell Portal metadata; scoring will be independently reproduced using the module gene lists provided in the original publication’s supplementary Table S2 for verification.</w:t>
      </w:r>
    </w:p>
    <w:p>
      <w:pPr>
        <w:spacing w:after="120" w:before="0" w:line="300"/>
        <w:jc w:val="both"/>
      </w:pPr>
      <w:r>
        <w:rPr>
          <w:rFonts w:ascii="Calibri" w:cs="Calibri" w:eastAsia="Calibri" w:hAnsi="Calibri"/>
          <w:b/>
          <w:bCs/>
          <w:i w:val="false"/>
          <w:iCs w:val="false"/>
          <w:sz w:val="22"/>
          <w:szCs w:val="22"/>
        </w:rPr>
        <w:t xml:space="preserve">For GSE48350: </w:t>
      </w:r>
      <w:r>
        <w:rPr>
          <w:rFonts w:ascii="Calibri" w:cs="Calibri" w:eastAsia="Calibri" w:hAnsi="Calibri"/>
          <w:b w:val="false"/>
          <w:bCs w:val="false"/>
          <w:i w:val="false"/>
          <w:iCs w:val="false"/>
          <w:sz w:val="22"/>
          <w:szCs w:val="22"/>
        </w:rPr>
        <w:t xml:space="preserve">donors ≥ 65 years, samples from hippocampus and entorhinal cortex, control and AD diagnoses only. Excluded: donors with mixed pathology, samples with RIN &lt; 6 as reported in metadata, and technical outliers identified by principal component analysis at ArrayQualityMetrics defaults.</w:t>
      </w:r>
    </w:p>
    <w:p>
      <w:pPr>
        <w:spacing w:after="120" w:before="0" w:line="300"/>
        <w:jc w:val="both"/>
      </w:pPr>
      <w:r>
        <w:rPr>
          <w:rFonts w:ascii="Calibri" w:cs="Calibri" w:eastAsia="Calibri" w:hAnsi="Calibri"/>
          <w:b/>
          <w:bCs/>
          <w:i w:val="false"/>
          <w:iCs w:val="false"/>
          <w:sz w:val="22"/>
          <w:szCs w:val="22"/>
        </w:rPr>
        <w:t xml:space="preserve">For GSE36980: </w:t>
      </w:r>
      <w:r>
        <w:rPr>
          <w:rFonts w:ascii="Calibri" w:cs="Calibri" w:eastAsia="Calibri" w:hAnsi="Calibri"/>
          <w:b w:val="false"/>
          <w:bCs w:val="false"/>
          <w:i w:val="false"/>
          <w:iCs w:val="false"/>
          <w:sz w:val="22"/>
          <w:szCs w:val="22"/>
        </w:rPr>
        <w:t xml:space="preserve">samples from hippocampus and temporal cortex, control and AD diagnoses. Same technical exclusion criteria as GSE48350.</w:t>
      </w:r>
    </w:p>
    <w:p>
      <w:pPr>
        <w:spacing w:after="120" w:before="0" w:line="300"/>
        <w:jc w:val="both"/>
      </w:pPr>
      <w:r>
        <w:rPr>
          <w:rFonts w:ascii="Calibri" w:cs="Calibri" w:eastAsia="Calibri" w:hAnsi="Calibri"/>
          <w:b/>
          <w:bCs/>
          <w:i w:val="false"/>
          <w:iCs w:val="false"/>
          <w:sz w:val="22"/>
          <w:szCs w:val="22"/>
        </w:rPr>
        <w:t xml:space="preserve">For TCGA-GBM: </w:t>
      </w:r>
      <w:r>
        <w:rPr>
          <w:rFonts w:ascii="Calibri" w:cs="Calibri" w:eastAsia="Calibri" w:hAnsi="Calibri"/>
          <w:b w:val="false"/>
          <w:bCs w:val="false"/>
          <w:i w:val="false"/>
          <w:iCs w:val="false"/>
          <w:sz w:val="22"/>
          <w:szCs w:val="22"/>
        </w:rPr>
        <w:t xml:space="preserve">primary tumours only (sample type code 01); recurrent tumours (02) excluded. Samples with &lt; 60% tumour purity by ABSOLUTE (as reported in the TCGA harmonised metadata) will be flagged for sensitivity analysis but retained in the primary analysis.</w:t>
      </w:r>
    </w:p>
    <w:p>
      <w:pPr>
        <w:spacing w:after="120" w:before="0" w:line="300"/>
        <w:jc w:val="both"/>
      </w:pPr>
      <w:r>
        <w:rPr>
          <w:rFonts w:ascii="Calibri" w:cs="Calibri" w:eastAsia="Calibri" w:hAnsi="Calibri"/>
          <w:b/>
          <w:bCs/>
          <w:i w:val="false"/>
          <w:iCs w:val="false"/>
          <w:sz w:val="22"/>
          <w:szCs w:val="22"/>
        </w:rPr>
        <w:t xml:space="preserve">For GTEx: </w:t>
      </w:r>
      <w:r>
        <w:rPr>
          <w:rFonts w:ascii="Calibri" w:cs="Calibri" w:eastAsia="Calibri" w:hAnsi="Calibri"/>
          <w:b w:val="false"/>
          <w:bCs w:val="false"/>
          <w:i w:val="false"/>
          <w:iCs w:val="false"/>
          <w:sz w:val="22"/>
          <w:szCs w:val="22"/>
        </w:rPr>
        <w:t xml:space="preserve">brain hippocampus and brain frontal cortex BA9 samples only. Samples with RIN &lt; 6 or with post-mortem interval (Hardy score) &gt; 3 excluded.</w:t>
      </w:r>
    </w:p>
    <w:p>
      <w:r>
        <w:br w:type="page"/>
      </w:r>
    </w:p>
    <w:p>
      <w:pPr>
        <w:pStyle w:val="Heading1"/>
        <w:spacing w:after="180" w:before="360"/>
      </w:pPr>
      <w:r>
        <w:rPr>
          <w:rFonts w:ascii="Calibri" w:cs="Calibri" w:eastAsia="Calibri" w:hAnsi="Calibri"/>
          <w:b/>
          <w:bCs/>
          <w:sz w:val="32"/>
          <w:szCs w:val="32"/>
        </w:rPr>
        <w:t xml:space="preserve">5. Preprocessing and quality control</w:t>
      </w:r>
    </w:p>
    <w:p>
      <w:pPr>
        <w:pStyle w:val="Heading2"/>
        <w:spacing w:after="140" w:before="280"/>
      </w:pPr>
      <w:r>
        <w:rPr>
          <w:rFonts w:ascii="Calibri" w:cs="Calibri" w:eastAsia="Calibri" w:hAnsi="Calibri"/>
          <w:b/>
          <w:bCs/>
          <w:sz w:val="26"/>
          <w:szCs w:val="26"/>
        </w:rPr>
        <w:t xml:space="preserve">5.1 Bulk transcriptomic data</w:t>
      </w:r>
    </w:p>
    <w:p>
      <w:pPr>
        <w:spacing w:after="120" w:before="0" w:line="300"/>
        <w:jc w:val="both"/>
      </w:pPr>
      <w:r>
        <w:rPr>
          <w:rFonts w:ascii="Calibri" w:cs="Calibri" w:eastAsia="Calibri" w:hAnsi="Calibri"/>
          <w:b w:val="false"/>
          <w:bCs w:val="false"/>
          <w:i w:val="false"/>
          <w:iCs w:val="false"/>
          <w:sz w:val="22"/>
          <w:szCs w:val="22"/>
        </w:rPr>
        <w:t xml:space="preserve">Microarray data (GSE48350, GSE36980): raw CEL files will be downloaded from GEO and normalised using the robust multi-array average (RMA) algorithm via the affy package (Gautier et al., 2004) for HG-U133 Plus 2.0 arrays and the oligo package (Carvalho and Irizarry, 2010) for HuGene 1.0 ST arrays. Probe-to-gene mapping will use the hgu133plus2.db and hugene10sttranscriptcluster.db annotations (Bioconductor release matching the R version pinned in the containerised environment). When multiple probes map to a single gene symbol, the probe with the highest mean expression across all samples will be retained. Genes with log2 expression &lt; 4 in fewer than 20% of samples will be excluded.</w:t>
      </w:r>
    </w:p>
    <w:p>
      <w:pPr>
        <w:spacing w:after="120" w:before="0" w:line="300"/>
        <w:jc w:val="both"/>
      </w:pPr>
      <w:r>
        <w:rPr>
          <w:rFonts w:ascii="Calibri" w:cs="Calibri" w:eastAsia="Calibri" w:hAnsi="Calibri"/>
          <w:b w:val="false"/>
          <w:bCs w:val="false"/>
          <w:i w:val="false"/>
          <w:iCs w:val="false"/>
          <w:sz w:val="22"/>
          <w:szCs w:val="22"/>
        </w:rPr>
        <w:t xml:space="preserve">Meta-cohort assembly: the two AD cohorts will be merged at the gene-symbol level using common genes. Batch effect between the two array platforms will be removed using ComBat from the sva package (Leek et al., 2012), with dataset of origin as the batch variable and diagnosis plus brain region preserved as biological covariates. Batch correction quality will be assessed by principal component analysis before and after correction; the pre-specified acceptance criterion is that post-correction PC1 correlation with dataset drops below |r| = 0.20 and that diagnosis emerges as a substantial component on PC1 or PC2.</w:t>
      </w:r>
    </w:p>
    <w:p>
      <w:pPr>
        <w:spacing w:after="120" w:before="0" w:line="300"/>
        <w:jc w:val="both"/>
      </w:pPr>
      <w:r>
        <w:rPr>
          <w:rFonts w:ascii="Calibri" w:cs="Calibri" w:eastAsia="Calibri" w:hAnsi="Calibri"/>
          <w:b w:val="false"/>
          <w:bCs w:val="false"/>
          <w:i w:val="false"/>
          <w:iCs w:val="false"/>
          <w:sz w:val="22"/>
          <w:szCs w:val="22"/>
        </w:rPr>
        <w:t xml:space="preserve">RNA-seq data (TCGA-GBM, GTEx): standardised gene-level TOIL-processed expression values (log2 transcripts per million) will be retrieved from UCSC Xena (Vivian et al., 2017; Goldman et al., 2020). Genes with log2 TPM &lt; 1 in fewer than 20% of samples will be excluded.</w:t>
      </w:r>
    </w:p>
    <w:p>
      <w:pPr>
        <w:pStyle w:val="Heading2"/>
        <w:spacing w:after="140" w:before="280"/>
      </w:pPr>
      <w:r>
        <w:rPr>
          <w:rFonts w:ascii="Calibri" w:cs="Calibri" w:eastAsia="Calibri" w:hAnsi="Calibri"/>
          <w:b/>
          <w:bCs/>
          <w:sz w:val="26"/>
          <w:szCs w:val="26"/>
        </w:rPr>
        <w:t xml:space="preserve">5.2 Single-cell transcriptomic data</w:t>
      </w:r>
    </w:p>
    <w:p>
      <w:pPr>
        <w:spacing w:after="120" w:before="0" w:line="300"/>
        <w:jc w:val="both"/>
      </w:pPr>
      <w:r>
        <w:rPr>
          <w:rFonts w:ascii="Calibri" w:cs="Calibri" w:eastAsia="Calibri" w:hAnsi="Calibri"/>
          <w:b w:val="false"/>
          <w:bCs w:val="false"/>
          <w:i w:val="false"/>
          <w:iCs w:val="false"/>
          <w:sz w:val="22"/>
          <w:szCs w:val="22"/>
        </w:rPr>
        <w:t xml:space="preserve">snRNA-seq data (GSE147528): count matrices will be downloaded from GEO and imported into Seurat v5 (Hao et al., 2024). Per-nucleus quality filtering will apply the criteria listed in Section 4.1 (nFeature_RNA ≥ 200, nCount_RNA ≥ 400, percent.mt ≤ 5%). Doublets will be detected and removed using scDblFinder with default parameters. Data will be log-normalised (scale factor 10,000), 2,000 highly variable features selected, scaled, and dimension-reduced by principal component analysis (30 components).</w:t>
      </w:r>
    </w:p>
    <w:p>
      <w:pPr>
        <w:spacing w:after="120" w:before="0" w:line="300"/>
        <w:jc w:val="both"/>
      </w:pPr>
      <w:r>
        <w:rPr>
          <w:rFonts w:ascii="Calibri" w:cs="Calibri" w:eastAsia="Calibri" w:hAnsi="Calibri"/>
          <w:b w:val="false"/>
          <w:bCs w:val="false"/>
          <w:i w:val="false"/>
          <w:iCs w:val="false"/>
          <w:sz w:val="22"/>
          <w:szCs w:val="22"/>
        </w:rPr>
        <w:t xml:space="preserve">Cell type annotation will use the labels provided in the original Leng et al. (2021) publication metadata (Broad Single Cell Portal) as the primary annotation. Annotations will be independently verified by scoring canonical marker gene panels: RBFOX3, SNAP25, SYT1 (neurons); SLC17A7, CAMK2A (excitatory neurons); GAD1, GAD2 (inhibitory neurons); RORB (Layer II vulnerable excitatory subtype); GFAP, AQP4 (astrocytes); C1QA, CSF1R (microglia); MOG, MBP (oligodendrocytes). Nuclei with major disagreement between the original label and marker-based score (defined as a canonical marker of the assigned type scoring below the 10th percentile of that type’s distribution) will be flagged and excluded from primary analysis; the count of excluded nuclei will be reported.</w:t>
      </w:r>
    </w:p>
    <w:p>
      <w:pPr>
        <w:spacing w:after="120" w:before="0" w:line="300"/>
        <w:jc w:val="both"/>
      </w:pPr>
      <w:r>
        <w:rPr>
          <w:rFonts w:ascii="Calibri" w:cs="Calibri" w:eastAsia="Calibri" w:hAnsi="Calibri"/>
          <w:b w:val="false"/>
          <w:bCs w:val="false"/>
          <w:i w:val="false"/>
          <w:iCs w:val="false"/>
          <w:sz w:val="22"/>
          <w:szCs w:val="22"/>
        </w:rPr>
        <w:t xml:space="preserve">scRNA-seq data (GSE131928): count matrices will be downloaded from GEO and the Broad Single Cell Portal. Per-cell quality filtering will apply nFeature_RNA ≥ 500, nCount_RNA ≥ 1000, percent.mt ≤ 10% (higher thresholds than snRNA-seq reflect the different characteristics of full-cell RNA-seq versus nuclear RNA-seq). Malignant versus non-malignant cell status will be assigned using the annotations provided in the original publication, verified by inferCNV analysis for a random 20% subsample of cells.</w:t>
      </w:r>
    </w:p>
    <w:p>
      <w:r>
        <w:br w:type="page"/>
      </w:r>
    </w:p>
    <w:p>
      <w:pPr>
        <w:pStyle w:val="Heading1"/>
        <w:spacing w:after="180" w:before="360"/>
      </w:pPr>
      <w:r>
        <w:rPr>
          <w:rFonts w:ascii="Calibri" w:cs="Calibri" w:eastAsia="Calibri" w:hAnsi="Calibri"/>
          <w:b/>
          <w:bCs/>
          <w:sz w:val="32"/>
          <w:szCs w:val="32"/>
        </w:rPr>
        <w:t xml:space="preserve">6. Analytical plan</w:t>
      </w:r>
    </w:p>
    <w:p>
      <w:pPr>
        <w:pStyle w:val="Heading2"/>
        <w:spacing w:after="140" w:before="280"/>
      </w:pPr>
      <w:r>
        <w:rPr>
          <w:rFonts w:ascii="Calibri" w:cs="Calibri" w:eastAsia="Calibri" w:hAnsi="Calibri"/>
          <w:b/>
          <w:bCs/>
          <w:sz w:val="26"/>
          <w:szCs w:val="26"/>
        </w:rPr>
        <w:t xml:space="preserve">6.1 Stage 1: Definition of the AD-vulnerable neuron transcriptional signature</w:t>
      </w:r>
    </w:p>
    <w:p>
      <w:pPr>
        <w:spacing w:after="120" w:before="0" w:line="300"/>
        <w:jc w:val="both"/>
      </w:pPr>
      <w:r>
        <w:rPr>
          <w:rFonts w:ascii="Calibri" w:cs="Calibri" w:eastAsia="Calibri" w:hAnsi="Calibri"/>
          <w:b w:val="false"/>
          <w:bCs w:val="false"/>
          <w:i w:val="false"/>
          <w:iCs w:val="false"/>
          <w:sz w:val="22"/>
          <w:szCs w:val="22"/>
        </w:rPr>
        <w:t xml:space="preserve">Objective: to define the transcriptional signature that is lost when RORB+ entorhinal cortex Layer II excitatory neurons are affected in AD, at donor-level pseudobulk resolution.</w:t>
      </w:r>
    </w:p>
    <w:p>
      <w:pPr>
        <w:spacing w:after="120" w:before="0" w:line="300"/>
        <w:jc w:val="both"/>
      </w:pPr>
      <w:r>
        <w:rPr>
          <w:rFonts w:ascii="Calibri" w:cs="Calibri" w:eastAsia="Calibri" w:hAnsi="Calibri"/>
          <w:b w:val="false"/>
          <w:bCs w:val="false"/>
          <w:i w:val="false"/>
          <w:iCs w:val="false"/>
          <w:sz w:val="22"/>
          <w:szCs w:val="22"/>
        </w:rPr>
        <w:t xml:space="preserve">Procedure: from the QC-filtered Leng et al. (2021) entorhinal cortex snRNA-seq data, all nuclei annotated as excitatory neurons will be extracted. Within this subset, nuclei expressing RORB above the 75th percentile of RORB expression across all excitatory neurons will be labelled as the RORB-high excitatory subtype. Donor-level pseudobulk counts will be generated by summing raw counts across nuclei within each donor × subtype combination.</w:t>
      </w:r>
    </w:p>
    <w:p>
      <w:pPr>
        <w:spacing w:after="120" w:before="0" w:line="300"/>
        <w:jc w:val="both"/>
      </w:pPr>
      <w:r>
        <w:rPr>
          <w:rFonts w:ascii="Calibri" w:cs="Calibri" w:eastAsia="Calibri" w:hAnsi="Calibri"/>
          <w:b w:val="false"/>
          <w:bCs w:val="false"/>
          <w:i w:val="false"/>
          <w:iCs w:val="false"/>
          <w:sz w:val="22"/>
          <w:szCs w:val="22"/>
        </w:rPr>
        <w:t xml:space="preserve">Differential expression between Braak stage 0 (control) and Braak stage VI (advanced AD) pseudobulk samples of the RORB-high excitatory subtype will be performed using edgeR (Robinson et al., 2010) with a quasi-likelihood F-test. Age and sex will be included as covariates. Genes will be filtered by filterByExpr (default parameters) prior to normalisation by trimmed mean of M-values. A gene will enter the AD-vulnerable neuron down-regulated signature if it satisfies: (i) FDR &lt; 0.05 (Benjamini-Hochberg), (ii) log2 fold change &lt; −0.5 (down-regulated in AD).</w:t>
      </w:r>
    </w:p>
    <w:p>
      <w:pPr>
        <w:spacing w:after="120" w:before="0" w:line="300"/>
        <w:jc w:val="both"/>
      </w:pPr>
      <w:r>
        <w:rPr>
          <w:rFonts w:ascii="Calibri" w:cs="Calibri" w:eastAsia="Calibri" w:hAnsi="Calibri"/>
          <w:b w:val="false"/>
          <w:bCs w:val="false"/>
          <w:i w:val="false"/>
          <w:iCs w:val="false"/>
          <w:sz w:val="22"/>
          <w:szCs w:val="22"/>
        </w:rPr>
        <w:t xml:space="preserve">Pre-specified outputs of Stage 1: (i) the full gene-level differential expression table (deposited in supplementary data), (ii) the AD-vulnerable neuron down-regulated signature as a ranked gene list, (iii) the same signature restricted to genes with orthologues detectable in the Neftel scRNA-seq platform (for use in Stage 3), (iv) a barcode-plot enrichment against a reference RORB+ vulnerable neuron signature (top 100 genes from Leng et al. 2021 Supplementary Table S6) as an internal positive control confirming that the analysis recovers the expected biology.</w:t>
      </w:r>
    </w:p>
    <w:p>
      <w:pPr>
        <w:pStyle w:val="Heading2"/>
        <w:spacing w:after="140" w:before="280"/>
      </w:pPr>
      <w:r>
        <w:rPr>
          <w:rFonts w:ascii="Calibri" w:cs="Calibri" w:eastAsia="Calibri" w:hAnsi="Calibri"/>
          <w:b/>
          <w:bCs/>
          <w:sz w:val="26"/>
          <w:szCs w:val="26"/>
        </w:rPr>
        <w:t xml:space="preserve">6.2 Stage 2: Characterisation of GBM neural-mimicry signature</w:t>
      </w:r>
    </w:p>
    <w:p>
      <w:pPr>
        <w:spacing w:after="120" w:before="0" w:line="300"/>
        <w:jc w:val="both"/>
      </w:pPr>
      <w:r>
        <w:rPr>
          <w:rFonts w:ascii="Calibri" w:cs="Calibri" w:eastAsia="Calibri" w:hAnsi="Calibri"/>
          <w:b w:val="false"/>
          <w:bCs w:val="false"/>
          <w:i w:val="false"/>
          <w:iCs w:val="false"/>
          <w:sz w:val="22"/>
          <w:szCs w:val="22"/>
        </w:rPr>
        <w:t xml:space="preserve">Objective: to define the transcriptional signature that distinguishes GBM neural-lineage-like malignant cell states (NPC-like and OPC-like) from other malignant states (MES-like and AC-like), which represents the intrinsic neural-mimicry programme of GBM malignant cells.</w:t>
      </w:r>
    </w:p>
    <w:p>
      <w:pPr>
        <w:spacing w:after="120" w:before="0" w:line="300"/>
        <w:jc w:val="both"/>
      </w:pPr>
      <w:r>
        <w:rPr>
          <w:rFonts w:ascii="Calibri" w:cs="Calibri" w:eastAsia="Calibri" w:hAnsi="Calibri"/>
          <w:b w:val="false"/>
          <w:bCs w:val="false"/>
          <w:i w:val="false"/>
          <w:iCs w:val="false"/>
          <w:sz w:val="22"/>
          <w:szCs w:val="22"/>
        </w:rPr>
        <w:t xml:space="preserve">Procedure: from the QC-filtered Neftel et al. (2019) malignant-cell dataset, cell state assignments (NPC-like, OPC-like, AC-like, MES-like) will be verified as described in Section 4.1. Cells assigned to two intermediate states (unassigned or borderline as defined by original meta-module scores) will be excluded from Stage 2 analysis.</w:t>
      </w:r>
    </w:p>
    <w:p>
      <w:pPr>
        <w:spacing w:after="120" w:before="0" w:line="300"/>
        <w:jc w:val="both"/>
      </w:pPr>
      <w:r>
        <w:rPr>
          <w:rFonts w:ascii="Calibri" w:cs="Calibri" w:eastAsia="Calibri" w:hAnsi="Calibri"/>
          <w:b w:val="false"/>
          <w:bCs w:val="false"/>
          <w:i w:val="false"/>
          <w:iCs w:val="false"/>
          <w:sz w:val="22"/>
          <w:szCs w:val="22"/>
        </w:rPr>
        <w:t xml:space="preserve">Differential expression will be conducted at the pseudobulk level with the tumour of origin as the sampling unit and cell state as the contrast. For each of 24 tumours, pseudobulk counts will be generated for each cell state present in that tumour. Contrast: (NPC-like + OPC-like) versus (AC-like + MES-like) using edgeR quasi-likelihood F-test with tumour identity as a blocking factor. A gene will enter the GBM neural-mimicry up-regulated signature if it satisfies: (i) FDR &lt; 0.05 (Benjamini-Hochberg), (ii) log2 fold change &gt; 0.5 (up-regulated in neural-lineage-like states).</w:t>
      </w:r>
    </w:p>
    <w:p>
      <w:pPr>
        <w:spacing w:after="120" w:before="0" w:line="300"/>
        <w:jc w:val="both"/>
      </w:pPr>
      <w:r>
        <w:rPr>
          <w:rFonts w:ascii="Calibri" w:cs="Calibri" w:eastAsia="Calibri" w:hAnsi="Calibri"/>
          <w:b w:val="false"/>
          <w:bCs w:val="false"/>
          <w:i w:val="false"/>
          <w:iCs w:val="false"/>
          <w:sz w:val="22"/>
          <w:szCs w:val="22"/>
        </w:rPr>
        <w:t xml:space="preserve">Pre-specified outputs of Stage 2: (i) the full gene-level differential expression table, (ii) the GBM neural-mimicry up-regulated signature as a ranked gene list, (iii) the same signature restricted to the gene universe shared with the Leng snRNA-seq platform, (iv) barcode-plot enrichment against a reference gene list of GBM neural-mimicry markers reported in Venkatesh et al. (2019) as an internal positive control.</w:t>
      </w:r>
    </w:p>
    <w:p>
      <w:pPr>
        <w:pStyle w:val="Heading2"/>
        <w:spacing w:after="140" w:before="280"/>
      </w:pPr>
      <w:r>
        <w:rPr>
          <w:rFonts w:ascii="Calibri" w:cs="Calibri" w:eastAsia="Calibri" w:hAnsi="Calibri"/>
          <w:b/>
          <w:bCs/>
          <w:sz w:val="26"/>
          <w:szCs w:val="26"/>
        </w:rPr>
        <w:t xml:space="preserve">6.3 Stage 3: Convergence test (primary hypothesis H2 test)</w:t>
      </w:r>
    </w:p>
    <w:p>
      <w:pPr>
        <w:spacing w:after="120" w:before="0" w:line="300"/>
        <w:jc w:val="both"/>
      </w:pPr>
      <w:r>
        <w:rPr>
          <w:rFonts w:ascii="Calibri" w:cs="Calibri" w:eastAsia="Calibri" w:hAnsi="Calibri"/>
          <w:b w:val="false"/>
          <w:bCs w:val="false"/>
          <w:i w:val="false"/>
          <w:iCs w:val="false"/>
          <w:sz w:val="22"/>
          <w:szCs w:val="22"/>
        </w:rPr>
        <w:t xml:space="preserve">Objective: to test hypothesis H2 (Section 2.3) by quantifying the statistical overlap between the AD-vulnerable neuron down-regulated signature (Stage 1) and the GBM neural-mimicry up-regulated signature (Stage 2).</w:t>
      </w:r>
    </w:p>
    <w:p>
      <w:pPr>
        <w:spacing w:after="120" w:before="0" w:line="300"/>
        <w:jc w:val="both"/>
      </w:pPr>
      <w:r>
        <w:rPr>
          <w:rFonts w:ascii="Calibri" w:cs="Calibri" w:eastAsia="Calibri" w:hAnsi="Calibri"/>
          <w:b w:val="false"/>
          <w:bCs w:val="false"/>
          <w:i w:val="false"/>
          <w:iCs w:val="false"/>
          <w:sz w:val="22"/>
          <w:szCs w:val="22"/>
        </w:rPr>
        <w:t xml:space="preserve">Three tests will be conducted in parallel, all on gene lists restricted to the shared gene universe between the two platforms. The three tests are complementary in what they measure, and the pre-specified decision rule requires convergence across all three (or across two of three for the inconclusive category), as specified in Section 2.3.</w:t>
      </w:r>
    </w:p>
    <w:p>
      <w:pPr>
        <w:spacing w:after="120" w:before="0" w:line="300"/>
        <w:jc w:val="both"/>
      </w:pPr>
      <w:r>
        <w:rPr>
          <w:rFonts w:ascii="Calibri" w:cs="Calibri" w:eastAsia="Calibri" w:hAnsi="Calibri"/>
          <w:b/>
          <w:bCs/>
          <w:i w:val="false"/>
          <w:iCs w:val="false"/>
          <w:sz w:val="22"/>
          <w:szCs w:val="22"/>
        </w:rPr>
        <w:t xml:space="preserve">Test 1 (RRHO2): </w:t>
      </w:r>
      <w:r>
        <w:rPr>
          <w:rFonts w:ascii="Calibri" w:cs="Calibri" w:eastAsia="Calibri" w:hAnsi="Calibri"/>
          <w:b w:val="false"/>
          <w:bCs w:val="false"/>
          <w:i w:val="false"/>
          <w:iCs w:val="false"/>
          <w:sz w:val="22"/>
          <w:szCs w:val="22"/>
        </w:rPr>
        <w:t xml:space="preserve">the rank-rank hypergeometric overlap test as implemented in the RRHO2 R package (Cahill et al., 2018). Both signatures will be provided as full gene lists ranked by the signed −log10(P-value) from their respective differential expression analyses. The RRHO2 heatmap will be generated with step size 100, and joint significance will be assessed at the pixel of maximum −log10(P). The pre-specified significance threshold is Benjamini-Hochberg-adjusted P &lt; 0.001 at the position corresponding to concordant (down in AD, up in GBM) enrichment.</w:t>
      </w:r>
    </w:p>
    <w:p>
      <w:pPr>
        <w:spacing w:after="120" w:before="0" w:line="300"/>
        <w:jc w:val="both"/>
      </w:pPr>
      <w:r>
        <w:rPr>
          <w:rFonts w:ascii="Calibri" w:cs="Calibri" w:eastAsia="Calibri" w:hAnsi="Calibri"/>
          <w:b/>
          <w:bCs/>
          <w:i w:val="false"/>
          <w:iCs w:val="false"/>
          <w:sz w:val="22"/>
          <w:szCs w:val="22"/>
        </w:rPr>
        <w:t xml:space="preserve">Test 2 (hypergeometric): </w:t>
      </w:r>
      <w:r>
        <w:rPr>
          <w:rFonts w:ascii="Calibri" w:cs="Calibri" w:eastAsia="Calibri" w:hAnsi="Calibri"/>
          <w:b w:val="false"/>
          <w:bCs w:val="false"/>
          <w:i w:val="false"/>
          <w:iCs w:val="false"/>
          <w:sz w:val="22"/>
          <w:szCs w:val="22"/>
        </w:rPr>
        <w:t xml:space="preserve">the top 200 genes from each signature will be extracted. The hypergeometric overlap will be computed with the shared gene universe as the background. The pre-specified significance threshold is odds ratio ≥ 3 and Bonferroni-corrected P &lt; 0.001. The choice of top-200 is pre-specified based on the size of the original 198-gene shared signature observed in the author’s prior bulk analysis; a sensitivity analysis will re-run this test with top-100 and top-500 thresholds.</w:t>
      </w:r>
    </w:p>
    <w:p>
      <w:pPr>
        <w:spacing w:after="120" w:before="0" w:line="300"/>
        <w:jc w:val="both"/>
      </w:pPr>
      <w:r>
        <w:rPr>
          <w:rFonts w:ascii="Calibri" w:cs="Calibri" w:eastAsia="Calibri" w:hAnsi="Calibri"/>
          <w:b/>
          <w:bCs/>
          <w:i w:val="false"/>
          <w:iCs w:val="false"/>
          <w:sz w:val="22"/>
          <w:szCs w:val="22"/>
        </w:rPr>
        <w:t xml:space="preserve">Test 3 (permutation): </w:t>
      </w:r>
      <w:r>
        <w:rPr>
          <w:rFonts w:ascii="Calibri" w:cs="Calibri" w:eastAsia="Calibri" w:hAnsi="Calibri"/>
          <w:b w:val="false"/>
          <w:bCs w:val="false"/>
          <w:i w:val="false"/>
          <w:iCs w:val="false"/>
          <w:sz w:val="22"/>
          <w:szCs w:val="22"/>
        </w:rPr>
        <w:t xml:space="preserve">1000 pairs of random gene sets of matched size (top 200 each) will be sampled from the shared gene universe, and the hypergeometric odds ratio will be computed for each random pair. The empirical P-value will be the proportion of random pairs achieving an odds ratio at least as large as the observed pair. The pre-specified significance threshold is empirical P &lt; 0.01.</w:t>
      </w:r>
    </w:p>
    <w:p>
      <w:pPr>
        <w:spacing w:after="120" w:before="0" w:line="300"/>
        <w:jc w:val="both"/>
      </w:pPr>
      <w:r>
        <w:rPr>
          <w:rFonts w:ascii="Calibri" w:cs="Calibri" w:eastAsia="Calibri" w:hAnsi="Calibri"/>
          <w:b w:val="false"/>
          <w:bCs w:val="false"/>
          <w:i w:val="false"/>
          <w:iCs w:val="false"/>
          <w:sz w:val="22"/>
          <w:szCs w:val="22"/>
        </w:rPr>
        <w:t xml:space="preserve">Decision rule as pre-specified in Section 2.3: H2 supported if all three tests pass; H2 rejected if any two fail; H2 inconclusive if exactly one fails.</w:t>
      </w:r>
    </w:p>
    <w:p>
      <w:pPr>
        <w:pStyle w:val="Heading2"/>
        <w:spacing w:after="140" w:before="280"/>
      </w:pPr>
      <w:r>
        <w:rPr>
          <w:rFonts w:ascii="Calibri" w:cs="Calibri" w:eastAsia="Calibri" w:hAnsi="Calibri"/>
          <w:b/>
          <w:bCs/>
          <w:sz w:val="26"/>
          <w:szCs w:val="26"/>
        </w:rPr>
        <w:t xml:space="preserve">6.4 Stage 4: Bulk-level replication with dual deconvolution</w:t>
      </w:r>
    </w:p>
    <w:p>
      <w:pPr>
        <w:spacing w:after="120" w:before="0" w:line="300"/>
        <w:jc w:val="both"/>
      </w:pPr>
      <w:r>
        <w:rPr>
          <w:rFonts w:ascii="Calibri" w:cs="Calibri" w:eastAsia="Calibri" w:hAnsi="Calibri"/>
          <w:b w:val="false"/>
          <w:bCs w:val="false"/>
          <w:i w:val="false"/>
          <w:iCs w:val="false"/>
          <w:sz w:val="22"/>
          <w:szCs w:val="22"/>
        </w:rPr>
        <w:t xml:space="preserve">Objective: (i) to replicate the primary author’s prior bulk-level observation that shared AD-GBM DEGs collapse under cell-composition control (H1 test), (ii) to assess whether this collapse is robust to the choice of deconvolution method, and (iii) to reconcile the bulk-level result with the single-cell-resolved result from Stages 1–3.</w:t>
      </w:r>
    </w:p>
    <w:p>
      <w:pPr>
        <w:spacing w:after="120" w:before="0" w:line="300"/>
        <w:jc w:val="both"/>
      </w:pPr>
      <w:r>
        <w:rPr>
          <w:rFonts w:ascii="Calibri" w:cs="Calibri" w:eastAsia="Calibri" w:hAnsi="Calibri"/>
          <w:b w:val="false"/>
          <w:bCs w:val="false"/>
          <w:i w:val="false"/>
          <w:iCs w:val="false"/>
          <w:sz w:val="22"/>
          <w:szCs w:val="22"/>
        </w:rPr>
        <w:t xml:space="preserve">Deconvolution method 1 (BRETIGEA): brainCells function with the 50-marker-per-cell-type panels provided in McKenzie et al. (2018), computed by PCA-based aggregation with z-score scaling as in the original implementation. Six cell types: neurons, astrocytes, microglia, oligodendrocytes, oligodendrocyte progenitor cells, endothelial cells.</w:t>
      </w:r>
    </w:p>
    <w:p>
      <w:pPr>
        <w:spacing w:after="120" w:before="0" w:line="300"/>
        <w:jc w:val="both"/>
      </w:pPr>
      <w:r>
        <w:rPr>
          <w:rFonts w:ascii="Calibri" w:cs="Calibri" w:eastAsia="Calibri" w:hAnsi="Calibri"/>
          <w:b w:val="false"/>
          <w:bCs w:val="false"/>
          <w:i w:val="false"/>
          <w:iCs w:val="false"/>
          <w:sz w:val="22"/>
          <w:szCs w:val="22"/>
        </w:rPr>
        <w:t xml:space="preserve">Deconvolution method 2 (bMIND): the Bayesian estimation of cell-type-specific expression from bulk data as implemented in the MIND R package (Wang et al., 2021), using a reference-based approach with cell-type expression profiles derived from the Allen Brain Atlas primary motor cortex snRNA-seq reference (Tasic et al., 2018; downloaded via the Allen Institute API). The choice of a reference distinct from BRETIGEA’s marker-based approach is deliberate: agreement between BRETIGEA and bMIND provides strong evidence that findings are method-independent.</w:t>
      </w:r>
    </w:p>
    <w:p>
      <w:pPr>
        <w:spacing w:after="120" w:before="0" w:line="300"/>
        <w:jc w:val="both"/>
      </w:pPr>
      <w:r>
        <w:rPr>
          <w:rFonts w:ascii="Calibri" w:cs="Calibri" w:eastAsia="Calibri" w:hAnsi="Calibri"/>
          <w:b w:val="false"/>
          <w:bCs w:val="false"/>
          <w:i w:val="false"/>
          <w:iCs w:val="false"/>
          <w:sz w:val="22"/>
          <w:szCs w:val="22"/>
        </w:rPr>
        <w:t xml:space="preserve">Differential expression analysis: for each cohort (AD meta-cohort and GBM cohort) and each deconvolution method, four limma models will be fitted:</w:t>
      </w:r>
    </w:p>
    <w:p>
      <w:pPr>
        <w:pStyle w:val="ListParagraph"/>
        <w:numPr>
          <w:ilvl w:val="0"/>
          <w:numId w:val="2"/>
        </w:numPr>
        <w:spacing w:after="100" w:line="280"/>
        <w:jc w:val="both"/>
      </w:pPr>
      <w:r>
        <w:rPr>
          <w:rFonts w:ascii="Calibri" w:cs="Calibri" w:eastAsia="Calibri" w:hAnsi="Calibri"/>
          <w:sz w:val="22"/>
          <w:szCs w:val="22"/>
        </w:rPr>
        <w:t xml:space="preserve">Model A (uncorrected): ~ diagnosis + brain region + sex + age + dataset (AD) or ~ diagnosis + sex + brain region (GBM).</w:t>
      </w:r>
    </w:p>
    <w:p>
      <w:pPr>
        <w:pStyle w:val="ListParagraph"/>
        <w:numPr>
          <w:ilvl w:val="0"/>
          <w:numId w:val="2"/>
        </w:numPr>
        <w:spacing w:after="100" w:line="280"/>
        <w:jc w:val="both"/>
      </w:pPr>
      <w:r>
        <w:rPr>
          <w:rFonts w:ascii="Calibri" w:cs="Calibri" w:eastAsia="Calibri" w:hAnsi="Calibri"/>
          <w:sz w:val="22"/>
          <w:szCs w:val="22"/>
        </w:rPr>
        <w:t xml:space="preserve">Model B (BRETIGEA-controlled): Model A + six BRETIGEA cell-type scores as continuous covariates.</w:t>
      </w:r>
    </w:p>
    <w:p>
      <w:pPr>
        <w:pStyle w:val="ListParagraph"/>
        <w:numPr>
          <w:ilvl w:val="0"/>
          <w:numId w:val="2"/>
        </w:numPr>
        <w:spacing w:after="100" w:line="280"/>
        <w:jc w:val="both"/>
      </w:pPr>
      <w:r>
        <w:rPr>
          <w:rFonts w:ascii="Calibri" w:cs="Calibri" w:eastAsia="Calibri" w:hAnsi="Calibri"/>
          <w:sz w:val="22"/>
          <w:szCs w:val="22"/>
        </w:rPr>
        <w:t xml:space="preserve">Model C (bMIND-controlled): Model A + six bMIND cell-type proportions as continuous covariates.</w:t>
      </w:r>
    </w:p>
    <w:p>
      <w:pPr>
        <w:pStyle w:val="ListParagraph"/>
        <w:numPr>
          <w:ilvl w:val="0"/>
          <w:numId w:val="2"/>
        </w:numPr>
        <w:spacing w:after="100" w:line="280"/>
        <w:jc w:val="both"/>
      </w:pPr>
      <w:r>
        <w:rPr>
          <w:rFonts w:ascii="Calibri" w:cs="Calibri" w:eastAsia="Calibri" w:hAnsi="Calibri"/>
          <w:sz w:val="22"/>
          <w:szCs w:val="22"/>
        </w:rPr>
        <w:t xml:space="preserve">Model D (both methods, sanity check): Model A + BRETIGEA scores + bMIND proportions. Model D is exploratory; interpretation focuses on Models A, B, C.</w:t>
      </w:r>
    </w:p>
    <w:p>
      <w:pPr>
        <w:spacing w:after="120" w:before="0" w:line="300"/>
        <w:jc w:val="both"/>
      </w:pPr>
      <w:r>
        <w:rPr>
          <w:rFonts w:ascii="Calibri" w:cs="Calibri" w:eastAsia="Calibri" w:hAnsi="Calibri"/>
          <w:b w:val="false"/>
          <w:bCs w:val="false"/>
          <w:i w:val="false"/>
          <w:iCs w:val="false"/>
          <w:sz w:val="22"/>
          <w:szCs w:val="22"/>
        </w:rPr>
        <w:t xml:space="preserve">For each model, the number of significant DEGs (FDR &lt; 0.05; |log2FC| &gt; 0.5 for AD, &gt; 1 for GBM) will be reported. Shared DEGs between AD and GBM will be counted as genes achieving FDR &lt; 0.05 and directional concordance in both cohorts. The pre-specified comparison for H1 is the ratio of shared DEG count under Model B (or C) to Model A, tested separately for each deconvolution method. H1 decision rule as pre-specified in Section 2.2.</w:t>
      </w:r>
    </w:p>
    <w:p>
      <w:pPr>
        <w:spacing w:after="120" w:before="0" w:line="300"/>
        <w:jc w:val="both"/>
      </w:pPr>
      <w:r>
        <w:rPr>
          <w:rFonts w:ascii="Calibri" w:cs="Calibri" w:eastAsia="Calibri" w:hAnsi="Calibri"/>
          <w:b w:val="false"/>
          <w:bCs w:val="false"/>
          <w:i w:val="false"/>
          <w:iCs w:val="false"/>
          <w:sz w:val="22"/>
          <w:szCs w:val="22"/>
        </w:rPr>
        <w:t xml:space="preserve">Reconciliation with Stages 1–3: for shared DEGs identified under Model A (uncorrected) that are lost under Models B and C (controlled), the cell-type expression pattern of each gene will be examined in the Leng snRNA-seq data. Genes that are predominantly expressed in excitatory neurons and reduced in RORB-high subtype in AD will be interpreted as consistent with the bulk-level convergence reflecting composition-driven neuronal transcript loss. This reconciliation is exploratory and does not enter the H1/H2 hypothesis tests.</w:t>
      </w:r>
    </w:p>
    <w:p>
      <w:r>
        <w:br w:type="page"/>
      </w:r>
    </w:p>
    <w:p>
      <w:pPr>
        <w:pStyle w:val="Heading1"/>
        <w:spacing w:after="180" w:before="360"/>
      </w:pPr>
      <w:r>
        <w:rPr>
          <w:rFonts w:ascii="Calibri" w:cs="Calibri" w:eastAsia="Calibri" w:hAnsi="Calibri"/>
          <w:b/>
          <w:bCs/>
          <w:sz w:val="32"/>
          <w:szCs w:val="32"/>
        </w:rPr>
        <w:t xml:space="preserve">7. Pre-specified decision thresholds</w:t>
      </w:r>
    </w:p>
    <w:p>
      <w:pPr>
        <w:spacing w:after="120" w:before="0" w:line="300"/>
        <w:jc w:val="both"/>
      </w:pPr>
      <w:r>
        <w:rPr>
          <w:rFonts w:ascii="Calibri" w:cs="Calibri" w:eastAsia="Calibri" w:hAnsi="Calibri"/>
          <w:b w:val="false"/>
          <w:bCs w:val="false"/>
          <w:i w:val="false"/>
          <w:iCs w:val="false"/>
          <w:sz w:val="22"/>
          <w:szCs w:val="22"/>
        </w:rPr>
        <w:t xml:space="preserve">Table 2 summarises all pre-specified statistical thresholds and decision rules. Any deviation from these thresholds during analysis will be documented in the deviations register (Section 9) and reported transparently in the final manuscript.</w:t>
      </w:r>
    </w:p>
    <w:p>
      <w:pPr>
        <w:pStyle w:val="Heading2"/>
        <w:spacing w:after="140" w:before="280"/>
      </w:pPr>
      <w:r>
        <w:rPr>
          <w:rFonts w:ascii="Calibri" w:cs="Calibri" w:eastAsia="Calibri" w:hAnsi="Calibri"/>
          <w:b/>
          <w:bCs/>
          <w:sz w:val="26"/>
          <w:szCs w:val="26"/>
        </w:rPr>
        <w:t xml:space="preserve">Table 2. Decision thresholds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700"/>
      </w:tblGrid>
      <w:tr>
        <w:tc>
          <w:tcPr>
            <w:tcW w:type="dxa" w:w="1700"/>
            <w:shd w:fill="D9E1F2" w:color="auto" w:val="clear"/>
          </w:tcPr>
          <w:p>
            <w:pPr>
              <w:spacing w:after="60" w:before="60" w:line="260"/>
              <w:jc w:val="left"/>
            </w:pPr>
            <w:r>
              <w:rPr>
                <w:rFonts w:ascii="Calibri" w:cs="Calibri" w:eastAsia="Calibri" w:hAnsi="Calibri"/>
                <w:b/>
                <w:bCs/>
                <w:sz w:val="18"/>
                <w:szCs w:val="18"/>
              </w:rPr>
              <w:t xml:space="preserve">Analysis</w:t>
            </w:r>
          </w:p>
        </w:tc>
        <w:tc>
          <w:tcPr>
            <w:tcW w:type="dxa" w:w="2600"/>
            <w:shd w:fill="D9E1F2" w:color="auto" w:val="clear"/>
          </w:tcPr>
          <w:p>
            <w:pPr>
              <w:spacing w:after="60" w:before="60" w:line="260"/>
              <w:jc w:val="left"/>
            </w:pPr>
            <w:r>
              <w:rPr>
                <w:rFonts w:ascii="Calibri" w:cs="Calibri" w:eastAsia="Calibri" w:hAnsi="Calibri"/>
                <w:b/>
                <w:bCs/>
                <w:sz w:val="18"/>
                <w:szCs w:val="18"/>
              </w:rPr>
              <w:t xml:space="preserve">Metric</w:t>
            </w:r>
          </w:p>
        </w:tc>
        <w:tc>
          <w:tcPr>
            <w:tcW w:type="dxa" w:w="4700"/>
            <w:shd w:fill="D9E1F2" w:color="auto" w:val="clear"/>
          </w:tcPr>
          <w:p>
            <w:pPr>
              <w:spacing w:after="60" w:before="60" w:line="260"/>
              <w:jc w:val="left"/>
            </w:pPr>
            <w:r>
              <w:rPr>
                <w:rFonts w:ascii="Calibri" w:cs="Calibri" w:eastAsia="Calibri" w:hAnsi="Calibri"/>
                <w:b/>
                <w:bCs/>
                <w:sz w:val="18"/>
                <w:szCs w:val="18"/>
              </w:rPr>
              <w:t xml:space="preserve">Threshold and decision rule</w:t>
            </w:r>
          </w:p>
        </w:tc>
      </w:tr>
      <w:tr>
        <w:tc>
          <w:tcPr>
            <w:tcW w:type="dxa" w:w="1700"/>
          </w:tcPr>
          <w:p>
            <w:pPr>
              <w:spacing w:after="60" w:before="60" w:line="260"/>
              <w:jc w:val="left"/>
            </w:pPr>
            <w:r>
              <w:rPr>
                <w:rFonts w:ascii="Calibri" w:cs="Calibri" w:eastAsia="Calibri" w:hAnsi="Calibri"/>
                <w:b w:val="false"/>
                <w:bCs w:val="false"/>
                <w:sz w:val="18"/>
                <w:szCs w:val="18"/>
              </w:rPr>
              <w:t xml:space="preserve">Bulk DE (Stage 4)</w:t>
            </w:r>
          </w:p>
        </w:tc>
        <w:tc>
          <w:tcPr>
            <w:tcW w:type="dxa" w:w="2600"/>
          </w:tcPr>
          <w:p>
            <w:pPr>
              <w:spacing w:after="60" w:before="60" w:line="260"/>
              <w:jc w:val="left"/>
            </w:pPr>
            <w:r>
              <w:rPr>
                <w:rFonts w:ascii="Calibri" w:cs="Calibri" w:eastAsia="Calibri" w:hAnsi="Calibri"/>
                <w:b w:val="false"/>
                <w:bCs w:val="false"/>
                <w:sz w:val="18"/>
                <w:szCs w:val="18"/>
              </w:rPr>
              <w:t xml:space="preserve">Gene significance</w:t>
            </w:r>
          </w:p>
        </w:tc>
        <w:tc>
          <w:tcPr>
            <w:tcW w:type="dxa" w:w="4700"/>
          </w:tcPr>
          <w:p>
            <w:pPr>
              <w:spacing w:after="60" w:before="60" w:line="260"/>
              <w:jc w:val="left"/>
            </w:pPr>
            <w:r>
              <w:rPr>
                <w:rFonts w:ascii="Calibri" w:cs="Calibri" w:eastAsia="Calibri" w:hAnsi="Calibri"/>
                <w:b w:val="false"/>
                <w:bCs w:val="false"/>
                <w:sz w:val="18"/>
                <w:szCs w:val="18"/>
              </w:rPr>
              <w:t xml:space="preserve">FDR (BH) &lt; 0.05 AND |log2FC| &gt; 0.5 (AD) or &gt; 1 (GBM)</w:t>
            </w:r>
          </w:p>
        </w:tc>
      </w:tr>
      <w:tr>
        <w:tc>
          <w:tcPr>
            <w:tcW w:type="dxa" w:w="1700"/>
          </w:tcPr>
          <w:p>
            <w:pPr>
              <w:spacing w:after="60" w:before="60" w:line="260"/>
              <w:jc w:val="left"/>
            </w:pPr>
            <w:r>
              <w:rPr>
                <w:rFonts w:ascii="Calibri" w:cs="Calibri" w:eastAsia="Calibri" w:hAnsi="Calibri"/>
                <w:b w:val="false"/>
                <w:bCs w:val="false"/>
                <w:sz w:val="18"/>
                <w:szCs w:val="18"/>
              </w:rPr>
              <w:t xml:space="preserve">Bulk DE (Stage 4)</w:t>
            </w:r>
          </w:p>
        </w:tc>
        <w:tc>
          <w:tcPr>
            <w:tcW w:type="dxa" w:w="2600"/>
          </w:tcPr>
          <w:p>
            <w:pPr>
              <w:spacing w:after="60" w:before="60" w:line="260"/>
              <w:jc w:val="left"/>
            </w:pPr>
            <w:r>
              <w:rPr>
                <w:rFonts w:ascii="Calibri" w:cs="Calibri" w:eastAsia="Calibri" w:hAnsi="Calibri"/>
                <w:b w:val="false"/>
                <w:bCs w:val="false"/>
                <w:sz w:val="18"/>
                <w:szCs w:val="18"/>
              </w:rPr>
              <w:t xml:space="preserve">Batch correction quality</w:t>
            </w:r>
          </w:p>
        </w:tc>
        <w:tc>
          <w:tcPr>
            <w:tcW w:type="dxa" w:w="4700"/>
          </w:tcPr>
          <w:p>
            <w:pPr>
              <w:spacing w:after="60" w:before="60" w:line="260"/>
              <w:jc w:val="left"/>
            </w:pPr>
            <w:r>
              <w:rPr>
                <w:rFonts w:ascii="Calibri" w:cs="Calibri" w:eastAsia="Calibri" w:hAnsi="Calibri"/>
                <w:b w:val="false"/>
                <w:bCs w:val="false"/>
                <w:sz w:val="18"/>
                <w:szCs w:val="18"/>
              </w:rPr>
              <w:t xml:space="preserve">Post-ComBat PC1 vs dataset |r| &lt; 0.20</w:t>
            </w:r>
          </w:p>
        </w:tc>
      </w:tr>
      <w:tr>
        <w:tc>
          <w:tcPr>
            <w:tcW w:type="dxa" w:w="1700"/>
          </w:tcPr>
          <w:p>
            <w:pPr>
              <w:spacing w:after="60" w:before="60" w:line="260"/>
              <w:jc w:val="left"/>
            </w:pPr>
            <w:r>
              <w:rPr>
                <w:rFonts w:ascii="Calibri" w:cs="Calibri" w:eastAsia="Calibri" w:hAnsi="Calibri"/>
                <w:b w:val="false"/>
                <w:bCs w:val="false"/>
                <w:sz w:val="18"/>
                <w:szCs w:val="18"/>
              </w:rPr>
              <w:t xml:space="preserve">H1 (Stage 4)</w:t>
            </w:r>
          </w:p>
        </w:tc>
        <w:tc>
          <w:tcPr>
            <w:tcW w:type="dxa" w:w="2600"/>
          </w:tcPr>
          <w:p>
            <w:pPr>
              <w:spacing w:after="60" w:before="60" w:line="260"/>
              <w:jc w:val="left"/>
            </w:pPr>
            <w:r>
              <w:rPr>
                <w:rFonts w:ascii="Calibri" w:cs="Calibri" w:eastAsia="Calibri" w:hAnsi="Calibri"/>
                <w:b w:val="false"/>
                <w:bCs w:val="false"/>
                <w:sz w:val="18"/>
                <w:szCs w:val="18"/>
              </w:rPr>
              <w:t xml:space="preserve">Shared DEG retention ratio</w:t>
            </w:r>
          </w:p>
        </w:tc>
        <w:tc>
          <w:tcPr>
            <w:tcW w:type="dxa" w:w="4700"/>
          </w:tcPr>
          <w:p>
            <w:pPr>
              <w:spacing w:after="60" w:before="60" w:line="260"/>
              <w:jc w:val="left"/>
            </w:pPr>
            <w:r>
              <w:rPr>
                <w:rFonts w:ascii="Calibri" w:cs="Calibri" w:eastAsia="Calibri" w:hAnsi="Calibri"/>
                <w:b w:val="false"/>
                <w:bCs w:val="false"/>
                <w:sz w:val="18"/>
                <w:szCs w:val="18"/>
              </w:rPr>
              <w:t xml:space="preserve">H1 supported if ratio (controlled / uncorrected) ≤ 20% in BOTH methods; rejected if ≥ 50% in either; inconclusive otherwise.</w:t>
            </w:r>
          </w:p>
        </w:tc>
      </w:tr>
      <w:tr>
        <w:tc>
          <w:tcPr>
            <w:tcW w:type="dxa" w:w="1700"/>
          </w:tcPr>
          <w:p>
            <w:pPr>
              <w:spacing w:after="60" w:before="60" w:line="260"/>
              <w:jc w:val="left"/>
            </w:pPr>
            <w:r>
              <w:rPr>
                <w:rFonts w:ascii="Calibri" w:cs="Calibri" w:eastAsia="Calibri" w:hAnsi="Calibri"/>
                <w:b w:val="false"/>
                <w:bCs w:val="false"/>
                <w:sz w:val="18"/>
                <w:szCs w:val="18"/>
              </w:rPr>
              <w:t xml:space="preserve">snRNA-seq QC</w:t>
            </w:r>
          </w:p>
        </w:tc>
        <w:tc>
          <w:tcPr>
            <w:tcW w:type="dxa" w:w="2600"/>
          </w:tcPr>
          <w:p>
            <w:pPr>
              <w:spacing w:after="60" w:before="60" w:line="260"/>
              <w:jc w:val="left"/>
            </w:pPr>
            <w:r>
              <w:rPr>
                <w:rFonts w:ascii="Calibri" w:cs="Calibri" w:eastAsia="Calibri" w:hAnsi="Calibri"/>
                <w:b w:val="false"/>
                <w:bCs w:val="false"/>
                <w:sz w:val="18"/>
                <w:szCs w:val="18"/>
              </w:rPr>
              <w:t xml:space="preserve">Nuclei filter</w:t>
            </w:r>
          </w:p>
        </w:tc>
        <w:tc>
          <w:tcPr>
            <w:tcW w:type="dxa" w:w="4700"/>
          </w:tcPr>
          <w:p>
            <w:pPr>
              <w:spacing w:after="60" w:before="60" w:line="260"/>
              <w:jc w:val="left"/>
            </w:pPr>
            <w:r>
              <w:rPr>
                <w:rFonts w:ascii="Calibri" w:cs="Calibri" w:eastAsia="Calibri" w:hAnsi="Calibri"/>
                <w:b w:val="false"/>
                <w:bCs w:val="false"/>
                <w:sz w:val="18"/>
                <w:szCs w:val="18"/>
              </w:rPr>
              <w:t xml:space="preserve">nFeature ≥ 200, nCount ≥ 400, %mito ≤ 5, scDblFinder singlet</w:t>
            </w:r>
          </w:p>
        </w:tc>
      </w:tr>
      <w:tr>
        <w:tc>
          <w:tcPr>
            <w:tcW w:type="dxa" w:w="1700"/>
          </w:tcPr>
          <w:p>
            <w:pPr>
              <w:spacing w:after="60" w:before="60" w:line="260"/>
              <w:jc w:val="left"/>
            </w:pPr>
            <w:r>
              <w:rPr>
                <w:rFonts w:ascii="Calibri" w:cs="Calibri" w:eastAsia="Calibri" w:hAnsi="Calibri"/>
                <w:b w:val="false"/>
                <w:bCs w:val="false"/>
                <w:sz w:val="18"/>
                <w:szCs w:val="18"/>
              </w:rPr>
              <w:t xml:space="preserve">scRNA-seq QC</w:t>
            </w:r>
          </w:p>
        </w:tc>
        <w:tc>
          <w:tcPr>
            <w:tcW w:type="dxa" w:w="2600"/>
          </w:tcPr>
          <w:p>
            <w:pPr>
              <w:spacing w:after="60" w:before="60" w:line="260"/>
              <w:jc w:val="left"/>
            </w:pPr>
            <w:r>
              <w:rPr>
                <w:rFonts w:ascii="Calibri" w:cs="Calibri" w:eastAsia="Calibri" w:hAnsi="Calibri"/>
                <w:b w:val="false"/>
                <w:bCs w:val="false"/>
                <w:sz w:val="18"/>
                <w:szCs w:val="18"/>
              </w:rPr>
              <w:t xml:space="preserve">Cell filter</w:t>
            </w:r>
          </w:p>
        </w:tc>
        <w:tc>
          <w:tcPr>
            <w:tcW w:type="dxa" w:w="4700"/>
          </w:tcPr>
          <w:p>
            <w:pPr>
              <w:spacing w:after="60" w:before="60" w:line="260"/>
              <w:jc w:val="left"/>
            </w:pPr>
            <w:r>
              <w:rPr>
                <w:rFonts w:ascii="Calibri" w:cs="Calibri" w:eastAsia="Calibri" w:hAnsi="Calibri"/>
                <w:b w:val="false"/>
                <w:bCs w:val="false"/>
                <w:sz w:val="18"/>
                <w:szCs w:val="18"/>
              </w:rPr>
              <w:t xml:space="preserve">nFeature ≥ 500, nCount ≥ 1000, %mito ≤ 10</w:t>
            </w:r>
          </w:p>
        </w:tc>
      </w:tr>
      <w:tr>
        <w:tc>
          <w:tcPr>
            <w:tcW w:type="dxa" w:w="1700"/>
          </w:tcPr>
          <w:p>
            <w:pPr>
              <w:spacing w:after="60" w:before="60" w:line="260"/>
              <w:jc w:val="left"/>
            </w:pPr>
            <w:r>
              <w:rPr>
                <w:rFonts w:ascii="Calibri" w:cs="Calibri" w:eastAsia="Calibri" w:hAnsi="Calibri"/>
                <w:b w:val="false"/>
                <w:bCs w:val="false"/>
                <w:sz w:val="18"/>
                <w:szCs w:val="18"/>
              </w:rPr>
              <w:t xml:space="preserve">Stage 1 signature</w:t>
            </w:r>
          </w:p>
        </w:tc>
        <w:tc>
          <w:tcPr>
            <w:tcW w:type="dxa" w:w="2600"/>
          </w:tcPr>
          <w:p>
            <w:pPr>
              <w:spacing w:after="60" w:before="60" w:line="260"/>
              <w:jc w:val="left"/>
            </w:pPr>
            <w:r>
              <w:rPr>
                <w:rFonts w:ascii="Calibri" w:cs="Calibri" w:eastAsia="Calibri" w:hAnsi="Calibri"/>
                <w:b w:val="false"/>
                <w:bCs w:val="false"/>
                <w:sz w:val="18"/>
                <w:szCs w:val="18"/>
              </w:rPr>
              <w:t xml:space="preserve">Gene inclusion</w:t>
            </w:r>
          </w:p>
        </w:tc>
        <w:tc>
          <w:tcPr>
            <w:tcW w:type="dxa" w:w="4700"/>
          </w:tcPr>
          <w:p>
            <w:pPr>
              <w:spacing w:after="60" w:before="60" w:line="260"/>
              <w:jc w:val="left"/>
            </w:pPr>
            <w:r>
              <w:rPr>
                <w:rFonts w:ascii="Calibri" w:cs="Calibri" w:eastAsia="Calibri" w:hAnsi="Calibri"/>
                <w:b w:val="false"/>
                <w:bCs w:val="false"/>
                <w:sz w:val="18"/>
                <w:szCs w:val="18"/>
              </w:rPr>
              <w:t xml:space="preserve">edgeR QLF, FDR &lt; 0.05, log2FC &lt; −0.5</w:t>
            </w:r>
          </w:p>
        </w:tc>
      </w:tr>
      <w:tr>
        <w:tc>
          <w:tcPr>
            <w:tcW w:type="dxa" w:w="1700"/>
          </w:tcPr>
          <w:p>
            <w:pPr>
              <w:spacing w:after="60" w:before="60" w:line="260"/>
              <w:jc w:val="left"/>
            </w:pPr>
            <w:r>
              <w:rPr>
                <w:rFonts w:ascii="Calibri" w:cs="Calibri" w:eastAsia="Calibri" w:hAnsi="Calibri"/>
                <w:b w:val="false"/>
                <w:bCs w:val="false"/>
                <w:sz w:val="18"/>
                <w:szCs w:val="18"/>
              </w:rPr>
              <w:t xml:space="preserve">Stage 2 signature</w:t>
            </w:r>
          </w:p>
        </w:tc>
        <w:tc>
          <w:tcPr>
            <w:tcW w:type="dxa" w:w="2600"/>
          </w:tcPr>
          <w:p>
            <w:pPr>
              <w:spacing w:after="60" w:before="60" w:line="260"/>
              <w:jc w:val="left"/>
            </w:pPr>
            <w:r>
              <w:rPr>
                <w:rFonts w:ascii="Calibri" w:cs="Calibri" w:eastAsia="Calibri" w:hAnsi="Calibri"/>
                <w:b w:val="false"/>
                <w:bCs w:val="false"/>
                <w:sz w:val="18"/>
                <w:szCs w:val="18"/>
              </w:rPr>
              <w:t xml:space="preserve">Gene inclusion</w:t>
            </w:r>
          </w:p>
        </w:tc>
        <w:tc>
          <w:tcPr>
            <w:tcW w:type="dxa" w:w="4700"/>
          </w:tcPr>
          <w:p>
            <w:pPr>
              <w:spacing w:after="60" w:before="60" w:line="260"/>
              <w:jc w:val="left"/>
            </w:pPr>
            <w:r>
              <w:rPr>
                <w:rFonts w:ascii="Calibri" w:cs="Calibri" w:eastAsia="Calibri" w:hAnsi="Calibri"/>
                <w:b w:val="false"/>
                <w:bCs w:val="false"/>
                <w:sz w:val="18"/>
                <w:szCs w:val="18"/>
              </w:rPr>
              <w:t xml:space="preserve">edgeR QLF, FDR &lt; 0.05, log2FC &gt; 0.5</w:t>
            </w:r>
          </w:p>
        </w:tc>
      </w:tr>
      <w:tr>
        <w:tc>
          <w:tcPr>
            <w:tcW w:type="dxa" w:w="1700"/>
          </w:tcPr>
          <w:p>
            <w:pPr>
              <w:spacing w:after="60" w:before="60" w:line="260"/>
              <w:jc w:val="left"/>
            </w:pPr>
            <w:r>
              <w:rPr>
                <w:rFonts w:ascii="Calibri" w:cs="Calibri" w:eastAsia="Calibri" w:hAnsi="Calibri"/>
                <w:b w:val="false"/>
                <w:bCs w:val="false"/>
                <w:sz w:val="18"/>
                <w:szCs w:val="18"/>
              </w:rPr>
              <w:t xml:space="preserve">H2 Test 1 (RRHO2)</w:t>
            </w:r>
          </w:p>
        </w:tc>
        <w:tc>
          <w:tcPr>
            <w:tcW w:type="dxa" w:w="2600"/>
          </w:tcPr>
          <w:p>
            <w:pPr>
              <w:spacing w:after="60" w:before="60" w:line="260"/>
              <w:jc w:val="left"/>
            </w:pPr>
            <w:r>
              <w:rPr>
                <w:rFonts w:ascii="Calibri" w:cs="Calibri" w:eastAsia="Calibri" w:hAnsi="Calibri"/>
                <w:b w:val="false"/>
                <w:bCs w:val="false"/>
                <w:sz w:val="18"/>
                <w:szCs w:val="18"/>
              </w:rPr>
              <w:t xml:space="preserve">Joint enrichment significance</w:t>
            </w:r>
          </w:p>
        </w:tc>
        <w:tc>
          <w:tcPr>
            <w:tcW w:type="dxa" w:w="4700"/>
          </w:tcPr>
          <w:p>
            <w:pPr>
              <w:spacing w:after="60" w:before="60" w:line="260"/>
              <w:jc w:val="left"/>
            </w:pPr>
            <w:r>
              <w:rPr>
                <w:rFonts w:ascii="Calibri" w:cs="Calibri" w:eastAsia="Calibri" w:hAnsi="Calibri"/>
                <w:b w:val="false"/>
                <w:bCs w:val="false"/>
                <w:sz w:val="18"/>
                <w:szCs w:val="18"/>
              </w:rPr>
              <w:t xml:space="preserve">BH-adjusted P &lt; 0.001 at concordant quadrant maximum</w:t>
            </w:r>
          </w:p>
        </w:tc>
      </w:tr>
      <w:tr>
        <w:tc>
          <w:tcPr>
            <w:tcW w:type="dxa" w:w="1700"/>
          </w:tcPr>
          <w:p>
            <w:pPr>
              <w:spacing w:after="60" w:before="60" w:line="260"/>
              <w:jc w:val="left"/>
            </w:pPr>
            <w:r>
              <w:rPr>
                <w:rFonts w:ascii="Calibri" w:cs="Calibri" w:eastAsia="Calibri" w:hAnsi="Calibri"/>
                <w:b w:val="false"/>
                <w:bCs w:val="false"/>
                <w:sz w:val="18"/>
                <w:szCs w:val="18"/>
              </w:rPr>
              <w:t xml:space="preserve">H2 Test 2 (Hypergeometric)</w:t>
            </w:r>
          </w:p>
        </w:tc>
        <w:tc>
          <w:tcPr>
            <w:tcW w:type="dxa" w:w="2600"/>
          </w:tcPr>
          <w:p>
            <w:pPr>
              <w:spacing w:after="60" w:before="60" w:line="260"/>
              <w:jc w:val="left"/>
            </w:pPr>
            <w:r>
              <w:rPr>
                <w:rFonts w:ascii="Calibri" w:cs="Calibri" w:eastAsia="Calibri" w:hAnsi="Calibri"/>
                <w:b w:val="false"/>
                <w:bCs w:val="false"/>
                <w:sz w:val="18"/>
                <w:szCs w:val="18"/>
              </w:rPr>
              <w:t xml:space="preserve">Top-N overlap</w:t>
            </w:r>
          </w:p>
        </w:tc>
        <w:tc>
          <w:tcPr>
            <w:tcW w:type="dxa" w:w="4700"/>
          </w:tcPr>
          <w:p>
            <w:pPr>
              <w:spacing w:after="60" w:before="60" w:line="260"/>
              <w:jc w:val="left"/>
            </w:pPr>
            <w:r>
              <w:rPr>
                <w:rFonts w:ascii="Calibri" w:cs="Calibri" w:eastAsia="Calibri" w:hAnsi="Calibri"/>
                <w:b w:val="false"/>
                <w:bCs w:val="false"/>
                <w:sz w:val="18"/>
                <w:szCs w:val="18"/>
              </w:rPr>
              <w:t xml:space="preserve">N = 200; odds ratio ≥ 3 AND Bonferroni-corrected P &lt; 0.001</w:t>
            </w:r>
          </w:p>
        </w:tc>
      </w:tr>
      <w:tr>
        <w:tc>
          <w:tcPr>
            <w:tcW w:type="dxa" w:w="1700"/>
          </w:tcPr>
          <w:p>
            <w:pPr>
              <w:spacing w:after="60" w:before="60" w:line="260"/>
              <w:jc w:val="left"/>
            </w:pPr>
            <w:r>
              <w:rPr>
                <w:rFonts w:ascii="Calibri" w:cs="Calibri" w:eastAsia="Calibri" w:hAnsi="Calibri"/>
                <w:b w:val="false"/>
                <w:bCs w:val="false"/>
                <w:sz w:val="18"/>
                <w:szCs w:val="18"/>
              </w:rPr>
              <w:t xml:space="preserve">H2 Test 3 (Permutation)</w:t>
            </w:r>
          </w:p>
        </w:tc>
        <w:tc>
          <w:tcPr>
            <w:tcW w:type="dxa" w:w="2600"/>
          </w:tcPr>
          <w:p>
            <w:pPr>
              <w:spacing w:after="60" w:before="60" w:line="260"/>
              <w:jc w:val="left"/>
            </w:pPr>
            <w:r>
              <w:rPr>
                <w:rFonts w:ascii="Calibri" w:cs="Calibri" w:eastAsia="Calibri" w:hAnsi="Calibri"/>
                <w:b w:val="false"/>
                <w:bCs w:val="false"/>
                <w:sz w:val="18"/>
                <w:szCs w:val="18"/>
              </w:rPr>
              <w:t xml:space="preserve">Empirical significance</w:t>
            </w:r>
          </w:p>
        </w:tc>
        <w:tc>
          <w:tcPr>
            <w:tcW w:type="dxa" w:w="4700"/>
          </w:tcPr>
          <w:p>
            <w:pPr>
              <w:spacing w:after="60" w:before="60" w:line="260"/>
              <w:jc w:val="left"/>
            </w:pPr>
            <w:r>
              <w:rPr>
                <w:rFonts w:ascii="Calibri" w:cs="Calibri" w:eastAsia="Calibri" w:hAnsi="Calibri"/>
                <w:b w:val="false"/>
                <w:bCs w:val="false"/>
                <w:sz w:val="18"/>
                <w:szCs w:val="18"/>
              </w:rPr>
              <w:t xml:space="preserve">1000 random matched-size gene sets; empirical P &lt; 0.01</w:t>
            </w:r>
          </w:p>
        </w:tc>
      </w:tr>
      <w:tr>
        <w:tc>
          <w:tcPr>
            <w:tcW w:type="dxa" w:w="1700"/>
          </w:tcPr>
          <w:p>
            <w:pPr>
              <w:spacing w:after="60" w:before="60" w:line="260"/>
              <w:jc w:val="left"/>
            </w:pPr>
            <w:r>
              <w:rPr>
                <w:rFonts w:ascii="Calibri" w:cs="Calibri" w:eastAsia="Calibri" w:hAnsi="Calibri"/>
                <w:b w:val="false"/>
                <w:bCs w:val="false"/>
                <w:sz w:val="18"/>
                <w:szCs w:val="18"/>
              </w:rPr>
              <w:t xml:space="preserve">H2 decision</w:t>
            </w:r>
          </w:p>
        </w:tc>
        <w:tc>
          <w:tcPr>
            <w:tcW w:type="dxa" w:w="2600"/>
          </w:tcPr>
          <w:p>
            <w:pPr>
              <w:spacing w:after="60" w:before="60" w:line="260"/>
              <w:jc w:val="left"/>
            </w:pPr>
            <w:r>
              <w:rPr>
                <w:rFonts w:ascii="Calibri" w:cs="Calibri" w:eastAsia="Calibri" w:hAnsi="Calibri"/>
                <w:b w:val="false"/>
                <w:bCs w:val="false"/>
                <w:sz w:val="18"/>
                <w:szCs w:val="18"/>
              </w:rPr>
              <w:t xml:space="preserve">Composite rule</w:t>
            </w:r>
          </w:p>
        </w:tc>
        <w:tc>
          <w:tcPr>
            <w:tcW w:type="dxa" w:w="4700"/>
          </w:tcPr>
          <w:p>
            <w:pPr>
              <w:spacing w:after="60" w:before="60" w:line="260"/>
              <w:jc w:val="left"/>
            </w:pPr>
            <w:r>
              <w:rPr>
                <w:rFonts w:ascii="Calibri" w:cs="Calibri" w:eastAsia="Calibri" w:hAnsi="Calibri"/>
                <w:b w:val="false"/>
                <w:bCs w:val="false"/>
                <w:sz w:val="18"/>
                <w:szCs w:val="18"/>
              </w:rPr>
              <w:t xml:space="preserve">Supported if all 3 tests pass; rejected if ≥ 2 fail; inconclusive if exactly 1 fails.</w:t>
            </w:r>
          </w:p>
        </w:tc>
      </w:tr>
    </w:tbl>
    <w:p>
      <w:r>
        <w:br w:type="page"/>
      </w:r>
    </w:p>
    <w:p>
      <w:pPr>
        <w:pStyle w:val="Heading1"/>
        <w:spacing w:after="180" w:before="360"/>
      </w:pPr>
      <w:r>
        <w:rPr>
          <w:rFonts w:ascii="Calibri" w:cs="Calibri" w:eastAsia="Calibri" w:hAnsi="Calibri"/>
          <w:b/>
          <w:bCs/>
          <w:sz w:val="32"/>
          <w:szCs w:val="32"/>
        </w:rPr>
        <w:t xml:space="preserve">8. Sensitivity and robustness analyses</w:t>
      </w:r>
    </w:p>
    <w:p>
      <w:pPr>
        <w:spacing w:after="120" w:before="0" w:line="300"/>
        <w:jc w:val="both"/>
      </w:pPr>
      <w:r>
        <w:rPr>
          <w:rFonts w:ascii="Calibri" w:cs="Calibri" w:eastAsia="Calibri" w:hAnsi="Calibri"/>
          <w:b w:val="false"/>
          <w:bCs w:val="false"/>
          <w:i w:val="false"/>
          <w:iCs w:val="false"/>
          <w:sz w:val="22"/>
          <w:szCs w:val="22"/>
        </w:rPr>
        <w:t xml:space="preserve">The following sensitivity analyses are pre-specified and will be conducted regardless of the primary results. Their purpose is to establish the boundary conditions under which the pre-specified conclusions hold.</w:t>
      </w:r>
    </w:p>
    <w:p>
      <w:pPr>
        <w:pStyle w:val="Heading2"/>
        <w:spacing w:after="140" w:before="280"/>
      </w:pPr>
      <w:r>
        <w:rPr>
          <w:rFonts w:ascii="Calibri" w:cs="Calibri" w:eastAsia="Calibri" w:hAnsi="Calibri"/>
          <w:b/>
          <w:bCs/>
          <w:sz w:val="26"/>
          <w:szCs w:val="26"/>
        </w:rPr>
        <w:t xml:space="preserve">8.1 Sensitivity of the AD-vulnerable neuron signature</w:t>
      </w:r>
    </w:p>
    <w:p>
      <w:pPr>
        <w:pStyle w:val="ListParagraph"/>
        <w:numPr>
          <w:ilvl w:val="0"/>
          <w:numId w:val="2"/>
        </w:numPr>
        <w:spacing w:after="100" w:line="280"/>
        <w:jc w:val="both"/>
      </w:pPr>
      <w:r>
        <w:rPr>
          <w:rFonts w:ascii="Calibri" w:cs="Calibri" w:eastAsia="Calibri" w:hAnsi="Calibri"/>
          <w:sz w:val="22"/>
          <w:szCs w:val="22"/>
        </w:rPr>
        <w:t xml:space="preserve">Repeat Stage 1 using intermediate Braak stage II donors (instead of Braak VI) as the AD group, to test signature stability across disease progression.</w:t>
      </w:r>
    </w:p>
    <w:p>
      <w:pPr>
        <w:pStyle w:val="ListParagraph"/>
        <w:numPr>
          <w:ilvl w:val="0"/>
          <w:numId w:val="2"/>
        </w:numPr>
        <w:spacing w:after="100" w:line="280"/>
        <w:jc w:val="both"/>
      </w:pPr>
      <w:r>
        <w:rPr>
          <w:rFonts w:ascii="Calibri" w:cs="Calibri" w:eastAsia="Calibri" w:hAnsi="Calibri"/>
          <w:sz w:val="22"/>
          <w:szCs w:val="22"/>
        </w:rPr>
        <w:t xml:space="preserve">Repeat Stage 1 with the RORB threshold at the 66th and 90th percentile (instead of the pre-specified 75th percentile) to test sensitivity to the RORB-high definition.</w:t>
      </w:r>
    </w:p>
    <w:p>
      <w:pPr>
        <w:pStyle w:val="ListParagraph"/>
        <w:numPr>
          <w:ilvl w:val="0"/>
          <w:numId w:val="2"/>
        </w:numPr>
        <w:spacing w:after="100" w:line="280"/>
        <w:jc w:val="both"/>
      </w:pPr>
      <w:r>
        <w:rPr>
          <w:rFonts w:ascii="Calibri" w:cs="Calibri" w:eastAsia="Calibri" w:hAnsi="Calibri"/>
          <w:sz w:val="22"/>
          <w:szCs w:val="22"/>
        </w:rPr>
        <w:t xml:space="preserve">Repeat Stage 1 including superior frontal gyrus samples as a second brain region.</w:t>
      </w:r>
    </w:p>
    <w:p>
      <w:pPr>
        <w:pStyle w:val="Heading2"/>
        <w:spacing w:after="140" w:before="280"/>
      </w:pPr>
      <w:r>
        <w:rPr>
          <w:rFonts w:ascii="Calibri" w:cs="Calibri" w:eastAsia="Calibri" w:hAnsi="Calibri"/>
          <w:b/>
          <w:bCs/>
          <w:sz w:val="26"/>
          <w:szCs w:val="26"/>
        </w:rPr>
        <w:t xml:space="preserve">8.2 Sensitivity of the GBM neural-mimicry signature</w:t>
      </w:r>
    </w:p>
    <w:p>
      <w:pPr>
        <w:pStyle w:val="ListParagraph"/>
        <w:numPr>
          <w:ilvl w:val="0"/>
          <w:numId w:val="2"/>
        </w:numPr>
        <w:spacing w:after="100" w:line="280"/>
        <w:jc w:val="both"/>
      </w:pPr>
      <w:r>
        <w:rPr>
          <w:rFonts w:ascii="Calibri" w:cs="Calibri" w:eastAsia="Calibri" w:hAnsi="Calibri"/>
          <w:sz w:val="22"/>
          <w:szCs w:val="22"/>
        </w:rPr>
        <w:t xml:space="preserve">Repeat Stage 2 using NPC-like only (excluding OPC-like) as the neural-lineage group.</w:t>
      </w:r>
    </w:p>
    <w:p>
      <w:pPr>
        <w:pStyle w:val="ListParagraph"/>
        <w:numPr>
          <w:ilvl w:val="0"/>
          <w:numId w:val="2"/>
        </w:numPr>
        <w:spacing w:after="100" w:line="280"/>
        <w:jc w:val="both"/>
      </w:pPr>
      <w:r>
        <w:rPr>
          <w:rFonts w:ascii="Calibri" w:cs="Calibri" w:eastAsia="Calibri" w:hAnsi="Calibri"/>
          <w:sz w:val="22"/>
          <w:szCs w:val="22"/>
        </w:rPr>
        <w:t xml:space="preserve">Repeat Stage 2 using an alternative cell state classification derived from Suvà et al. (2014) developmental hierarchy classifier as a cross-check.</w:t>
      </w:r>
    </w:p>
    <w:p>
      <w:pPr>
        <w:pStyle w:val="Heading2"/>
        <w:spacing w:after="140" w:before="280"/>
      </w:pPr>
      <w:r>
        <w:rPr>
          <w:rFonts w:ascii="Calibri" w:cs="Calibri" w:eastAsia="Calibri" w:hAnsi="Calibri"/>
          <w:b/>
          <w:bCs/>
          <w:sz w:val="26"/>
          <w:szCs w:val="26"/>
        </w:rPr>
        <w:t xml:space="preserve">8.3 Sensitivity of the convergence test</w:t>
      </w:r>
    </w:p>
    <w:p>
      <w:pPr>
        <w:pStyle w:val="ListParagraph"/>
        <w:numPr>
          <w:ilvl w:val="0"/>
          <w:numId w:val="2"/>
        </w:numPr>
        <w:spacing w:after="100" w:line="280"/>
        <w:jc w:val="both"/>
      </w:pPr>
      <w:r>
        <w:rPr>
          <w:rFonts w:ascii="Calibri" w:cs="Calibri" w:eastAsia="Calibri" w:hAnsi="Calibri"/>
          <w:sz w:val="22"/>
          <w:szCs w:val="22"/>
        </w:rPr>
        <w:t xml:space="preserve">Repeat Test 2 with top-100 and top-500 genes instead of top-200.</w:t>
      </w:r>
    </w:p>
    <w:p>
      <w:pPr>
        <w:pStyle w:val="ListParagraph"/>
        <w:numPr>
          <w:ilvl w:val="0"/>
          <w:numId w:val="2"/>
        </w:numPr>
        <w:spacing w:after="100" w:line="280"/>
        <w:jc w:val="both"/>
      </w:pPr>
      <w:r>
        <w:rPr>
          <w:rFonts w:ascii="Calibri" w:cs="Calibri" w:eastAsia="Calibri" w:hAnsi="Calibri"/>
          <w:sz w:val="22"/>
          <w:szCs w:val="22"/>
        </w:rPr>
        <w:t xml:space="preserve">Repeat Test 3 with 10,000 permutations (instead of 1000) to refine the empirical P-value.</w:t>
      </w:r>
    </w:p>
    <w:p>
      <w:pPr>
        <w:pStyle w:val="ListParagraph"/>
        <w:numPr>
          <w:ilvl w:val="0"/>
          <w:numId w:val="2"/>
        </w:numPr>
        <w:spacing w:after="100" w:line="280"/>
        <w:jc w:val="both"/>
      </w:pPr>
      <w:r>
        <w:rPr>
          <w:rFonts w:ascii="Calibri" w:cs="Calibri" w:eastAsia="Calibri" w:hAnsi="Calibri"/>
          <w:sz w:val="22"/>
          <w:szCs w:val="22"/>
        </w:rPr>
        <w:t xml:space="preserve">Restrict all three tests to protein-coding genes only (excluding lncRNAs and pseudogenes).</w:t>
      </w:r>
    </w:p>
    <w:p>
      <w:pPr>
        <w:pStyle w:val="Heading2"/>
        <w:spacing w:after="140" w:before="280"/>
      </w:pPr>
      <w:r>
        <w:rPr>
          <w:rFonts w:ascii="Calibri" w:cs="Calibri" w:eastAsia="Calibri" w:hAnsi="Calibri"/>
          <w:b/>
          <w:bCs/>
          <w:sz w:val="26"/>
          <w:szCs w:val="26"/>
        </w:rPr>
        <w:t xml:space="preserve">8.4 Sensitivity of the bulk deconvolution result</w:t>
      </w:r>
    </w:p>
    <w:p>
      <w:pPr>
        <w:pStyle w:val="ListParagraph"/>
        <w:numPr>
          <w:ilvl w:val="0"/>
          <w:numId w:val="2"/>
        </w:numPr>
        <w:spacing w:after="100" w:line="280"/>
        <w:jc w:val="both"/>
      </w:pPr>
      <w:r>
        <w:rPr>
          <w:rFonts w:ascii="Calibri" w:cs="Calibri" w:eastAsia="Calibri" w:hAnsi="Calibri"/>
          <w:sz w:val="22"/>
          <w:szCs w:val="22"/>
        </w:rPr>
        <w:t xml:space="preserve">Repeat Stage 4 with a third deconvolution method (CIBERSORTx) as a triangulation.</w:t>
      </w:r>
    </w:p>
    <w:p>
      <w:pPr>
        <w:pStyle w:val="ListParagraph"/>
        <w:numPr>
          <w:ilvl w:val="0"/>
          <w:numId w:val="2"/>
        </w:numPr>
        <w:spacing w:after="100" w:line="280"/>
        <w:jc w:val="both"/>
      </w:pPr>
      <w:r>
        <w:rPr>
          <w:rFonts w:ascii="Calibri" w:cs="Calibri" w:eastAsia="Calibri" w:hAnsi="Calibri"/>
          <w:sz w:val="22"/>
          <w:szCs w:val="22"/>
        </w:rPr>
        <w:t xml:space="preserve">Repeat Stage 4 with an unweighted average of BRETIGEA and bMIND cell-type scores.</w:t>
      </w:r>
    </w:p>
    <w:p>
      <w:pPr>
        <w:pStyle w:val="ListParagraph"/>
        <w:numPr>
          <w:ilvl w:val="0"/>
          <w:numId w:val="2"/>
        </w:numPr>
        <w:spacing w:after="100" w:line="280"/>
        <w:jc w:val="both"/>
      </w:pPr>
      <w:r>
        <w:rPr>
          <w:rFonts w:ascii="Calibri" w:cs="Calibri" w:eastAsia="Calibri" w:hAnsi="Calibri"/>
          <w:sz w:val="22"/>
          <w:szCs w:val="22"/>
        </w:rPr>
        <w:t xml:space="preserve">Repeat Stage 4 excluding samples with tumour purity &lt; 60% for the GBM cohort.</w:t>
      </w:r>
    </w:p>
    <w:p>
      <w:r>
        <w:br w:type="page"/>
      </w:r>
    </w:p>
    <w:p>
      <w:pPr>
        <w:pStyle w:val="Heading1"/>
        <w:spacing w:after="180" w:before="360"/>
      </w:pPr>
      <w:r>
        <w:rPr>
          <w:rFonts w:ascii="Calibri" w:cs="Calibri" w:eastAsia="Calibri" w:hAnsi="Calibri"/>
          <w:b/>
          <w:bCs/>
          <w:sz w:val="32"/>
          <w:szCs w:val="32"/>
        </w:rPr>
        <w:t xml:space="preserve">9. Deviations policy</w:t>
      </w:r>
    </w:p>
    <w:p>
      <w:pPr>
        <w:spacing w:after="120" w:before="0" w:line="300"/>
        <w:jc w:val="both"/>
      </w:pPr>
      <w:r>
        <w:rPr>
          <w:rFonts w:ascii="Calibri" w:cs="Calibri" w:eastAsia="Calibri" w:hAnsi="Calibri"/>
          <w:b w:val="false"/>
          <w:bCs w:val="false"/>
          <w:i w:val="false"/>
          <w:iCs w:val="false"/>
          <w:sz w:val="22"/>
          <w:szCs w:val="22"/>
        </w:rPr>
        <w:t xml:space="preserve">Any deviation from this pre-specified plan will be handled according to the following rules, in order of preference. All deviations, and the date on which they were introduced, will be independently verifiable through the project GitHub commit history.</w:t>
      </w:r>
    </w:p>
    <w:p>
      <w:pPr>
        <w:spacing w:after="120" w:before="0" w:line="300"/>
        <w:jc w:val="both"/>
      </w:pPr>
      <w:r>
        <w:rPr>
          <w:rFonts w:ascii="Calibri" w:cs="Calibri" w:eastAsia="Calibri" w:hAnsi="Calibri"/>
          <w:b w:val="false"/>
          <w:bCs w:val="false"/>
          <w:i w:val="false"/>
          <w:iCs w:val="false"/>
          <w:sz w:val="22"/>
          <w:szCs w:val="22"/>
        </w:rPr>
        <w:t xml:space="preserve">First: if a deviation is necessary due to data quality issues discovered during preprocessing (e.g., a dataset is found to have insufficient QC-passing samples), the deviation will be documented in a DEVIATIONS.md file in the project GitHub repository with the date, reason, and revised procedure. The commit that introduces the deviation will contain both the changed analysis code and the corresponding DEVIATIONS.md entry, so that the two are cryptographically linked in time. The deviations register will be included as a supplementary file in the final manuscript. Analyses affected by the deviation will be re-run in full; no cherry-picked partial re-runs will be permitted.</w:t>
      </w:r>
    </w:p>
    <w:p>
      <w:pPr>
        <w:spacing w:after="120" w:before="0" w:line="300"/>
        <w:jc w:val="both"/>
      </w:pPr>
      <w:r>
        <w:rPr>
          <w:rFonts w:ascii="Calibri" w:cs="Calibri" w:eastAsia="Calibri" w:hAnsi="Calibri"/>
          <w:b w:val="false"/>
          <w:bCs w:val="false"/>
          <w:i w:val="false"/>
          <w:iCs w:val="false"/>
          <w:sz w:val="22"/>
          <w:szCs w:val="22"/>
        </w:rPr>
        <w:t xml:space="preserve">Second: if a deviation is scientifically motivated (e.g., a superior analytical method becomes available during the analysis period), the original pre-specified analysis will still be conducted and reported. The alternative analysis will be reported as an exploratory sensitivity analysis, clearly labelled as post-hoc.</w:t>
      </w:r>
    </w:p>
    <w:p>
      <w:pPr>
        <w:spacing w:after="120" w:before="0" w:line="300"/>
        <w:jc w:val="both"/>
      </w:pPr>
      <w:r>
        <w:rPr>
          <w:rFonts w:ascii="Calibri" w:cs="Calibri" w:eastAsia="Calibri" w:hAnsi="Calibri"/>
          <w:b w:val="false"/>
          <w:bCs w:val="false"/>
          <w:i w:val="false"/>
          <w:iCs w:val="false"/>
          <w:sz w:val="22"/>
          <w:szCs w:val="22"/>
        </w:rPr>
        <w:t xml:space="preserve">Third: if the primary hypothesis test yields an inconclusive result under the pre-specified thresholds (Section 2), the pre-specified sensitivity analyses (Section 8) will be examined. The interpretation will be framed transparently as inconclusive; no post-hoc threshold adjustment will be permitted to convert an inconclusive result into a positive or negative one.</w:t>
      </w:r>
    </w:p>
    <w:p>
      <w:pPr>
        <w:spacing w:after="120" w:before="0" w:line="300"/>
        <w:jc w:val="both"/>
      </w:pPr>
      <w:r>
        <w:rPr>
          <w:rFonts w:ascii="Calibri" w:cs="Calibri" w:eastAsia="Calibri" w:hAnsi="Calibri"/>
          <w:b w:val="false"/>
          <w:bCs w:val="false"/>
          <w:i w:val="false"/>
          <w:iCs w:val="false"/>
          <w:sz w:val="22"/>
          <w:szCs w:val="22"/>
        </w:rPr>
        <w:t xml:space="preserve">Fourth: hypothesis reformulation is not permitted. If the pre-specified hypotheses fail, the manuscript will report the failure, discuss its implications, and propose refined hypotheses for future work. It will not silently re-report new hypotheses as if they had been part of the original plan. The git commit history of this plan document is the reference point for what was pre-specified.</w:t>
      </w:r>
    </w:p>
    <w:p>
      <w:r>
        <w:br w:type="page"/>
      </w:r>
    </w:p>
    <w:p>
      <w:pPr>
        <w:pStyle w:val="Heading1"/>
        <w:spacing w:after="180" w:before="360"/>
      </w:pPr>
      <w:r>
        <w:rPr>
          <w:rFonts w:ascii="Calibri" w:cs="Calibri" w:eastAsia="Calibri" w:hAnsi="Calibri"/>
          <w:b/>
          <w:bCs/>
          <w:sz w:val="32"/>
          <w:szCs w:val="32"/>
        </w:rPr>
        <w:t xml:space="preserve">10. Reproducibility infrastructure</w:t>
      </w:r>
    </w:p>
    <w:p>
      <w:pPr>
        <w:pStyle w:val="Heading2"/>
        <w:spacing w:after="140" w:before="280"/>
      </w:pPr>
      <w:r>
        <w:rPr>
          <w:rFonts w:ascii="Calibri" w:cs="Calibri" w:eastAsia="Calibri" w:hAnsi="Calibri"/>
          <w:b/>
          <w:bCs/>
          <w:sz w:val="26"/>
          <w:szCs w:val="26"/>
        </w:rPr>
        <w:t xml:space="preserve">10.1 Version control and code</w:t>
      </w:r>
    </w:p>
    <w:p>
      <w:pPr>
        <w:spacing w:after="120" w:before="0" w:line="300"/>
        <w:jc w:val="both"/>
      </w:pPr>
      <w:r>
        <w:rPr>
          <w:rFonts w:ascii="Calibri" w:cs="Calibri" w:eastAsia="Calibri" w:hAnsi="Calibri"/>
          <w:b w:val="false"/>
          <w:bCs w:val="false"/>
          <w:i w:val="false"/>
          <w:iCs w:val="false"/>
          <w:sz w:val="22"/>
          <w:szCs w:val="22"/>
        </w:rPr>
        <w:t xml:space="preserve">All analysis code will be committed to a public GitHub repository from the first day of analysis. The repository will follow a standard structure with directories for data acquisition scripts, preprocessing, each analytical stage, figure production, and manuscript source. Commit history will be preserved unaltered as a chronological record of the analysis. The repository will be publicly readable throughout the analysis period, not only at manuscript submission.</w:t>
      </w:r>
    </w:p>
    <w:p>
      <w:pPr>
        <w:pStyle w:val="Heading2"/>
        <w:spacing w:after="140" w:before="280"/>
      </w:pPr>
      <w:r>
        <w:rPr>
          <w:rFonts w:ascii="Calibri" w:cs="Calibri" w:eastAsia="Calibri" w:hAnsi="Calibri"/>
          <w:b/>
          <w:bCs/>
          <w:sz w:val="26"/>
          <w:szCs w:val="26"/>
        </w:rPr>
        <w:t xml:space="preserve">10.2 Computational environment</w:t>
      </w:r>
    </w:p>
    <w:p>
      <w:pPr>
        <w:spacing w:after="120" w:before="0" w:line="300"/>
        <w:jc w:val="both"/>
      </w:pPr>
      <w:r>
        <w:rPr>
          <w:rFonts w:ascii="Calibri" w:cs="Calibri" w:eastAsia="Calibri" w:hAnsi="Calibri"/>
          <w:b w:val="false"/>
          <w:bCs w:val="false"/>
          <w:i w:val="false"/>
          <w:iCs w:val="false"/>
          <w:sz w:val="22"/>
          <w:szCs w:val="22"/>
        </w:rPr>
        <w:t xml:space="preserve">The complete computational environment will be captured using two complementary tools: (i) an renv lockfile (R package versions), (ii) a Docker container specification (base OS, system libraries, R version, all R packages). The Docker container will be published to a public registry (Docker Hub or GitHub Container Registry) with an immutable version tag corresponding to the first commit of this plan and to each subsequent analysis milestone. A reader with only the Docker image and the source data should be able to reproduce every figure and table in the final manuscript by running a single script.</w:t>
      </w:r>
    </w:p>
    <w:p>
      <w:pPr>
        <w:pStyle w:val="Heading2"/>
        <w:spacing w:after="140" w:before="280"/>
      </w:pPr>
      <w:r>
        <w:rPr>
          <w:rFonts w:ascii="Calibri" w:cs="Calibri" w:eastAsia="Calibri" w:hAnsi="Calibri"/>
          <w:b/>
          <w:bCs/>
          <w:sz w:val="26"/>
          <w:szCs w:val="26"/>
        </w:rPr>
        <w:t xml:space="preserve">10.3 Data deposition</w:t>
      </w:r>
    </w:p>
    <w:p>
      <w:pPr>
        <w:spacing w:after="120" w:before="0" w:line="300"/>
        <w:jc w:val="both"/>
      </w:pPr>
      <w:r>
        <w:rPr>
          <w:rFonts w:ascii="Calibri" w:cs="Calibri" w:eastAsia="Calibri" w:hAnsi="Calibri"/>
          <w:b w:val="false"/>
          <w:bCs w:val="false"/>
          <w:i w:val="false"/>
          <w:iCs w:val="false"/>
          <w:sz w:val="22"/>
          <w:szCs w:val="22"/>
        </w:rPr>
        <w:t xml:space="preserve">Intermediate data objects will be deposited on Zenodo with DOIs assigned at each analysis milestone. The full set of intermediate objects (QC-filtered expression matrices, cell-type scores, differential expression tables, gene signatures, convergence test results) will be publicly available before manuscript submission. This exceeds the standard requirement for most target journals and provides reviewers with direct access to the analytical trail.</w:t>
      </w:r>
    </w:p>
    <w:p>
      <w:pPr>
        <w:pStyle w:val="Heading2"/>
        <w:spacing w:after="140" w:before="280"/>
      </w:pPr>
      <w:r>
        <w:rPr>
          <w:rFonts w:ascii="Calibri" w:cs="Calibri" w:eastAsia="Calibri" w:hAnsi="Calibri"/>
          <w:b/>
          <w:bCs/>
          <w:sz w:val="26"/>
          <w:szCs w:val="26"/>
        </w:rPr>
        <w:t xml:space="preserve">10.4 Manuscript preparation</w:t>
      </w:r>
    </w:p>
    <w:p>
      <w:pPr>
        <w:spacing w:after="120" w:before="0" w:line="300"/>
        <w:jc w:val="both"/>
      </w:pPr>
      <w:r>
        <w:rPr>
          <w:rFonts w:ascii="Calibri" w:cs="Calibri" w:eastAsia="Calibri" w:hAnsi="Calibri"/>
          <w:b w:val="false"/>
          <w:bCs w:val="false"/>
          <w:i w:val="false"/>
          <w:iCs w:val="false"/>
          <w:sz w:val="22"/>
          <w:szCs w:val="22"/>
        </w:rPr>
        <w:t xml:space="preserve">The manuscript source (LaTeX or Quarto) will be committed to the same GitHub repository. Every numerical claim in the manuscript will be produced by a code chunk that reads from the deposited intermediate data objects; no numbers will be typed manually. This is enforced by the reviewer’s ability to re-run the manuscript source and verify that every claimed number matches.</w:t>
      </w:r>
    </w:p>
    <w:p>
      <w:pPr>
        <w:pStyle w:val="Heading2"/>
        <w:spacing w:after="140" w:before="280"/>
      </w:pPr>
      <w:r>
        <w:rPr>
          <w:rFonts w:ascii="Calibri" w:cs="Calibri" w:eastAsia="Calibri" w:hAnsi="Calibri"/>
          <w:b/>
          <w:bCs/>
          <w:sz w:val="26"/>
          <w:szCs w:val="26"/>
        </w:rPr>
        <w:t xml:space="preserve">10.5 Timestamping mechanism in lieu of external pre-registration</w:t>
      </w:r>
    </w:p>
    <w:p>
      <w:pPr>
        <w:spacing w:after="120" w:before="0" w:line="300"/>
        <w:jc w:val="both"/>
      </w:pPr>
      <w:r>
        <w:rPr>
          <w:rFonts w:ascii="Calibri" w:cs="Calibri" w:eastAsia="Calibri" w:hAnsi="Calibri"/>
          <w:b w:val="false"/>
          <w:bCs w:val="false"/>
          <w:i w:val="false"/>
          <w:iCs w:val="false"/>
          <w:sz w:val="22"/>
          <w:szCs w:val="22"/>
        </w:rPr>
        <w:t xml:space="preserve">This plan is not registered with an external pre-registration platform (such as OSF or AsPredicted). In place of external pre-registration, the analytical pre-specification is anchored by the git commit history of the project GitHub repository. Specifically: (i) this plan document (in its finalised form) will be committed to the repository as the first commit, before any data-analysis code is written; (ii) the commit hash of that first commit will be referenced in the final manuscript’s Methods section, together with the commit date; (iii) all subsequent commits—including any deviations from this plan—will be preserved unaltered in the public commit history, providing a chronologically verifiable record of every analytical decision. Git commit hashes are cryptographic SHA-1 or SHA-256 digests that cannot be back-dated without invalidating the entire chain of subsequent commits, providing an integrity guarantee equivalent in kind (though weaker in reputational weight) to formal pre-registration platforms.</w:t>
      </w:r>
    </w:p>
    <w:p>
      <w:r>
        <w:br w:type="page"/>
      </w:r>
    </w:p>
    <w:p>
      <w:pPr>
        <w:pStyle w:val="Heading1"/>
        <w:spacing w:after="180" w:before="360"/>
      </w:pPr>
      <w:r>
        <w:rPr>
          <w:rFonts w:ascii="Calibri" w:cs="Calibri" w:eastAsia="Calibri" w:hAnsi="Calibri"/>
          <w:b/>
          <w:bCs/>
          <w:sz w:val="32"/>
          <w:szCs w:val="32"/>
        </w:rPr>
        <w:t xml:space="preserve">11. Timeline</w:t>
      </w:r>
    </w:p>
    <w:p>
      <w:pPr>
        <w:spacing w:after="120" w:before="0" w:line="300"/>
        <w:jc w:val="both"/>
      </w:pPr>
      <w:r>
        <w:rPr>
          <w:rFonts w:ascii="Calibri" w:cs="Calibri" w:eastAsia="Calibri" w:hAnsi="Calibri"/>
          <w:b w:val="false"/>
          <w:bCs w:val="false"/>
          <w:i w:val="false"/>
          <w:iCs w:val="false"/>
          <w:sz w:val="22"/>
          <w:szCs w:val="22"/>
        </w:rPr>
        <w:t xml:space="preserve">The analysis is planned for a 3–4 month full-time execution period. The following timeline is indicative; deviations will be documented as described in Section 9.</w:t>
      </w:r>
    </w:p>
    <w:p>
      <w:pPr>
        <w:pStyle w:val="Heading2"/>
        <w:spacing w:after="140" w:before="280"/>
      </w:pPr>
      <w:r>
        <w:rPr>
          <w:rFonts w:ascii="Calibri" w:cs="Calibri" w:eastAsia="Calibri" w:hAnsi="Calibri"/>
          <w:b/>
          <w:bCs/>
          <w:sz w:val="26"/>
          <w:szCs w:val="26"/>
        </w:rPr>
        <w:t xml:space="preserve">Table 3. Analytical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00"/>
      </w:tblGrid>
      <w:tr>
        <w:tc>
          <w:tcPr>
            <w:tcW w:type="dxa" w:w="1400"/>
            <w:shd w:fill="D9E1F2" w:color="auto" w:val="clear"/>
          </w:tcPr>
          <w:p>
            <w:pPr>
              <w:spacing w:after="60" w:before="60" w:line="260"/>
              <w:jc w:val="left"/>
            </w:pPr>
            <w:r>
              <w:rPr>
                <w:rFonts w:ascii="Calibri" w:cs="Calibri" w:eastAsia="Calibri" w:hAnsi="Calibri"/>
                <w:b/>
                <w:bCs/>
                <w:sz w:val="18"/>
                <w:szCs w:val="18"/>
              </w:rPr>
              <w:t xml:space="preserve">Period</w:t>
            </w:r>
          </w:p>
        </w:tc>
        <w:tc>
          <w:tcPr>
            <w:tcW w:type="dxa" w:w="2200"/>
            <w:shd w:fill="D9E1F2" w:color="auto" w:val="clear"/>
          </w:tcPr>
          <w:p>
            <w:pPr>
              <w:spacing w:after="60" w:before="60" w:line="260"/>
              <w:jc w:val="left"/>
            </w:pPr>
            <w:r>
              <w:rPr>
                <w:rFonts w:ascii="Calibri" w:cs="Calibri" w:eastAsia="Calibri" w:hAnsi="Calibri"/>
                <w:b/>
                <w:bCs/>
                <w:sz w:val="18"/>
                <w:szCs w:val="18"/>
              </w:rPr>
              <w:t xml:space="preserve">Milestone</w:t>
            </w:r>
          </w:p>
        </w:tc>
        <w:tc>
          <w:tcPr>
            <w:tcW w:type="dxa" w:w="5400"/>
            <w:shd w:fill="D9E1F2" w:color="auto" w:val="clear"/>
          </w:tcPr>
          <w:p>
            <w:pPr>
              <w:spacing w:after="60" w:before="60" w:line="260"/>
              <w:jc w:val="left"/>
            </w:pPr>
            <w:r>
              <w:rPr>
                <w:rFonts w:ascii="Calibri" w:cs="Calibri" w:eastAsia="Calibri" w:hAnsi="Calibri"/>
                <w:b/>
                <w:bCs/>
                <w:sz w:val="18"/>
                <w:szCs w:val="18"/>
              </w:rPr>
              <w:t xml:space="preserve">Deliverables</w:t>
            </w:r>
          </w:p>
        </w:tc>
      </w:tr>
      <w:tr>
        <w:tc>
          <w:tcPr>
            <w:tcW w:type="dxa" w:w="1400"/>
          </w:tcPr>
          <w:p>
            <w:pPr>
              <w:spacing w:after="60" w:before="60" w:line="260"/>
              <w:jc w:val="left"/>
            </w:pPr>
            <w:r>
              <w:rPr>
                <w:rFonts w:ascii="Calibri" w:cs="Calibri" w:eastAsia="Calibri" w:hAnsi="Calibri"/>
                <w:b w:val="false"/>
                <w:bCs w:val="false"/>
                <w:sz w:val="18"/>
                <w:szCs w:val="18"/>
              </w:rPr>
              <w:t xml:space="preserve">Weeks 1–2</w:t>
            </w:r>
          </w:p>
        </w:tc>
        <w:tc>
          <w:tcPr>
            <w:tcW w:type="dxa" w:w="2200"/>
          </w:tcPr>
          <w:p>
            <w:pPr>
              <w:spacing w:after="60" w:before="60" w:line="260"/>
              <w:jc w:val="left"/>
            </w:pPr>
            <w:r>
              <w:rPr>
                <w:rFonts w:ascii="Calibri" w:cs="Calibri" w:eastAsia="Calibri" w:hAnsi="Calibri"/>
                <w:b w:val="false"/>
                <w:bCs w:val="false"/>
                <w:sz w:val="18"/>
                <w:szCs w:val="18"/>
              </w:rPr>
              <w:t xml:space="preserve">Plan finalisation and setup</w:t>
            </w:r>
          </w:p>
        </w:tc>
        <w:tc>
          <w:tcPr>
            <w:tcW w:type="dxa" w:w="5400"/>
          </w:tcPr>
          <w:p>
            <w:pPr>
              <w:spacing w:after="60" w:before="60" w:line="260"/>
              <w:jc w:val="left"/>
            </w:pPr>
            <w:r>
              <w:rPr>
                <w:rFonts w:ascii="Calibri" w:cs="Calibri" w:eastAsia="Calibri" w:hAnsi="Calibri"/>
                <w:b w:val="false"/>
                <w:bCs w:val="false"/>
                <w:sz w:val="18"/>
                <w:szCs w:val="18"/>
              </w:rPr>
              <w:t xml:space="preserve">This plan finalised and committed as first commit to project GitHub repository (commit hash referenced in final manuscript); Docker environment built; all datasets downloaded and QC-filtered; initial data audit report.</w:t>
            </w:r>
          </w:p>
        </w:tc>
      </w:tr>
      <w:tr>
        <w:tc>
          <w:tcPr>
            <w:tcW w:type="dxa" w:w="1400"/>
          </w:tcPr>
          <w:p>
            <w:pPr>
              <w:spacing w:after="60" w:before="60" w:line="260"/>
              <w:jc w:val="left"/>
            </w:pPr>
            <w:r>
              <w:rPr>
                <w:rFonts w:ascii="Calibri" w:cs="Calibri" w:eastAsia="Calibri" w:hAnsi="Calibri"/>
                <w:b w:val="false"/>
                <w:bCs w:val="false"/>
                <w:sz w:val="18"/>
                <w:szCs w:val="18"/>
              </w:rPr>
              <w:t xml:space="preserve">Weeks 3–5</w:t>
            </w:r>
          </w:p>
        </w:tc>
        <w:tc>
          <w:tcPr>
            <w:tcW w:type="dxa" w:w="2200"/>
          </w:tcPr>
          <w:p>
            <w:pPr>
              <w:spacing w:after="60" w:before="60" w:line="260"/>
              <w:jc w:val="left"/>
            </w:pPr>
            <w:r>
              <w:rPr>
                <w:rFonts w:ascii="Calibri" w:cs="Calibri" w:eastAsia="Calibri" w:hAnsi="Calibri"/>
                <w:b w:val="false"/>
                <w:bCs w:val="false"/>
                <w:sz w:val="18"/>
                <w:szCs w:val="18"/>
              </w:rPr>
              <w:t xml:space="preserve">Stage 1</w:t>
            </w:r>
          </w:p>
        </w:tc>
        <w:tc>
          <w:tcPr>
            <w:tcW w:type="dxa" w:w="5400"/>
          </w:tcPr>
          <w:p>
            <w:pPr>
              <w:spacing w:after="60" w:before="60" w:line="260"/>
              <w:jc w:val="left"/>
            </w:pPr>
            <w:r>
              <w:rPr>
                <w:rFonts w:ascii="Calibri" w:cs="Calibri" w:eastAsia="Calibri" w:hAnsi="Calibri"/>
                <w:b w:val="false"/>
                <w:bCs w:val="false"/>
                <w:sz w:val="18"/>
                <w:szCs w:val="18"/>
              </w:rPr>
              <w:t xml:space="preserve">AD-vulnerable neuron signature defined from Leng data; internal positive control (barcode plot) executed; sensitivity analyses of Section 8.1 completed; intermediate objects deposited on Zenodo.</w:t>
            </w:r>
          </w:p>
        </w:tc>
      </w:tr>
      <w:tr>
        <w:tc>
          <w:tcPr>
            <w:tcW w:type="dxa" w:w="1400"/>
          </w:tcPr>
          <w:p>
            <w:pPr>
              <w:spacing w:after="60" w:before="60" w:line="260"/>
              <w:jc w:val="left"/>
            </w:pPr>
            <w:r>
              <w:rPr>
                <w:rFonts w:ascii="Calibri" w:cs="Calibri" w:eastAsia="Calibri" w:hAnsi="Calibri"/>
                <w:b w:val="false"/>
                <w:bCs w:val="false"/>
                <w:sz w:val="18"/>
                <w:szCs w:val="18"/>
              </w:rPr>
              <w:t xml:space="preserve">Weeks 6–8</w:t>
            </w:r>
          </w:p>
        </w:tc>
        <w:tc>
          <w:tcPr>
            <w:tcW w:type="dxa" w:w="2200"/>
          </w:tcPr>
          <w:p>
            <w:pPr>
              <w:spacing w:after="60" w:before="60" w:line="260"/>
              <w:jc w:val="left"/>
            </w:pPr>
            <w:r>
              <w:rPr>
                <w:rFonts w:ascii="Calibri" w:cs="Calibri" w:eastAsia="Calibri" w:hAnsi="Calibri"/>
                <w:b w:val="false"/>
                <w:bCs w:val="false"/>
                <w:sz w:val="18"/>
                <w:szCs w:val="18"/>
              </w:rPr>
              <w:t xml:space="preserve">Stage 2</w:t>
            </w:r>
          </w:p>
        </w:tc>
        <w:tc>
          <w:tcPr>
            <w:tcW w:type="dxa" w:w="5400"/>
          </w:tcPr>
          <w:p>
            <w:pPr>
              <w:spacing w:after="60" w:before="60" w:line="260"/>
              <w:jc w:val="left"/>
            </w:pPr>
            <w:r>
              <w:rPr>
                <w:rFonts w:ascii="Calibri" w:cs="Calibri" w:eastAsia="Calibri" w:hAnsi="Calibri"/>
                <w:b w:val="false"/>
                <w:bCs w:val="false"/>
                <w:sz w:val="18"/>
                <w:szCs w:val="18"/>
              </w:rPr>
              <w:t xml:space="preserve">GBM neural-mimicry signature defined from Neftel data; cell state reproduction verified; sensitivity analyses of Section 8.2 completed; intermediate objects deposited.</w:t>
            </w:r>
          </w:p>
        </w:tc>
      </w:tr>
      <w:tr>
        <w:tc>
          <w:tcPr>
            <w:tcW w:type="dxa" w:w="1400"/>
          </w:tcPr>
          <w:p>
            <w:pPr>
              <w:spacing w:after="60" w:before="60" w:line="260"/>
              <w:jc w:val="left"/>
            </w:pPr>
            <w:r>
              <w:rPr>
                <w:rFonts w:ascii="Calibri" w:cs="Calibri" w:eastAsia="Calibri" w:hAnsi="Calibri"/>
                <w:b w:val="false"/>
                <w:bCs w:val="false"/>
                <w:sz w:val="18"/>
                <w:szCs w:val="18"/>
              </w:rPr>
              <w:t xml:space="preserve">Weeks 9–10</w:t>
            </w:r>
          </w:p>
        </w:tc>
        <w:tc>
          <w:tcPr>
            <w:tcW w:type="dxa" w:w="2200"/>
          </w:tcPr>
          <w:p>
            <w:pPr>
              <w:spacing w:after="60" w:before="60" w:line="260"/>
              <w:jc w:val="left"/>
            </w:pPr>
            <w:r>
              <w:rPr>
                <w:rFonts w:ascii="Calibri" w:cs="Calibri" w:eastAsia="Calibri" w:hAnsi="Calibri"/>
                <w:b w:val="false"/>
                <w:bCs w:val="false"/>
                <w:sz w:val="18"/>
                <w:szCs w:val="18"/>
              </w:rPr>
              <w:t xml:space="preserve">Stage 3</w:t>
            </w:r>
          </w:p>
        </w:tc>
        <w:tc>
          <w:tcPr>
            <w:tcW w:type="dxa" w:w="5400"/>
          </w:tcPr>
          <w:p>
            <w:pPr>
              <w:spacing w:after="60" w:before="60" w:line="260"/>
              <w:jc w:val="left"/>
            </w:pPr>
            <w:r>
              <w:rPr>
                <w:rFonts w:ascii="Calibri" w:cs="Calibri" w:eastAsia="Calibri" w:hAnsi="Calibri"/>
                <w:b w:val="false"/>
                <w:bCs w:val="false"/>
                <w:sz w:val="18"/>
                <w:szCs w:val="18"/>
              </w:rPr>
              <w:t xml:space="preserve">Three convergence tests executed; H2 decision made and locked; sensitivity analyses of Section 8.3 completed. Results committed to public repository irrespective of outcome.</w:t>
            </w:r>
          </w:p>
        </w:tc>
      </w:tr>
      <w:tr>
        <w:tc>
          <w:tcPr>
            <w:tcW w:type="dxa" w:w="1400"/>
          </w:tcPr>
          <w:p>
            <w:pPr>
              <w:spacing w:after="60" w:before="60" w:line="260"/>
              <w:jc w:val="left"/>
            </w:pPr>
            <w:r>
              <w:rPr>
                <w:rFonts w:ascii="Calibri" w:cs="Calibri" w:eastAsia="Calibri" w:hAnsi="Calibri"/>
                <w:b w:val="false"/>
                <w:bCs w:val="false"/>
                <w:sz w:val="18"/>
                <w:szCs w:val="18"/>
              </w:rPr>
              <w:t xml:space="preserve">Weeks 11–12</w:t>
            </w:r>
          </w:p>
        </w:tc>
        <w:tc>
          <w:tcPr>
            <w:tcW w:type="dxa" w:w="2200"/>
          </w:tcPr>
          <w:p>
            <w:pPr>
              <w:spacing w:after="60" w:before="60" w:line="260"/>
              <w:jc w:val="left"/>
            </w:pPr>
            <w:r>
              <w:rPr>
                <w:rFonts w:ascii="Calibri" w:cs="Calibri" w:eastAsia="Calibri" w:hAnsi="Calibri"/>
                <w:b w:val="false"/>
                <w:bCs w:val="false"/>
                <w:sz w:val="18"/>
                <w:szCs w:val="18"/>
              </w:rPr>
              <w:t xml:space="preserve">Stage 4</w:t>
            </w:r>
          </w:p>
        </w:tc>
        <w:tc>
          <w:tcPr>
            <w:tcW w:type="dxa" w:w="5400"/>
          </w:tcPr>
          <w:p>
            <w:pPr>
              <w:spacing w:after="60" w:before="60" w:line="260"/>
              <w:jc w:val="left"/>
            </w:pPr>
            <w:r>
              <w:rPr>
                <w:rFonts w:ascii="Calibri" w:cs="Calibri" w:eastAsia="Calibri" w:hAnsi="Calibri"/>
                <w:b w:val="false"/>
                <w:bCs w:val="false"/>
                <w:sz w:val="18"/>
                <w:szCs w:val="18"/>
              </w:rPr>
              <w:t xml:space="preserve">Bulk analysis replicated with BRETIGEA and bMIND; H1 decision made; reconciliation with Stages 1–3 completed; all sensitivity analyses of Section 8.4 completed.</w:t>
            </w:r>
          </w:p>
        </w:tc>
      </w:tr>
      <w:tr>
        <w:tc>
          <w:tcPr>
            <w:tcW w:type="dxa" w:w="1400"/>
          </w:tcPr>
          <w:p>
            <w:pPr>
              <w:spacing w:after="60" w:before="60" w:line="260"/>
              <w:jc w:val="left"/>
            </w:pPr>
            <w:r>
              <w:rPr>
                <w:rFonts w:ascii="Calibri" w:cs="Calibri" w:eastAsia="Calibri" w:hAnsi="Calibri"/>
                <w:b w:val="false"/>
                <w:bCs w:val="false"/>
                <w:sz w:val="18"/>
                <w:szCs w:val="18"/>
              </w:rPr>
              <w:t xml:space="preserve">Weeks 13–14</w:t>
            </w:r>
          </w:p>
        </w:tc>
        <w:tc>
          <w:tcPr>
            <w:tcW w:type="dxa" w:w="2200"/>
          </w:tcPr>
          <w:p>
            <w:pPr>
              <w:spacing w:after="60" w:before="60" w:line="260"/>
              <w:jc w:val="left"/>
            </w:pPr>
            <w:r>
              <w:rPr>
                <w:rFonts w:ascii="Calibri" w:cs="Calibri" w:eastAsia="Calibri" w:hAnsi="Calibri"/>
                <w:b w:val="false"/>
                <w:bCs w:val="false"/>
                <w:sz w:val="18"/>
                <w:szCs w:val="18"/>
              </w:rPr>
              <w:t xml:space="preserve">Manuscript writing</w:t>
            </w:r>
          </w:p>
        </w:tc>
        <w:tc>
          <w:tcPr>
            <w:tcW w:type="dxa" w:w="5400"/>
          </w:tcPr>
          <w:p>
            <w:pPr>
              <w:spacing w:after="60" w:before="60" w:line="260"/>
              <w:jc w:val="left"/>
            </w:pPr>
            <w:r>
              <w:rPr>
                <w:rFonts w:ascii="Calibri" w:cs="Calibri" w:eastAsia="Calibri" w:hAnsi="Calibri"/>
                <w:b w:val="false"/>
                <w:bCs w:val="false"/>
                <w:sz w:val="18"/>
                <w:szCs w:val="18"/>
              </w:rPr>
              <w:t xml:space="preserve">Draft manuscript, figures, tables. Manuscript scenario (A or B; Section 12) selected based on locked results.</w:t>
            </w:r>
          </w:p>
        </w:tc>
      </w:tr>
      <w:tr>
        <w:tc>
          <w:tcPr>
            <w:tcW w:type="dxa" w:w="1400"/>
          </w:tcPr>
          <w:p>
            <w:pPr>
              <w:spacing w:after="60" w:before="60" w:line="260"/>
              <w:jc w:val="left"/>
            </w:pPr>
            <w:r>
              <w:rPr>
                <w:rFonts w:ascii="Calibri" w:cs="Calibri" w:eastAsia="Calibri" w:hAnsi="Calibri"/>
                <w:b w:val="false"/>
                <w:bCs w:val="false"/>
                <w:sz w:val="18"/>
                <w:szCs w:val="18"/>
              </w:rPr>
              <w:t xml:space="preserve">Weeks 15–16</w:t>
            </w:r>
          </w:p>
        </w:tc>
        <w:tc>
          <w:tcPr>
            <w:tcW w:type="dxa" w:w="2200"/>
          </w:tcPr>
          <w:p>
            <w:pPr>
              <w:spacing w:after="60" w:before="60" w:line="260"/>
              <w:jc w:val="left"/>
            </w:pPr>
            <w:r>
              <w:rPr>
                <w:rFonts w:ascii="Calibri" w:cs="Calibri" w:eastAsia="Calibri" w:hAnsi="Calibri"/>
                <w:b w:val="false"/>
                <w:bCs w:val="false"/>
                <w:sz w:val="18"/>
                <w:szCs w:val="18"/>
              </w:rPr>
              <w:t xml:space="preserve">Internal revision and submission</w:t>
            </w:r>
          </w:p>
        </w:tc>
        <w:tc>
          <w:tcPr>
            <w:tcW w:type="dxa" w:w="5400"/>
          </w:tcPr>
          <w:p>
            <w:pPr>
              <w:spacing w:after="60" w:before="60" w:line="260"/>
              <w:jc w:val="left"/>
            </w:pPr>
            <w:r>
              <w:rPr>
                <w:rFonts w:ascii="Calibri" w:cs="Calibri" w:eastAsia="Calibri" w:hAnsi="Calibri"/>
                <w:b w:val="false"/>
                <w:bCs w:val="false"/>
                <w:sz w:val="18"/>
                <w:szCs w:val="18"/>
              </w:rPr>
              <w:t xml:space="preserve">Cold-eye review by the investigator after 3–5 days away from the manuscript; code and reproducibility audit; cover letter; submission to primary target journal.</w:t>
            </w:r>
          </w:p>
        </w:tc>
      </w:tr>
    </w:tbl>
    <w:p>
      <w:r>
        <w:br w:type="page"/>
      </w:r>
    </w:p>
    <w:p>
      <w:pPr>
        <w:pStyle w:val="Heading1"/>
        <w:spacing w:after="180" w:before="360"/>
      </w:pPr>
      <w:r>
        <w:rPr>
          <w:rFonts w:ascii="Calibri" w:cs="Calibri" w:eastAsia="Calibri" w:hAnsi="Calibri"/>
          <w:b/>
          <w:bCs/>
          <w:sz w:val="32"/>
          <w:szCs w:val="32"/>
        </w:rPr>
        <w:t xml:space="preserve">12. Publication strategy</w:t>
      </w:r>
    </w:p>
    <w:p>
      <w:pPr>
        <w:spacing w:after="120" w:before="0" w:line="300"/>
        <w:jc w:val="both"/>
      </w:pPr>
      <w:r>
        <w:rPr>
          <w:rFonts w:ascii="Calibri" w:cs="Calibri" w:eastAsia="Calibri" w:hAnsi="Calibri"/>
          <w:b w:val="false"/>
          <w:bCs w:val="false"/>
          <w:i w:val="false"/>
          <w:iCs w:val="false"/>
          <w:sz w:val="22"/>
          <w:szCs w:val="22"/>
        </w:rPr>
        <w:t xml:space="preserve">The manuscript will be framed differently depending on the outcome of the pre-specified hypothesis tests. Both framings have been considered before analysis begins, and the target journal choice is pre-committed within each scenario. This prevents post-hoc adjustment of the story to fit the result.</w:t>
      </w:r>
    </w:p>
    <w:p>
      <w:pPr>
        <w:pStyle w:val="Heading2"/>
        <w:spacing w:after="140" w:before="280"/>
      </w:pPr>
      <w:r>
        <w:rPr>
          <w:rFonts w:ascii="Calibri" w:cs="Calibri" w:eastAsia="Calibri" w:hAnsi="Calibri"/>
          <w:b/>
          <w:bCs/>
          <w:sz w:val="26"/>
          <w:szCs w:val="26"/>
        </w:rPr>
        <w:t xml:space="preserve">12.1 Scenario A: H1 supported and H2 supported</w:t>
      </w:r>
    </w:p>
    <w:p>
      <w:pPr>
        <w:spacing w:after="120" w:before="0" w:line="300"/>
        <w:jc w:val="both"/>
      </w:pPr>
      <w:r>
        <w:rPr>
          <w:rFonts w:ascii="Calibri" w:cs="Calibri" w:eastAsia="Calibri" w:hAnsi="Calibri"/>
          <w:b w:val="false"/>
          <w:bCs w:val="false"/>
          <w:i w:val="false"/>
          <w:iCs w:val="false"/>
          <w:sz w:val="22"/>
          <w:szCs w:val="22"/>
        </w:rPr>
        <w:t xml:space="preserve">Interpretation: bulk-level AD-GBM transcriptomic convergence is a composition artifact, and the residual signal reflects genuine overlap between AD-vulnerable neuron identity and GBM neural-lineage-like malignant cell identity. This is the strongest positive finding scenario.</w:t>
      </w:r>
    </w:p>
    <w:p>
      <w:pPr>
        <w:spacing w:after="120" w:before="0" w:line="300"/>
        <w:jc w:val="both"/>
      </w:pPr>
      <w:r>
        <w:rPr>
          <w:rFonts w:ascii="Calibri" w:cs="Calibri" w:eastAsia="Calibri" w:hAnsi="Calibri"/>
          <w:b w:val="false"/>
          <w:bCs w:val="false"/>
          <w:i w:val="false"/>
          <w:iCs w:val="false"/>
          <w:sz w:val="22"/>
          <w:szCs w:val="22"/>
        </w:rPr>
        <w:t xml:space="preserve">Manuscript framing: "Bulk transcriptomic convergence between Alzheimer’s disease and glioblastoma reflects overlap between vulnerable neuron identity and tumour cell neural mimicry: a cell-composition-controlled multi-scale re-evaluation."</w:t>
      </w:r>
    </w:p>
    <w:p>
      <w:pPr>
        <w:spacing w:after="120" w:before="0" w:line="300"/>
        <w:jc w:val="both"/>
      </w:pPr>
      <w:r>
        <w:rPr>
          <w:rFonts w:ascii="Calibri" w:cs="Calibri" w:eastAsia="Calibri" w:hAnsi="Calibri"/>
          <w:b w:val="false"/>
          <w:bCs w:val="false"/>
          <w:i w:val="false"/>
          <w:iCs w:val="false"/>
          <w:sz w:val="22"/>
          <w:szCs w:val="22"/>
        </w:rPr>
        <w:t xml:space="preserve">Target journals in order of preference: (1) Briefings in Bioinformatics; (2) BMC Medical Genomics; (3) NAR Genomics and Bioinformatics.</w:t>
      </w:r>
    </w:p>
    <w:p>
      <w:pPr>
        <w:pStyle w:val="Heading2"/>
        <w:spacing w:after="140" w:before="280"/>
      </w:pPr>
      <w:r>
        <w:rPr>
          <w:rFonts w:ascii="Calibri" w:cs="Calibri" w:eastAsia="Calibri" w:hAnsi="Calibri"/>
          <w:b/>
          <w:bCs/>
          <w:sz w:val="26"/>
          <w:szCs w:val="26"/>
        </w:rPr>
        <w:t xml:space="preserve">12.2 Scenario B: H1 supported, H2 rejected</w:t>
      </w:r>
    </w:p>
    <w:p>
      <w:pPr>
        <w:spacing w:after="120" w:before="0" w:line="300"/>
        <w:jc w:val="both"/>
      </w:pPr>
      <w:r>
        <w:rPr>
          <w:rFonts w:ascii="Calibri" w:cs="Calibri" w:eastAsia="Calibri" w:hAnsi="Calibri"/>
          <w:b w:val="false"/>
          <w:bCs w:val="false"/>
          <w:i w:val="false"/>
          <w:iCs w:val="false"/>
          <w:sz w:val="22"/>
          <w:szCs w:val="22"/>
        </w:rPr>
        <w:t xml:space="preserve">Interpretation: bulk-level AD-GBM convergence is a composition artifact with no cell-type-resolved biological analogue. The neural signature GBM cells express is transcriptionally distinct from the neural signature AD vulnerable neurons lose. This is a strong negative finding with important implications for the AD-cancer inverse comorbidity literature.</w:t>
      </w:r>
    </w:p>
    <w:p>
      <w:pPr>
        <w:spacing w:after="120" w:before="0" w:line="300"/>
        <w:jc w:val="both"/>
      </w:pPr>
      <w:r>
        <w:rPr>
          <w:rFonts w:ascii="Calibri" w:cs="Calibri" w:eastAsia="Calibri" w:hAnsi="Calibri"/>
          <w:b w:val="false"/>
          <w:bCs w:val="false"/>
          <w:i w:val="false"/>
          <w:iCs w:val="false"/>
          <w:sz w:val="22"/>
          <w:szCs w:val="22"/>
        </w:rPr>
        <w:t xml:space="preserve">Manuscript framing: "Reported transcriptomic convergence between Alzheimer’s disease and glioblastoma dissolves under cell-composition control and does not reflect shared neural identity at single-cell resolution: a pre-specified re-evaluation."</w:t>
      </w:r>
    </w:p>
    <w:p>
      <w:pPr>
        <w:spacing w:after="120" w:before="0" w:line="300"/>
        <w:jc w:val="both"/>
      </w:pPr>
      <w:r>
        <w:rPr>
          <w:rFonts w:ascii="Calibri" w:cs="Calibri" w:eastAsia="Calibri" w:hAnsi="Calibri"/>
          <w:b w:val="false"/>
          <w:bCs w:val="false"/>
          <w:i w:val="false"/>
          <w:iCs w:val="false"/>
          <w:sz w:val="22"/>
          <w:szCs w:val="22"/>
        </w:rPr>
        <w:t xml:space="preserve">Target journals in order of preference: (1) Briefings in Bioinformatics; (2) BMC Medical Genomics; (3) BMC Bioinformatics.</w:t>
      </w:r>
    </w:p>
    <w:p>
      <w:pPr>
        <w:pStyle w:val="Heading2"/>
        <w:spacing w:after="140" w:before="280"/>
      </w:pPr>
      <w:r>
        <w:rPr>
          <w:rFonts w:ascii="Calibri" w:cs="Calibri" w:eastAsia="Calibri" w:hAnsi="Calibri"/>
          <w:b/>
          <w:bCs/>
          <w:sz w:val="26"/>
          <w:szCs w:val="26"/>
        </w:rPr>
        <w:t xml:space="preserve">12.3 Scenario C: H1 rejected</w:t>
      </w:r>
    </w:p>
    <w:p>
      <w:pPr>
        <w:spacing w:after="120" w:before="0" w:line="300"/>
        <w:jc w:val="both"/>
      </w:pPr>
      <w:r>
        <w:rPr>
          <w:rFonts w:ascii="Calibri" w:cs="Calibri" w:eastAsia="Calibri" w:hAnsi="Calibri"/>
          <w:b w:val="false"/>
          <w:bCs w:val="false"/>
          <w:i w:val="false"/>
          <w:iCs w:val="false"/>
          <w:sz w:val="22"/>
          <w:szCs w:val="22"/>
        </w:rPr>
        <w:t xml:space="preserve">Interpretation: the primary author’s prior finding does not replicate in a pre-specified, dual-method analysis. This would require careful methodological investigation to identify the source of the discrepancy (e.g., over-fitting in prior analysis, correction procedure sensitivity, differences in software version).</w:t>
      </w:r>
    </w:p>
    <w:p>
      <w:pPr>
        <w:spacing w:after="120" w:before="0" w:line="300"/>
        <w:jc w:val="both"/>
      </w:pPr>
      <w:r>
        <w:rPr>
          <w:rFonts w:ascii="Calibri" w:cs="Calibri" w:eastAsia="Calibri" w:hAnsi="Calibri"/>
          <w:b w:val="false"/>
          <w:bCs w:val="false"/>
          <w:i w:val="false"/>
          <w:iCs w:val="false"/>
          <w:sz w:val="22"/>
          <w:szCs w:val="22"/>
        </w:rPr>
        <w:t xml:space="preserve">Manuscript framing: reserved. If Scenario C arises, the manuscript will report the failure to replicate and its methodological implications, and the H2 test will be conducted and reported for completeness but not treated as primary. Target journals: BMC Bioinformatics or PLOS ONE (both accept sound negative and replication studies).</w:t>
      </w:r>
    </w:p>
    <w:p>
      <w:pPr>
        <w:pStyle w:val="Heading2"/>
        <w:spacing w:after="140" w:before="280"/>
      </w:pPr>
      <w:r>
        <w:rPr>
          <w:rFonts w:ascii="Calibri" w:cs="Calibri" w:eastAsia="Calibri" w:hAnsi="Calibri"/>
          <w:b/>
          <w:bCs/>
          <w:sz w:val="26"/>
          <w:szCs w:val="26"/>
        </w:rPr>
        <w:t xml:space="preserve">12.4 Scenario D: H1 inconclusive or H2 inconclusive</w:t>
      </w:r>
    </w:p>
    <w:p>
      <w:pPr>
        <w:spacing w:after="120" w:before="0" w:line="300"/>
        <w:jc w:val="both"/>
      </w:pPr>
      <w:r>
        <w:rPr>
          <w:rFonts w:ascii="Calibri" w:cs="Calibri" w:eastAsia="Calibri" w:hAnsi="Calibri"/>
          <w:b w:val="false"/>
          <w:bCs w:val="false"/>
          <w:i w:val="false"/>
          <w:iCs w:val="false"/>
          <w:sz w:val="22"/>
          <w:szCs w:val="22"/>
        </w:rPr>
        <w:t xml:space="preserve">Interpretation: the two deconvolution methods disagree (H1 inconclusive) or two of the three convergence tests pass while one fails (H2 inconclusive). Sensitivity analyses (Section 8) will be examined and reported transparently. The manuscript will not force an inconclusive result into a positive or negative claim.</w:t>
      </w:r>
    </w:p>
    <w:p>
      <w:pPr>
        <w:spacing w:after="120" w:before="0" w:line="300"/>
        <w:jc w:val="both"/>
      </w:pPr>
      <w:r>
        <w:rPr>
          <w:rFonts w:ascii="Calibri" w:cs="Calibri" w:eastAsia="Calibri" w:hAnsi="Calibri"/>
          <w:b w:val="false"/>
          <w:bCs w:val="false"/>
          <w:i w:val="false"/>
          <w:iCs w:val="false"/>
          <w:sz w:val="22"/>
          <w:szCs w:val="22"/>
        </w:rPr>
        <w:t xml:space="preserve">Target journals in this scenario: (1) BMC Medical Genomics; (2) BMC Bioinformatics.</w:t>
      </w:r>
    </w:p>
    <w:p>
      <w:r>
        <w:br w:type="page"/>
      </w:r>
    </w:p>
    <w:p>
      <w:pPr>
        <w:pStyle w:val="Heading1"/>
        <w:spacing w:after="180" w:before="360"/>
      </w:pPr>
      <w:r>
        <w:rPr>
          <w:rFonts w:ascii="Calibri" w:cs="Calibri" w:eastAsia="Calibri" w:hAnsi="Calibri"/>
          <w:b/>
          <w:bCs/>
          <w:sz w:val="32"/>
          <w:szCs w:val="32"/>
        </w:rPr>
        <w:t xml:space="preserve">13. Author contributions and conflicts of interest</w:t>
      </w:r>
    </w:p>
    <w:p>
      <w:pPr>
        <w:spacing w:after="120" w:before="0" w:line="300"/>
        <w:jc w:val="both"/>
      </w:pPr>
      <w:r>
        <w:rPr>
          <w:rFonts w:ascii="Calibri" w:cs="Calibri" w:eastAsia="Calibri" w:hAnsi="Calibri"/>
          <w:b w:val="false"/>
          <w:bCs w:val="false"/>
          <w:i w:val="false"/>
          <w:iCs w:val="false"/>
          <w:sz w:val="22"/>
          <w:szCs w:val="22"/>
        </w:rPr>
        <w:t xml:space="preserve">This study will have a single author (Ahmet Karakuş), who will conceive the study, prepare this pre-specified analysis plan, conduct all data acquisition, quality control, statistical analysis, computational implementation, figure production, and manuscript writing.</w:t>
      </w:r>
    </w:p>
    <w:p>
      <w:pPr>
        <w:spacing w:after="120" w:before="0" w:line="300"/>
        <w:jc w:val="both"/>
      </w:pPr>
      <w:r>
        <w:rPr>
          <w:rFonts w:ascii="Calibri" w:cs="Calibri" w:eastAsia="Calibri" w:hAnsi="Calibri"/>
          <w:b w:val="false"/>
          <w:bCs w:val="false"/>
          <w:i w:val="false"/>
          <w:iCs w:val="false"/>
          <w:sz w:val="22"/>
          <w:szCs w:val="22"/>
        </w:rPr>
        <w:t xml:space="preserve">The author declares no conflicts of interest. This research receives no external funding.</w:t>
      </w:r>
    </w:p>
    <w:p>
      <w:pPr>
        <w:spacing w:after="120" w:before="0" w:line="300"/>
        <w:jc w:val="both"/>
      </w:pPr>
      <w:r>
        <w:rPr>
          <w:rFonts w:ascii="Calibri" w:cs="Calibri" w:eastAsia="Calibri" w:hAnsi="Calibri"/>
          <w:b w:val="false"/>
          <w:bCs w:val="false"/>
          <w:i w:val="false"/>
          <w:iCs w:val="false"/>
          <w:sz w:val="22"/>
          <w:szCs w:val="22"/>
        </w:rPr>
        <w:t xml:space="preserve">The author acknowledges the depositors of all datasets used in this study and the platform providers (Gene Expression Omnibus, UCSC Xena, Broad Single Cell Portal, AMP-AD Synapse where applicable).</w:t>
      </w:r>
    </w:p>
    <w:p>
      <w:pPr>
        <w:pStyle w:val="Heading2"/>
        <w:spacing w:after="140" w:before="280"/>
      </w:pPr>
      <w:r>
        <w:rPr>
          <w:rFonts w:ascii="Calibri" w:cs="Calibri" w:eastAsia="Calibri" w:hAnsi="Calibri"/>
          <w:b/>
          <w:bCs/>
          <w:sz w:val="26"/>
          <w:szCs w:val="26"/>
        </w:rPr>
        <w:t xml:space="preserve">AI assistance disclosure</w:t>
      </w:r>
    </w:p>
    <w:p>
      <w:pPr>
        <w:spacing w:after="120" w:before="0" w:line="300"/>
        <w:jc w:val="both"/>
      </w:pPr>
      <w:r>
        <w:rPr>
          <w:rFonts w:ascii="Calibri" w:cs="Calibri" w:eastAsia="Calibri" w:hAnsi="Calibri"/>
          <w:b w:val="false"/>
          <w:bCs w:val="false"/>
          <w:i w:val="false"/>
          <w:iCs w:val="false"/>
          <w:sz w:val="22"/>
          <w:szCs w:val="22"/>
        </w:rPr>
        <w:t xml:space="preserve">This pre-specified analysis plan was prepared with language and structural assistance from an AI assistant (Anthropic Claude). The scientific content, hypotheses, analytical decisions, statistical thresholds, and publication strategy are the responsibility of the author. The author reviewed and approves all content of this plan. The final manuscript will include an equivalent disclosure.</w:t>
      </w:r>
    </w:p>
    <w:p>
      <w:r>
        <w:br w:type="page"/>
      </w:r>
    </w:p>
    <w:p>
      <w:pPr>
        <w:pStyle w:val="Heading1"/>
        <w:spacing w:after="180" w:before="360"/>
      </w:pPr>
      <w:r>
        <w:rPr>
          <w:rFonts w:ascii="Calibri" w:cs="Calibri" w:eastAsia="Calibri" w:hAnsi="Calibri"/>
          <w:b/>
          <w:bCs/>
          <w:sz w:val="32"/>
          <w:szCs w:val="32"/>
        </w:rPr>
        <w:t xml:space="preserve">14. Key references</w:t>
      </w:r>
    </w:p>
    <w:p>
      <w:pPr>
        <w:spacing w:after="100" w:line="260"/>
        <w:ind w:left="400" w:hanging="400"/>
        <w:jc w:val="both"/>
      </w:pPr>
      <w:r>
        <w:rPr>
          <w:rFonts w:ascii="Calibri" w:cs="Calibri" w:eastAsia="Calibri" w:hAnsi="Calibri"/>
          <w:sz w:val="20"/>
          <w:szCs w:val="20"/>
        </w:rPr>
        <w:t xml:space="preserve">Berchtold NC, Sabbagh MN, Beach TG, Kim RC, Cribbs DH, Cotman CW. Brain gene expression patterns differentiate mild cognitive impairment from normal aged and Alzheimer’s disease. Neurobiology of Aging 2014; 35(9): 1961–1972.</w:t>
      </w:r>
    </w:p>
    <w:p>
      <w:pPr>
        <w:spacing w:after="100" w:line="260"/>
        <w:ind w:left="400" w:hanging="400"/>
        <w:jc w:val="both"/>
      </w:pPr>
      <w:r>
        <w:rPr>
          <w:rFonts w:ascii="Calibri" w:cs="Calibri" w:eastAsia="Calibri" w:hAnsi="Calibri"/>
          <w:sz w:val="20"/>
          <w:szCs w:val="20"/>
        </w:rPr>
        <w:t xml:space="preserve">Cahill KM, Huo Z, Tseng GC, Logan RW, Seney ML. Improved identification of concordant and discordant gene expression signatures using an updated rank-rank hypergeometric overlap approach. Scientific Reports 2018; 8: 9588.</w:t>
      </w:r>
    </w:p>
    <w:p>
      <w:pPr>
        <w:spacing w:after="100" w:line="260"/>
        <w:ind w:left="400" w:hanging="400"/>
        <w:jc w:val="both"/>
      </w:pPr>
      <w:r>
        <w:rPr>
          <w:rFonts w:ascii="Calibri" w:cs="Calibri" w:eastAsia="Calibri" w:hAnsi="Calibri"/>
          <w:sz w:val="20"/>
          <w:szCs w:val="20"/>
        </w:rPr>
        <w:t xml:space="preserve">Cai J, Ye L, Hu Y, et al. Exploring the inverse association of glioblastoma multiforme and Alzheimer’s disease via bioinformatics analysis. Medical Oncology 2022; 39: 182.</w:t>
      </w:r>
    </w:p>
    <w:p>
      <w:pPr>
        <w:spacing w:after="100" w:line="260"/>
        <w:ind w:left="400" w:hanging="400"/>
        <w:jc w:val="both"/>
      </w:pPr>
      <w:r>
        <w:rPr>
          <w:rFonts w:ascii="Calibri" w:cs="Calibri" w:eastAsia="Calibri" w:hAnsi="Calibri"/>
          <w:sz w:val="20"/>
          <w:szCs w:val="20"/>
        </w:rPr>
        <w:t xml:space="preserve">Catalá-López F, Suárez-Pinilla M, Suárez-Pinilla P, et al. Inverse and direct cancer comorbidity in people with central nervous system disorders. Psychotherapy and Psychosomatics 2014; 83: 89–105.</w:t>
      </w:r>
    </w:p>
    <w:p>
      <w:pPr>
        <w:spacing w:after="100" w:line="260"/>
        <w:ind w:left="400" w:hanging="400"/>
        <w:jc w:val="both"/>
      </w:pPr>
      <w:r>
        <w:rPr>
          <w:rFonts w:ascii="Calibri" w:cs="Calibri" w:eastAsia="Calibri" w:hAnsi="Calibri"/>
          <w:sz w:val="20"/>
          <w:szCs w:val="20"/>
        </w:rPr>
        <w:t xml:space="preserve">Driver JA, Beiser A, Au R, et al. Inverse association between cancer and Alzheimer’s disease: results from the Framingham Heart Study. BMJ 2012; 344: e1442.</w:t>
      </w:r>
    </w:p>
    <w:p>
      <w:pPr>
        <w:spacing w:after="100" w:line="260"/>
        <w:ind w:left="400" w:hanging="400"/>
        <w:jc w:val="both"/>
      </w:pPr>
      <w:r>
        <w:rPr>
          <w:rFonts w:ascii="Calibri" w:cs="Calibri" w:eastAsia="Calibri" w:hAnsi="Calibri"/>
          <w:sz w:val="20"/>
          <w:szCs w:val="20"/>
        </w:rPr>
        <w:t xml:space="preserve">Forés-Martos J, Boullosa C, Rodrigo-Domínguez D, et al. Transcriptomic and genetic associations between Alzheimer’s disease, Parkinson’s disease, and cancer. Cancers 2021; 13(12): 2990.</w:t>
      </w:r>
    </w:p>
    <w:p>
      <w:pPr>
        <w:spacing w:after="100" w:line="260"/>
        <w:ind w:left="400" w:hanging="400"/>
        <w:jc w:val="both"/>
      </w:pPr>
      <w:r>
        <w:rPr>
          <w:rFonts w:ascii="Calibri" w:cs="Calibri" w:eastAsia="Calibri" w:hAnsi="Calibri"/>
          <w:sz w:val="20"/>
          <w:szCs w:val="20"/>
        </w:rPr>
        <w:t xml:space="preserve">Green GS, Fujita M, Yang HS, et al. Cellular communities reveal trajectories of brain ageing and Alzheimer’s disease. Nature 2024; 633: 634–645.</w:t>
      </w:r>
    </w:p>
    <w:p>
      <w:pPr>
        <w:spacing w:after="100" w:line="260"/>
        <w:ind w:left="400" w:hanging="400"/>
        <w:jc w:val="both"/>
      </w:pPr>
      <w:r>
        <w:rPr>
          <w:rFonts w:ascii="Calibri" w:cs="Calibri" w:eastAsia="Calibri" w:hAnsi="Calibri"/>
          <w:sz w:val="20"/>
          <w:szCs w:val="20"/>
        </w:rPr>
        <w:t xml:space="preserve">Grubman A, Chew G, Ouyang JF, et al. A single-cell atlas of entorhinal cortex from individuals with Alzheimer’s disease. Nature Neuroscience 2019; 22: 2087–2097.</w:t>
      </w:r>
    </w:p>
    <w:p>
      <w:pPr>
        <w:spacing w:after="100" w:line="260"/>
        <w:ind w:left="400" w:hanging="400"/>
        <w:jc w:val="both"/>
      </w:pPr>
      <w:r>
        <w:rPr>
          <w:rFonts w:ascii="Calibri" w:cs="Calibri" w:eastAsia="Calibri" w:hAnsi="Calibri"/>
          <w:sz w:val="20"/>
          <w:szCs w:val="20"/>
        </w:rPr>
        <w:t xml:space="preserve">Hao Y, Stuart T, Kowalski MH, et al. Dictionary learning for integrative, multimodal and scalable single-cell analysis. Nature Biotechnology 2024; 42: 293–304.</w:t>
      </w:r>
    </w:p>
    <w:p>
      <w:pPr>
        <w:spacing w:after="100" w:line="260"/>
        <w:ind w:left="400" w:hanging="400"/>
        <w:jc w:val="both"/>
      </w:pPr>
      <w:r>
        <w:rPr>
          <w:rFonts w:ascii="Calibri" w:cs="Calibri" w:eastAsia="Calibri" w:hAnsi="Calibri"/>
          <w:sz w:val="20"/>
          <w:szCs w:val="20"/>
        </w:rPr>
        <w:t xml:space="preserve">Hokama M, Oka S, Leon J, et al. Altered expression of diabetes-related genes in Alzheimer’s disease brains: the Hisayama study. Cerebral Cortex 2014; 24: 2476–2488.</w:t>
      </w:r>
    </w:p>
    <w:p>
      <w:pPr>
        <w:spacing w:after="100" w:line="260"/>
        <w:ind w:left="400" w:hanging="400"/>
        <w:jc w:val="both"/>
      </w:pPr>
      <w:r>
        <w:rPr>
          <w:rFonts w:ascii="Calibri" w:cs="Calibri" w:eastAsia="Calibri" w:hAnsi="Calibri"/>
          <w:sz w:val="20"/>
          <w:szCs w:val="20"/>
        </w:rPr>
        <w:t xml:space="preserve">Ibáñez K, Boullosa C, Tabarés-Seisdedos R, Baudot A, Valencia A. Molecular evidence for the inverse comorbidity between central nervous system disorders and cancers. PLoS Genetics 2014; 10: e1004173.</w:t>
      </w:r>
    </w:p>
    <w:p>
      <w:pPr>
        <w:spacing w:after="100" w:line="260"/>
        <w:ind w:left="400" w:hanging="400"/>
        <w:jc w:val="both"/>
      </w:pPr>
      <w:r>
        <w:rPr>
          <w:rFonts w:ascii="Calibri" w:cs="Calibri" w:eastAsia="Calibri" w:hAnsi="Calibri"/>
          <w:sz w:val="20"/>
          <w:szCs w:val="20"/>
        </w:rPr>
        <w:t xml:space="preserve">Krishna S, Choudhury A, Keough MB, et al. Glioblastoma remodelling of human neural circuits decreases survival. Nature 2023; 617: 599–607.</w:t>
      </w:r>
    </w:p>
    <w:p>
      <w:pPr>
        <w:spacing w:after="100" w:line="260"/>
        <w:ind w:left="400" w:hanging="400"/>
        <w:jc w:val="both"/>
      </w:pPr>
      <w:r>
        <w:rPr>
          <w:rFonts w:ascii="Calibri" w:cs="Calibri" w:eastAsia="Calibri" w:hAnsi="Calibri"/>
          <w:sz w:val="20"/>
          <w:szCs w:val="20"/>
        </w:rPr>
        <w:t xml:space="preserve">Leek JT, Johnson WE, Parker HS, Jaffe AE, Storey JD. The sva package for removing batch effects. Bioinformatics 2012; 28: 882–883.</w:t>
      </w:r>
    </w:p>
    <w:p>
      <w:pPr>
        <w:spacing w:after="100" w:line="260"/>
        <w:ind w:left="400" w:hanging="400"/>
        <w:jc w:val="both"/>
      </w:pPr>
      <w:r>
        <w:rPr>
          <w:rFonts w:ascii="Calibri" w:cs="Calibri" w:eastAsia="Calibri" w:hAnsi="Calibri"/>
          <w:sz w:val="20"/>
          <w:szCs w:val="20"/>
        </w:rPr>
        <w:t xml:space="preserve">Leng K, Li E, Eser R, et al. Molecular characterization of selectively vulnerable neurons in Alzheimer’s disease. Nature Neuroscience 2021; 24: 276–287.</w:t>
      </w:r>
    </w:p>
    <w:p>
      <w:pPr>
        <w:spacing w:after="100" w:line="260"/>
        <w:ind w:left="400" w:hanging="400"/>
        <w:jc w:val="both"/>
      </w:pPr>
      <w:r>
        <w:rPr>
          <w:rFonts w:ascii="Calibri" w:cs="Calibri" w:eastAsia="Calibri" w:hAnsi="Calibri"/>
          <w:sz w:val="20"/>
          <w:szCs w:val="20"/>
        </w:rPr>
        <w:t xml:space="preserve">McKenzie AT, Wang M, Hauberg ME, et al. Brain cell type specific gene expression and co-expression network architectures. Scientific Reports 2018; 8: 8868.</w:t>
      </w:r>
    </w:p>
    <w:p>
      <w:pPr>
        <w:spacing w:after="100" w:line="260"/>
        <w:ind w:left="400" w:hanging="400"/>
        <w:jc w:val="both"/>
      </w:pPr>
      <w:r>
        <w:rPr>
          <w:rFonts w:ascii="Calibri" w:cs="Calibri" w:eastAsia="Calibri" w:hAnsi="Calibri"/>
          <w:sz w:val="20"/>
          <w:szCs w:val="20"/>
        </w:rPr>
        <w:t xml:space="preserve">Musicco M, Adorni F, Di Santo S, et al. Inverse occurrence of cancer and Alzheimer disease. Neurology 2013; 81: 322–328.</w:t>
      </w:r>
    </w:p>
    <w:p>
      <w:pPr>
        <w:spacing w:after="100" w:line="260"/>
        <w:ind w:left="400" w:hanging="400"/>
        <w:jc w:val="both"/>
      </w:pPr>
      <w:r>
        <w:rPr>
          <w:rFonts w:ascii="Calibri" w:cs="Calibri" w:eastAsia="Calibri" w:hAnsi="Calibri"/>
          <w:sz w:val="20"/>
          <w:szCs w:val="20"/>
        </w:rPr>
        <w:t xml:space="preserve">Neftel C, Laffy J, Filbin MG, et al. An integrative model of cellular states, plasticity, and genetics for glioblastoma. Cell 2019; 178: 835–849.e21.</w:t>
      </w:r>
    </w:p>
    <w:p>
      <w:pPr>
        <w:spacing w:after="100" w:line="260"/>
        <w:ind w:left="400" w:hanging="400"/>
        <w:jc w:val="both"/>
      </w:pPr>
      <w:r>
        <w:rPr>
          <w:rFonts w:ascii="Calibri" w:cs="Calibri" w:eastAsia="Calibri" w:hAnsi="Calibri"/>
          <w:sz w:val="20"/>
          <w:szCs w:val="20"/>
        </w:rPr>
        <w:t xml:space="preserve">Otero-Garcia M, Mahajani SU, Wakhloo D, et al. Molecular signatures underlying neurofibrillary tangle susceptibility in Alzheimer’s disease. Neuron 2022; 110: 2929–2948.e8.</w:t>
      </w:r>
    </w:p>
    <w:p>
      <w:pPr>
        <w:spacing w:after="100" w:line="260"/>
        <w:ind w:left="400" w:hanging="400"/>
        <w:jc w:val="both"/>
      </w:pPr>
      <w:r>
        <w:rPr>
          <w:rFonts w:ascii="Calibri" w:cs="Calibri" w:eastAsia="Calibri" w:hAnsi="Calibri"/>
          <w:sz w:val="20"/>
          <w:szCs w:val="20"/>
        </w:rPr>
        <w:t xml:space="preserve">Robinson MD, McCarthy DJ, Smyth GK. edgeR: a Bioconductor package for differential expression analysis of digital gene expression data. Bioinformatics 2010; 26: 139–140.</w:t>
      </w:r>
    </w:p>
    <w:p>
      <w:pPr>
        <w:spacing w:after="100" w:line="260"/>
        <w:ind w:left="400" w:hanging="400"/>
        <w:jc w:val="both"/>
      </w:pPr>
      <w:r>
        <w:rPr>
          <w:rFonts w:ascii="Calibri" w:cs="Calibri" w:eastAsia="Calibri" w:hAnsi="Calibri"/>
          <w:sz w:val="20"/>
          <w:szCs w:val="20"/>
        </w:rPr>
        <w:t xml:space="preserve">Suvà ML, Rheinbay E, Gillespie SM, et al. Reconstructing and reprogramming the tumour-propagating potential of glioblastoma stem-like cells. Cell 2014; 157: 580–594.</w:t>
      </w:r>
    </w:p>
    <w:p>
      <w:pPr>
        <w:spacing w:after="100" w:line="260"/>
        <w:ind w:left="400" w:hanging="400"/>
        <w:jc w:val="both"/>
      </w:pPr>
      <w:r>
        <w:rPr>
          <w:rFonts w:ascii="Calibri" w:cs="Calibri" w:eastAsia="Calibri" w:hAnsi="Calibri"/>
          <w:sz w:val="20"/>
          <w:szCs w:val="20"/>
        </w:rPr>
        <w:t xml:space="preserve">Taylor KR, Barron T, Hui A, et al. Glioma synapses recruit mechanisms of adaptive plasticity. Nature 2023; 623: 366–374.</w:t>
      </w:r>
    </w:p>
    <w:p>
      <w:pPr>
        <w:spacing w:after="100" w:line="260"/>
        <w:ind w:left="400" w:hanging="400"/>
        <w:jc w:val="both"/>
      </w:pPr>
      <w:r>
        <w:rPr>
          <w:rFonts w:ascii="Calibri" w:cs="Calibri" w:eastAsia="Calibri" w:hAnsi="Calibri"/>
          <w:sz w:val="20"/>
          <w:szCs w:val="20"/>
        </w:rPr>
        <w:t xml:space="preserve">Vander Heiden MG, Cantley LC, Thompson CB. Understanding the Warburg effect: the metabolic requirements of cell proliferation. Science 2009; 324: 1029–1033.</w:t>
      </w:r>
    </w:p>
    <w:p>
      <w:pPr>
        <w:spacing w:after="100" w:line="260"/>
        <w:ind w:left="400" w:hanging="400"/>
        <w:jc w:val="both"/>
      </w:pPr>
      <w:r>
        <w:rPr>
          <w:rFonts w:ascii="Calibri" w:cs="Calibri" w:eastAsia="Calibri" w:hAnsi="Calibri"/>
          <w:sz w:val="20"/>
          <w:szCs w:val="20"/>
        </w:rPr>
        <w:t xml:space="preserve">Venkataramani V, Tanev DI, Strahle C, et al. Glutamatergic synaptic input to glioma cells drives brain tumour progression. Nature 2019; 573: 532–538.</w:t>
      </w:r>
    </w:p>
    <w:p>
      <w:pPr>
        <w:spacing w:after="100" w:line="260"/>
        <w:ind w:left="400" w:hanging="400"/>
        <w:jc w:val="both"/>
      </w:pPr>
      <w:r>
        <w:rPr>
          <w:rFonts w:ascii="Calibri" w:cs="Calibri" w:eastAsia="Calibri" w:hAnsi="Calibri"/>
          <w:sz w:val="20"/>
          <w:szCs w:val="20"/>
        </w:rPr>
        <w:t xml:space="preserve">Venkatesh HS, Morishita W, Geraghty AC, et al. Electrical and synaptic integration of glioma into neural circuits. Nature 2019; 573: 539–545.</w:t>
      </w:r>
    </w:p>
    <w:p>
      <w:pPr>
        <w:spacing w:after="100" w:line="260"/>
        <w:ind w:left="400" w:hanging="400"/>
        <w:jc w:val="both"/>
      </w:pPr>
      <w:r>
        <w:rPr>
          <w:rFonts w:ascii="Calibri" w:cs="Calibri" w:eastAsia="Calibri" w:hAnsi="Calibri"/>
          <w:sz w:val="20"/>
          <w:szCs w:val="20"/>
        </w:rPr>
        <w:t xml:space="preserve">Vivian J, Rao AA, Nothaft FA, et al. Toil enables reproducible, open source, big biomedical data analyses. Nature Biotechnology 2017; 35: 314–316.</w:t>
      </w:r>
    </w:p>
    <w:p>
      <w:pPr>
        <w:spacing w:after="100" w:line="260"/>
        <w:ind w:left="400" w:hanging="400"/>
        <w:jc w:val="both"/>
      </w:pPr>
      <w:r>
        <w:rPr>
          <w:rFonts w:ascii="Calibri" w:cs="Calibri" w:eastAsia="Calibri" w:hAnsi="Calibri"/>
          <w:sz w:val="20"/>
          <w:szCs w:val="20"/>
        </w:rPr>
        <w:t xml:space="preserve">Wang J, Roeder K, Devlin B. Bayesian estimation of cell-type-specific gene expression per bulk sample with prior derived from single-cell data. Genome Research 2021; 31: 1807–1818.</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Analysis Plan v1.0 — Karakuş — 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Pre-specified Analysis Plan - AD-GBM Cell-Composition Study</dc:title>
  <dc:creator>Ahmet Karakus</dc:creator>
  <cp:lastModifiedBy>Un-named</cp:lastModifiedBy>
  <cp:revision>1</cp:revision>
  <dcterms:created xsi:type="dcterms:W3CDTF">2026-09-20T13:32:17.465Z</dcterms:created>
  <dcterms:modified xsi:type="dcterms:W3CDTF">2026-09-20T13:32:17.465Z</dcterms:modified>
</cp:coreProperties>
</file>

<file path=docProps/custom.xml><?xml version="1.0" encoding="utf-8"?>
<Properties xmlns="http://schemas.openxmlformats.org/officeDocument/2006/custom-properties" xmlns:vt="http://schemas.openxmlformats.org/officeDocument/2006/docPropsVTypes"/>
</file>