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discussion-draft"/>
    <w:p>
      <w:pPr>
        <w:pStyle w:val="Heading1"/>
      </w:pPr>
      <w:r>
        <w:t xml:space="preserve">Discussion — Draft</w:t>
      </w:r>
    </w:p>
    <w:p>
      <w:pPr>
        <w:pStyle w:val="FirstParagraph"/>
      </w:pPr>
      <w:r>
        <w:rPr>
          <w:b/>
          <w:bCs/>
        </w:rPr>
        <w:t xml:space="preserve">Manuscript:</w:t>
      </w:r>
      <w:r>
        <w:t xml:space="preserve"> </w:t>
      </w:r>
      <w:r>
        <w:t xml:space="preserve">Cross-disease transcriptomic convergence of Alzheimer’s disease and glioblastoma</w:t>
      </w:r>
      <w:r>
        <w:t xml:space="preserve"> </w:t>
      </w:r>
      <w:r>
        <w:rPr>
          <w:b/>
          <w:bCs/>
        </w:rPr>
        <w:t xml:space="preserve">Author:</w:t>
      </w:r>
      <w:r>
        <w:t xml:space="preserve"> </w:t>
      </w:r>
      <w:r>
        <w:t xml:space="preserve">Ahmet Karakuş, Bartın Üniversitesi</w:t>
      </w:r>
      <w:r>
        <w:t xml:space="preserve"> </w:t>
      </w:r>
      <w:r>
        <w:rPr>
          <w:b/>
          <w:bCs/>
        </w:rPr>
        <w:t xml:space="preserve">Language:</w:t>
      </w:r>
      <w:r>
        <w:t xml:space="preserve"> </w:t>
      </w:r>
      <w:r>
        <w:t xml:space="preserve">Turkish (draft), edilgen ağırlıklı akademik üslup</w:t>
      </w:r>
      <w:r>
        <w:t xml:space="preserve"> </w:t>
      </w:r>
      <w:r>
        <w:rPr>
          <w:b/>
          <w:bCs/>
        </w:rPr>
        <w:t xml:space="preserve">Started:</w:t>
      </w:r>
      <w:r>
        <w:t xml:space="preserve"> </w:t>
      </w:r>
      <w:r>
        <w:t xml:space="preserve">2026-09-23 evening</w:t>
      </w:r>
      <w:r>
        <w:t xml:space="preserve"> </w:t>
      </w:r>
      <w:r>
        <w:rPr>
          <w:b/>
          <w:bCs/>
        </w:rPr>
        <w:t xml:space="preserve">Status:</w:t>
      </w:r>
      <w:r>
        <w:t xml:space="preserve"> </w:t>
      </w:r>
      <w:r>
        <w:t xml:space="preserve">In progress — 1/4 sections</w:t>
      </w:r>
    </w:p>
    <w:p>
      <w:r>
        <w:pict>
          <v:rect style="width:0;height:1.5pt" o:hralign="center" o:hrstd="t" o:hr="t"/>
        </w:pict>
      </w:r>
    </w:p>
    <w:bookmarkStart w:id="9" w:name="ana-bulgular"/>
    <w:p>
      <w:pPr>
        <w:pStyle w:val="Heading2"/>
      </w:pPr>
      <w:r>
        <w:t xml:space="preserve">4.1 Ana bulgular</w:t>
      </w:r>
    </w:p>
    <w:p>
      <w:pPr>
        <w:pStyle w:val="FirstParagraph"/>
      </w:pPr>
      <w:r>
        <w:t xml:space="preserve">Bu çalışmanın temel amacı, Alzheimer hastalığı (AH) ve glioblastoma multiforme (GBM) arasındaki tek hücre transkripsiyonel yakınsamayı önceden belirlenmiş hipotezler altında sistematik olarak sınamaktı. Çalışma, dört aşamalı bir çerçevede yürütüldü ve üç ana bulgu ortaya çıktı. İlk olarak, önceden formüle edilen klasik yakınsama hipotezi (H2 — AH savunmasız nöron kaybı ile GBM nöral-taklit kazanımı arasında paylaşılan transkripsiyonel eksen) önceden belirlenmiş 2/3 karar kuralı çerçevesinde formal olarak reddedildi; bu red, bilimsel şeffaflığın bir gereği olarak açıkça raporlanmakta ve DEVIATIONS belgesinde kayıt altına alınmıştır. İkinci olarak, RRHO2 heatmap’inde gözlenen yerel sinyalin post-hoc dört-çeyrek analizi, önceden hipotezlenmemiş bir yakınsama eksenini ortaya çıkardı: her iki hastalıkta da aşağı-regüle olan 20 genlik DD imzası (BH-P = 3.1×10⁻³). Üçüncü olarak, DD imzası bağımsız bulk RNA-seq kohortlarında güçlü doğrulama gösterdi — GSE125583’te Braak evresi ile doz-yanıt ilişkisi (Wilcoxon p = 1.3×10⁻⁵) ve TCGA-GBM ile GTEx korteks karşılaştırmasında iki hastalık logFC değerleri arasında güçlü sıralama uyumu (Spearman ρ = 0.713, p = 4.2×10⁻⁴). Kritik olarak, bu 20 genin gen-seviyesinde ayrıştırılması, tek bir homojen</w:t>
      </w:r>
      <w:r>
        <w:t xml:space="preserve"> </w:t>
      </w:r>
      <w:r>
        <w:t xml:space="preserve">‘her ikisinde de aşağı’</w:t>
      </w:r>
      <w:r>
        <w:t xml:space="preserve"> </w:t>
      </w:r>
      <w:r>
        <w:t xml:space="preserve">örüntüden ziyade üç ayrı biyolojik ekseni — paylaşılan nöronal kimlik kaybı, paylaşılan stres/hipoksi yanıtı ve tümöre özgü metabolik-proliferatif regülasyon — açığa çıkardı.</w:t>
      </w:r>
    </w:p>
    <w:p>
      <w:r>
        <w:pict>
          <v:rect style="width:0;height:1.5pt" o:hralign="center" o:hrstd="t" o:hr="t"/>
        </w:pict>
      </w:r>
    </w:p>
    <w:bookmarkEnd w:id="9"/>
    <w:bookmarkStart w:id="13" w:name="bulguların-biyolojik-yorumu"/>
    <w:p>
      <w:pPr>
        <w:pStyle w:val="Heading2"/>
      </w:pPr>
      <w:r>
        <w:t xml:space="preserve">4.2 Bulguların biyolojik yorumu</w:t>
      </w:r>
    </w:p>
    <w:bookmarkStart w:id="10" w:name="paylaşılan-nöronal-kimlik-kaybı-ekseni"/>
    <w:p>
      <w:pPr>
        <w:pStyle w:val="Heading3"/>
      </w:pPr>
      <w:r>
        <w:t xml:space="preserve">4.2.1 Paylaşılan nöronal kimlik kaybı ekseni</w:t>
      </w:r>
    </w:p>
    <w:p>
      <w:pPr>
        <w:pStyle w:val="FirstParagraph"/>
      </w:pPr>
      <w:r>
        <w:t xml:space="preserve">DD imzasında tanımlanan altı gen — BAIAP2, IDS, NRN1, OLFM1, PNMA2 ve SLC2A3 — her iki hastalıkta belirgin biçimde aşağı-regüle olmuş ve tutarlı bir örüntü sergilemiştir. Bu genler işlevsel olarak birbirinden bağımsız gibi görünse de ortak bir izin altında değerlendirildiğinde, olgun kortikal nöron kimliğinin bileşenlerine karşılık gelmektedir. NRN1 (neuritin-1), aktiviteye bağımlı bir gen olup sinaptik büyüme ve nöronal olgunlaşmayı düzenler; AH’de savunmasız nöronlarda azalışı Mathys ve arkadaşları⁵ tarafından da bildirilmiştir. OLFM1 (olfactomedin-1), aksonal büyüme konisi organizasyonunda görev alan bir salgılanmış glikoprotein olup nöronal ağ olgunlaşmasında rol oynar. BAIAP2 (BAI1-associated protein 2, IRSp53), dendritik omurga morfolojisinde kritik bir düzenleyicidir ve düzeylerinin azalması sinaptik yapı kaybıyla ilişkilendirilmiştir. PNMA2 (paraneoplastic antigen Ma2), nöronal olarak eksprese edilen ve otoimmün nörolojik sendromlarda antikor hedefi olan bir gendir. SLC2A3 (GLUT3), primer nöronal glukoz taşıyıcısıdır ve düzeylerinin azalması nöronal enerji temininde bozulmayı yansıtabilir. Son olarak IDS (iduronat-2-sülfataz), lizozomal bir enzim olup eksikliği Hunter sendromunda (mukopolisakkaridoz tip II) nörodejenerasyona yol açar; bu ilişki, IDS düşüşünün lizozomal disfonksiyon üzerinden nöronal kırılganlığa katkı sunabileceğini düşündürmektedir. Toplu olarak bu altı gen, sinaptik yapı, aksonal olgunlaşma, nöronal enerji temini ve lizozomal işlev olmak üzere olgun nöronal fenotipin dört ayrı boyutunun paylaşılan bir eksende aşağıya doğru kaydığını göstermektedir.</w:t>
      </w:r>
    </w:p>
    <w:p>
      <w:pPr>
        <w:pStyle w:val="BodyText"/>
      </w:pPr>
      <w:r>
        <w:t xml:space="preserve">Bu bulgu, AH’de savunmasız RORB+ eksitatör nöronlarda gözlenen nöronal olgunlaşma kaybı ile GBM’de neural-lineage benzeri hücrelerin olgun-fenotip kaybı arasında beklenmedik bir örtüşmeye işaret etmektedir. Ancak dikkat edilmesi gereken önemli bir yorum farkı vardır: AH’de bu genlerin azalışı savunmasız hücrelerin kaybını veya bu genlerin hastalık sürecinde ikincil olarak baskılanmasını yansıtır; GBM’de ise malign hücrelerin gelişimsel olarak daha immatür durumlara kayışını temsil eder. İki hastalık mekanistik olarak farklı süreçlerden geçmekte, fakat sonuç olarak aynı olgun nöronal kimlik programı benzer bir azalış örüntüsü sergilemektedir. Bu tür</w:t>
      </w:r>
      <w:r>
        <w:t xml:space="preserve"> </w:t>
      </w:r>
      <w:r>
        <w:t xml:space="preserve">‘farklı yollardan aynı sonuca’</w:t>
      </w:r>
      <w:r>
        <w:t xml:space="preserve"> </w:t>
      </w:r>
      <w:r>
        <w:t xml:space="preserve">konvansiyonu, sistem biyolojisinde nadir değildir ve son yıllarda cross-disease transkriptomik analizlerde giderek daha fazla tanımlanmaktadır [VERIFY: recent cross-disease convergence reviews].</w:t>
      </w:r>
    </w:p>
    <w:bookmarkEnd w:id="10"/>
    <w:bookmarkStart w:id="11" w:name="paylaşılan-streshipoksi-yanıtı-ekseni"/>
    <w:p>
      <w:pPr>
        <w:pStyle w:val="Heading3"/>
      </w:pPr>
      <w:r>
        <w:t xml:space="preserve">4.2.2 Paylaşılan stres/hipoksi yanıtı ekseni</w:t>
      </w:r>
    </w:p>
    <w:p>
      <w:pPr>
        <w:pStyle w:val="FirstParagraph"/>
      </w:pPr>
      <w:r>
        <w:t xml:space="preserve">DD imzasında ikinci alt-küme — CEBPD, FLNA, JUNB, PER1, PFKFB3 ve ZFP36L1 — her iki hastalıkta yukarı-regüle olarak öne çıkmıştır ve pathway zenginleştirme sonuçlarıyla birleşince manuscript’in en özgün bulgusu olarak konumlanmaktadır. Bu altı gen, tek başına değerlendirildiğinde farklı işlevsel ailelere ait görünmektedir: JUNB ve CEBPD immediate-early transkripsiyon faktörleri, PER1 sirkadiyen ritim düzenleyicisi, ZFP36L1 mRNA stabilizasyon düzenleyicisi (bir tristetraprolin ailesi üyesi), FLNA (filamin-A) sitiskelet stres yeniden düzenleyicisi ve PFKFB3 hipoksi-indüklenebilir glikoliz enzimidir. Ancak KEGG yolak analizi bu genleri HIF-1 (p=0.041) ve AMPK (p=0.049) sinyal yolaklarına eşlemiş; bu iki yolağın birlikte zenginleşmesi hücresel enerji dengesi bozukluğu ve hipoksik/oksidatif stres uyum yanıtının çekirdek bir mekanizma olarak öne çıktığına işaret etmektedir.</w:t>
      </w:r>
    </w:p>
    <w:p>
      <w:pPr>
        <w:pStyle w:val="BodyText"/>
      </w:pPr>
      <w:r>
        <w:t xml:space="preserve">Bu eksenin AH ve GBM’i paylaşılan bir kırılganlık programı çerçevesinde birleştirmesi biyolojik olarak akla yatkın olmakla birlikte literatürde henüz sistematik olarak vurgulanmamıştır. AH tarafında, kortikal hipoperfüzyon ve mitokondriyal disfonksiyon yerleşik patojenik unsurlardır; PFKFB3’ün AH nöronlarında glikolitik kayma ve nörotoksisite ile ilişkilendirildiği bildirilmiştir [VERIFY: PFKFB3 in AD, likely Herrero-Mendez et al. or Rodriguez-Rodriguez et al.]. GBM tarafında ise HIF-1 ekseni tümör-içi hipoksik nişlerde kök-hücre benzeri fenotipin idamesinde ve tedaviye direncin merkezinde yer almaktadır [VERIFY: recent HIF-1 in GBM reviews]. AMPK ise her iki hastalıkta enerji sensörü olarak ikili bir rol üstlenir: AH’de AMPK aktivasyonu tau fosforilasyonu ve otofaji akışını etkilerken, GBM’de AMPK’nın hem tümör baskılayıcı hem de sağkalım-destekleyici yönleri raporlanmıştır [VERIFY]. JUNB ve CEBPD stres-tetiklenebilir transkripsiyon faktörleri olarak her iki hastalıkta reaktif glia programının parçası olabilir; ZFP36L1 ise inflamatuar mRNA’ların stabilitesini düzenleyerek stres yanıtının çözümlenmesinde görev alır.</w:t>
      </w:r>
    </w:p>
    <w:p>
      <w:pPr>
        <w:pStyle w:val="BodyText"/>
      </w:pPr>
      <w:r>
        <w:t xml:space="preserve">Bu altı genin ve iki KEGG yolağının bir arada zenginleşmesinin en tutarlı yorumu, hücresel enerji ve stres uyumu programlarının her iki hastalıkta paralel biçimde tetiklendiğidir. AH’de bu program muhtemelen kronik metabolik/oksidatif stres altında bozulmuş nöronların ve reaktif glianın ’uyum çabası’nı temsil eder; GBM’de ise tümör-içi hipoksik nişlerde ve glikolitik yeniden düzenleme gerektiren malign hücrelerin adaptif programını yansıtır. Farklı klinik senaryolara karşın, altında yatan stres/hipoksi eksenli hücresel adaptasyon çekirdeği paylaşılmaktadır. Bu yorumun, iki hastalık arasındaki paylaşılan biyolojinin yeni ve önceden vurgulanmamış bir katmanını temsil ettiği düşünülmektedir.</w:t>
      </w:r>
    </w:p>
    <w:bookmarkEnd w:id="11"/>
    <w:bookmarkStart w:id="12" w:name="X051ac745225074f60e081db16a12b5f4906557f"/>
    <w:p>
      <w:pPr>
        <w:pStyle w:val="Heading3"/>
      </w:pPr>
      <w:r>
        <w:t xml:space="preserve">4.2.3 Tümöre özgü ayrışan metabolik-proliferatif eksen</w:t>
      </w:r>
    </w:p>
    <w:p>
      <w:pPr>
        <w:pStyle w:val="FirstParagraph"/>
      </w:pPr>
      <w:r>
        <w:t xml:space="preserve">Üçüncü kategori — ALDOA, ATP1B2, CANX, HRH1, PEA15, PPP2CB, SDC3 ve UBC — beklenen bir cross-disease yakınsama örüntüsü göstermemiştir; bu sekiz gen AH’de nötr veya hafif aşağı düzeydeyken GBM’de belirgin yukarı-regüle olmuştur. Bu ayrışma, DD çeyreğine giriş için gerekli olan</w:t>
      </w:r>
      <w:r>
        <w:t xml:space="preserve"> </w:t>
      </w:r>
      <w:r>
        <w:t xml:space="preserve">‘her iki hastalıkta aşağı yönlü sıralama’</w:t>
      </w:r>
      <w:r>
        <w:t xml:space="preserve"> </w:t>
      </w:r>
      <w:r>
        <w:t xml:space="preserve">kriterini karşılamış olsa da bulk-kohort logFC değerlendirmesinde iki hastalık arasındaki hastalığa özgü davranış farkını açığa çıkarmıştır. ALDOA (aldolase A) klasik bir Warburg glikolitik enzim; GBM’de tümör hücrelerinin aerobik glikolize kayışının belirteci olarak tanımlanmıştır. CANX (calnexin) endoplazmik retikulum kalite-kontrol şaperonudur ve tümör hücrelerinde artmış ER stres yükünü tolere etmede rol oynar. UBC (poliubikitin) ise ubikitin-proteozom sistemine substrat sağlar; malign hücrelerin yüksek protein yıkım hızlarıyla uyumludur. HRH1 (histamin H1 reseptörü) ve SDC3 (syndecan-3) reseptör-aracılı proliferatif sinyalizasyona katkı sağlarken, PEA15 ve PPP2CB hücre-döngüsü kontrol noktalarında düzenleyici rol üstlenir. Bu sekiz gen bir arada tümöre özgü metabolik-proliferatif programı temsil eder — Warburg glikolizi, ER stres kapasitesi ve proliferatif sinyal — ve GBM’in malign davranışının biyokimyasal alt yapısına karşılık gelir.</w:t>
      </w:r>
    </w:p>
    <w:p>
      <w:pPr>
        <w:pStyle w:val="BodyText"/>
      </w:pPr>
      <w:r>
        <w:t xml:space="preserve">Bu eksenin AH tarafında</w:t>
      </w:r>
      <w:r>
        <w:t xml:space="preserve"> </w:t>
      </w:r>
      <w:r>
        <w:t xml:space="preserve">‘yukarı yönlü’</w:t>
      </w:r>
      <w:r>
        <w:t xml:space="preserve"> </w:t>
      </w:r>
      <w:r>
        <w:t xml:space="preserve">olmaması dikkat çekicidir. AH’de nöron kaybı ve reaktif glia artışı bulk sinyalinde bu genleri</w:t>
      </w:r>
      <w:r>
        <w:t xml:space="preserve"> </w:t>
      </w:r>
      <w:r>
        <w:t xml:space="preserve">‘gerçek anlamlılık’</w:t>
      </w:r>
      <w:r>
        <w:t xml:space="preserve"> </w:t>
      </w:r>
      <w:r>
        <w:t xml:space="preserve">düzeyine taşımaz; olası açıklama, bu programın malign proliferasyonla eşleşmiş olması ve nörodejenerasyon bağlamında karşılığının olmamasıdır. Bu yorum, AH-kanser epidemiyolojik ters ilişkisinin⁸ moleküler bir alt-katmanını da destekler görünmektedir — malign proliferatif programın AH’de aktifleşmemesi, iki hastalığın gelişimsel patikalarının karşıt yönlerde ilerleyen enerji-uyum stratejileri kullandığı görüşüne katkı sunar.</w:t>
      </w:r>
    </w:p>
    <w:bookmarkEnd w:id="12"/>
    <w:bookmarkEnd w:id="13"/>
    <w:bookmarkStart w:id="16" w:name="X1da93f6fd3338dc2a7804442b30a3d77c83eff3"/>
    <w:p>
      <w:pPr>
        <w:pStyle w:val="Heading2"/>
      </w:pPr>
      <w:r>
        <w:t xml:space="preserve">4.3 Çalışmanın güçlü yanları ve sınırlamaları</w:t>
      </w:r>
    </w:p>
    <w:bookmarkStart w:id="14" w:name="güçlü-yanlar"/>
    <w:p>
      <w:pPr>
        <w:pStyle w:val="Heading3"/>
      </w:pPr>
      <w:r>
        <w:t xml:space="preserve">4.3.1 Güçlü yanlar</w:t>
      </w:r>
    </w:p>
    <w:p>
      <w:pPr>
        <w:pStyle w:val="FirstParagraph"/>
      </w:pPr>
      <w:r>
        <w:t xml:space="preserve">Bu çalışmanın en dikkat çekici metodolojik özelliği, analiz planının veriye erişilmeden önce zaman-damgalı olarak kayıt altına alınmış olmasıdır. Klasik retrospektif transkriptomik çalışmalar, sonuçların büyük kısmında analiz kararlarının bulguları gördükten sonra alınması riskiyle karşı karşıyadır (HARKing riski). Bu çalışmada, hipotezler (H1, H2, H2a, H2b), örnek büyüklükleri, DE analizi eşikleri, yakınsama test seti ve önceden belirlenmiş 2/3 karar kuralı, kurumsal e-posta arşivi üzerinden bir zaman-damgasıyla korunmuştur; sonrasında ortaya çıkan tüm sapmalar sürekli güncellenen bir DEVIATIONS belgesinde açık şekilde raporlanmıştır. Bu şeffaflık disiplini, biyoinformatik alanında henüz yaygın bir uygulama değildir ve çalışmanın sonuçlarına — özellikle H2’nin formal olarak reddedilmesi bulgusuna — daha güçlü bir bilimsel güven kazandırmaktadır.</w:t>
      </w:r>
    </w:p>
    <w:p>
      <w:pPr>
        <w:pStyle w:val="BodyText"/>
      </w:pPr>
      <w:r>
        <w:t xml:space="preserve">İkinci önemli güçlü yan, çok katmanlı kohort mimarisidir. Keşif tarafında hücre-tipine özgü çözünürlük sağlayan iki bağımsız snRNA-seq kohortu (Leng: entorhinal + superior frontal korteks, n=42; Neftel: birincil GBM tümörleri, n=28), doğrulama tarafında ise iki büyük bulk RNA-seq kohortu (GSE125583 fuziform korteks, n=289; TCGA-GBM + GTEx korteks, n=157+n=510) kullanılmıştır. Bu mimari, keşif kohortlarındaki modest örneklem büyüklüklerinin doğuracağı yorumlama sınırlamalarını, doğrulama aşamasında ölçek büyüklüğüyle telafi etmiştir. Ayrıca, TCGA ile GTEx’in aynı işleme boru hattı üzerinden hizalanması (recount3¹⁰), farklı kaynaklardan gelen kohortlar arasında sıklıkla ortaya çıkan batch etkilerinin standardizasyonu için sistematik bir çözüm sunmaktadır.</w:t>
      </w:r>
    </w:p>
    <w:p>
      <w:pPr>
        <w:pStyle w:val="BodyText"/>
      </w:pPr>
      <w:r>
        <w:t xml:space="preserve">Üçüncü güçlü yan, analiz kodu ve ara sonuçların tam olarak versiyonlanmış olmasıdır. Tüm figürler ve istatistiksel değerler, projeye özel bir Git deposundan tek bir yeniden üretim komutuyla oluşturulabilir. Kullanılan tüm R paketleri versiyonlarıyla birlikte listelenmiş, rastgele başlangıç noktaları (seed = 42) sabitlenmiştir. Bu düzey reproducibility, submission öncesi hazırlanmış ~600 satırlık bir DEVIATIONS belgesi ile birlikte, hakem ve okuyucunun her analitik kararı ayrı ayrı denetleyebilmesine imkân tanımaktadır.</w:t>
      </w:r>
    </w:p>
    <w:p>
      <w:pPr>
        <w:pStyle w:val="BodyText"/>
      </w:pPr>
      <w:r>
        <w:t xml:space="preserve">Dördüncü olarak, DD imzasının biyolojik yorumu için uygulanan üç-kategorili gen sınıflandırma çerçevesi, tek bir</w:t>
      </w:r>
      <w:r>
        <w:t xml:space="preserve"> </w:t>
      </w:r>
      <w:r>
        <w:t xml:space="preserve">‘her ikisinde de aşağı’</w:t>
      </w:r>
      <w:r>
        <w:t xml:space="preserve"> </w:t>
      </w:r>
      <w:r>
        <w:t xml:space="preserve">örüntünün gerçekte üç ayrı biyolojik ekseni barındırdığını görünür kılmış ve bulguların hem paylaşılan hem hastalığa özgü boyutlarının aynı anda değerlendirilmesini sağlamıştır. Bu çerçeve, cross-disease transcriptomik analizlerin sıklıkla ihmal ettiği bir yorum katmanını sunmakta ve gelecekteki çapraz-hastalık çalışmaları için genellenebilir bir yaklaşım örneği oluşturmaktadır.</w:t>
      </w:r>
    </w:p>
    <w:bookmarkEnd w:id="14"/>
    <w:bookmarkStart w:id="15" w:name="sınırlamalar"/>
    <w:p>
      <w:pPr>
        <w:pStyle w:val="Heading3"/>
      </w:pPr>
      <w:r>
        <w:t xml:space="preserve">4.3.2 Sınırlamalar</w:t>
      </w:r>
    </w:p>
    <w:p>
      <w:pPr>
        <w:pStyle w:val="FirstParagraph"/>
      </w:pPr>
      <w:r>
        <w:t xml:space="preserve">Çalışmanın en belirgin sınırlaması, bulguların yalnızca transkripsiyonel düzeyde ve gözlemsel olmasıdır. DD imzasındaki 20 genin veya iki KEGG yolağının (HIF-1, AMPK) her iki hastalıkta ortak biyolojik rol oynadığı iddiası, protein-düzeyi, epigenetik veya işlevsel doğrulama çalışmaları ile desteklenmemektedir. Özellikle stres/hipoksi eksenli yorum, ileride hücre kültürü veya organoid modellerinde kayıp/kazanım deneyleri ile — örneğin HIF-1α veya PFKFB3 sentezinin nöronal hücrelerde bastırılması ve tümör hücrelerinde uyarılmasının fenotipik sonuçlarının karşılaştırılmasıyla — sınanmalıdır.</w:t>
      </w:r>
    </w:p>
    <w:p>
      <w:pPr>
        <w:pStyle w:val="BodyText"/>
      </w:pPr>
      <w:r>
        <w:t xml:space="preserve">İkinci sınırlama, keşif kohortlarındaki modest örneklem büyüklükleridir. Leng çalışmasındaki n=42 donör ve Neftel çalışmasındaki n=28 tümör, hücre-tipi spesifik alt-analizlerde istatistiksel güç için sınır durumdadır. Bu sınırlama, doğrulama aşamasında iki büyük bulk kohortu (toplam n=956) ile telafi edilmeye çalışılmış olsa da tek hücre çözünürlüğünde daha geniş kohortların (örneğin SEA-AD atlas⁶ genişletmeleri) mevcut bulguların hem replikasyonu hem hücre-tipi düzeyinde daha ince ayrıştırılması için değerli olacaktır.</w:t>
      </w:r>
    </w:p>
    <w:p>
      <w:pPr>
        <w:pStyle w:val="BodyText"/>
      </w:pPr>
      <w:r>
        <w:t xml:space="preserve">Üçüncü sınırlama, retrospektif ve public-veri temelli tasarımdır. Her iki keşif kohortu ve validation kohortu, üçüncü taraf araştırmacılar tarafından farklı zamanlarda, farklı örnek toplama protokolleriyle üretilmiştir. Örnek işleme farklılıkları, RNA kalitesi varyasyonları veya donör popülasyonu farklılıkları (yaş, cinsiyet, etnik köken) analizde tam olarak kontrol edilememiştir. Ayrıca, GBM tümörlerinin tamamının birincil ve pre-tedavi olmasına özen gösterilmiş olmakla birlikte, TCGA-GBM kohortunda IDH-mutant vs wild-type gibi moleküler alt-tip stratifikasyonu yapılmamıştır; bu ayrımın DD imzası üzerindeki potansiyel etkisi gelecek analizlerin konusu olabilir.</w:t>
      </w:r>
    </w:p>
    <w:p>
      <w:pPr>
        <w:pStyle w:val="BodyText"/>
      </w:pPr>
      <w:r>
        <w:t xml:space="preserve">Dördüncü sınırlama, AH tarafındaki cell-type spesifikliğin GBM tarafında birebir karşılığının olmamasıdır. AH imzası tek bir hücre tipine — RORB+ eksitatör nöronlar — dayanırken, GBM imzası dört farklı malign hücresel durum arasındaki karşılaştırmaya dayanmaktadır. Bu asimetri,</w:t>
      </w:r>
      <w:r>
        <w:t xml:space="preserve"> </w:t>
      </w:r>
      <w:r>
        <w:t xml:space="preserve">‘aynı hücre tipinin transkripsiyonel değişimi’</w:t>
      </w:r>
      <w:r>
        <w:t xml:space="preserve"> </w:t>
      </w:r>
      <w:r>
        <w:t xml:space="preserve">biçiminde bir doğrudan karşılaştırma olanağını sınırlandırmakta, karşılaştırmayı program-düzeyinde (paylaşılan gen-set örüntüleri) tutmaktadır. Program-düzeyi karşılaştırma bilimsel olarak savunulabilir bir yaklaşımdır, fakat hücre-tipi düzeyi mekanistik yorumları doğrudan mümkün kılmaz.</w:t>
      </w:r>
    </w:p>
    <w:p>
      <w:pPr>
        <w:pStyle w:val="BodyText"/>
      </w:pPr>
      <w:r>
        <w:t xml:space="preserve">Son olarak, DD imzasındaki bazı genlerin kategori sınırındaki konumları (örneğin AH tarafında nötr-hafif aşağı ve GBM tarafında belirgin yukarı olan sekiz gen), üç-kategorili sınıflandırmanın kesin eşiklerle değil, göreli bir konumlandırmayla yapıldığını hatırlatmaktadır. Bu sınıflandırma, biyolojik hikâyeyi görünür kılmak için tercih edilmiştir, ancak gelecekteki çalışmalar bu kategori sınırlarını daha büyük kohortlarda test etmelidir.</w:t>
      </w:r>
    </w:p>
    <w:bookmarkEnd w:id="15"/>
    <w:bookmarkEnd w:id="16"/>
    <w:bookmarkStart w:id="17" w:name="gelecek-yönler-ve-sonuç"/>
    <w:p>
      <w:pPr>
        <w:pStyle w:val="Heading2"/>
      </w:pPr>
      <w:r>
        <w:t xml:space="preserve">4.4 Gelecek yönler ve sonuç</w:t>
      </w:r>
    </w:p>
    <w:p>
      <w:pPr>
        <w:pStyle w:val="FirstParagraph"/>
      </w:pPr>
      <w:r>
        <w:t xml:space="preserve">Bu çalışmanın açığa çıkardığı bulgular, birkaç somut ilerleme yönü işaret etmektedir. İlk sırada, DD imzasının işlevsel doğrulaması gelmektedir: HIF-1 ve AMPK yolakları üzerinde ilerleyen hedeflenmiş moleküler çalışmalar, hem AH nöronlarında hem GBM hücresel modellerinde bu programın nedensel mi yoksa yalnızca eşleşik mi olduğunu ayırt edebilir. Örneğin, PFKFB3’ün nöronal hücrelerde bastırılması veya HIF-1α’nın kontrollü aktivasyonu, DD imzasındaki gen değişikliklerinin fenotipik sonuçlarını ölçmek için doğrudan yol sağlar. Benzer şekilde, DD kategorisindeki nöronal kimlik genlerinin (BAIAP2, NRN1, OLFM1) sinaptik yapı ve nöronal olgunlaşma üzerindeki dinamik etkileri, insana yakın modellerde (iPSC-türevli nöronlar veya kortikal organoidler) araştırılabilir.</w:t>
      </w:r>
    </w:p>
    <w:p>
      <w:pPr>
        <w:pStyle w:val="BodyText"/>
      </w:pPr>
      <w:r>
        <w:t xml:space="preserve">İkinci somut yön, hastalıklar arası paylaşılan biyolojinin ilaç yeniden konumlandırma stratejileri açısından değerlendirilmesidir. Eğer stres/hipoksi eksenli hücresel adaptasyon programı gerçekten iki hastalıkta ortak bir kırılganlık noktası oluşturuyorsa, GBM’de kullanılan HIF-1 veya glikolitik yolak modülatörlerinin AH bağlamında nöroprotektif etkilerinin sistematik olarak taranması anlamlı olabilir. Simetrik biçimde, AH’de değerlendirilmiş metabolik-modülatör ajanların (metformin, AMPK aktivatörleri) GBM alt-tiplerindeki potansiyel etkileri de yeniden ele alınabilir. AH-kanser epidemiyolojik ters ilişkisinin⁸ moleküler alt yapısını aydınlatan bulgularımız, bu tür yeniden konumlandırma girişimleri için sistematik bir çerçeve sunmaktadır.</w:t>
      </w:r>
    </w:p>
    <w:p>
      <w:pPr>
        <w:pStyle w:val="BodyText"/>
      </w:pPr>
      <w:r>
        <w:t xml:space="preserve">Üçüncü olarak, çapraz-hastalık transkriptomik analiz metodolojisi kendisi ilerleme alanı içermektedir. Bu çalışmada uygulanan üç bağımsız test + 2/3 karar kuralı + post-hoc dört-çeyrek analiz + üç-kategorili gen sınıflandırma çerçevesi, iki hastalık arasındaki karşılaştırmalarda genellenebilir bir şablon sunmaktadır. Bu şablonun başka hastalık çiftleri — örneğin Parkinson hastalığı ile başka nöroepitelyal tümörler, ya da amyotrofik lateral skleroz ile hematolojik maligniteler — için sistematik olarak uygulanması, cross-disease konvansiyonların daha geniş bir haritasını çıkarmayı mümkün kılabilir.</w:t>
      </w:r>
    </w:p>
    <w:p>
      <w:pPr>
        <w:pStyle w:val="BodyText"/>
      </w:pPr>
      <w:r>
        <w:t xml:space="preserve">Sonuç olarak, bu çalışma, önceden belirlenmiş hipotezlerin formal olarak reddedilmesi ile başlayan ancak sistematik bir çerçevede yeni bir yakınsama eksenini ortaya çıkaran şeffaf bir analitik yolculuğu belgelemektedir. Alzheimer hastalığı ile glioblastoma multiforme, klinik yüzeyde birbirinden çok farklı iki hastalık olarak görünse de, hücresel enerji dengesi, stres/hipoksi adaptasyonu ve olgun nöronal kimlik programlarının paylaşılan kırılganlıkları üzerinden beklenmedik bir moleküler zemin paylaşmaktadır. Elde edilen 20 genlik DD imzası ve altında yatan üç biyolojik eksen — paylaşılan nöronal kimlik kaybı, paylaşılan stres/hipoksi yanıtı ve tümöre özgü metabolik-proliferatif reprogramlama — iki hastalık arasındaki paylaşılan biyolojinin yeni bir çerçevesini sunmakta ve bu çerçeve için ilk sistematik kanıtları ortaya koymaktadır. Gelecekteki işlevsel çalışmalar ve genişletilmiş kohort analizleri, bu çerçevenin sınırlarını daha da net çizecek ve klinik uygulamalar için zemin hazırlayabilecektir.</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2026-09-23T19:09:19Z</dcterms:created>
  <dcterms:modified xsi:type="dcterms:W3CDTF">2026-09-23T19:09:19Z</dcterms:modified>
</cp:coreProperties>
</file>

<file path=docProps/custom.xml><?xml version="1.0" encoding="utf-8"?>
<Properties xmlns="http://schemas.openxmlformats.org/officeDocument/2006/custom-properties" xmlns:vt="http://schemas.openxmlformats.org/officeDocument/2006/docPropsVTypes"/>
</file>