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ults-draft"/>
    <w:p>
      <w:pPr>
        <w:pStyle w:val="Heading1"/>
      </w:pPr>
      <w:r>
        <w:t xml:space="preserve">Results — Draft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Cross-disease transcriptomic convergence of Alzheimer’s disease and glioblastoma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Ahmet Karakuş, Bartın Üniversitesi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Turkish (draft), edilgen ağırlıklı akademik üslup</w:t>
      </w:r>
      <w:r>
        <w:t xml:space="preserve"> </w:t>
      </w:r>
      <w:r>
        <w:rPr>
          <w:b/>
          <w:bCs/>
        </w:rPr>
        <w:t xml:space="preserve">Started:</w:t>
      </w:r>
      <w:r>
        <w:t xml:space="preserve"> </w:t>
      </w:r>
      <w:r>
        <w:t xml:space="preserve">2026-09-23 evening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 — 1/3 sections</w:t>
      </w:r>
    </w:p>
    <w:p>
      <w:r>
        <w:pict>
          <v:rect style="width:0;height:1.5pt" o:hralign="center" o:hrstd="t" o:hr="t"/>
        </w:pict>
      </w:r>
    </w:p>
    <w:bookmarkStart w:id="9" w:name="X7e9687a80e52eef99dfefb7135ed1ca38c26ec8"/>
    <w:p>
      <w:pPr>
        <w:pStyle w:val="Heading2"/>
      </w:pPr>
      <w:r>
        <w:t xml:space="preserve">3.1 AH ve GBM tek hücre imzalarının elde edilmesi</w:t>
      </w:r>
    </w:p>
    <w:p>
      <w:pPr>
        <w:pStyle w:val="FirstParagraph"/>
      </w:pPr>
      <w:r>
        <w:t xml:space="preserve">Aşama 1 kapsamında, Leng ve arkadaşlarının³ snRNA-seq verisinden AH savunmasız RORB+ eksitatör nöronlar için ileri Braak patolojisi ile kontrol/erken evre arasındaki farklı ifade profili çıkarılmıştır. Toplam 3.857 test edilen gen arasından 486’sı FDR&lt;0.05 eşiğini geçmiş olup, bunların 382’si ileri Braak grubunda anlamlı olarak aşağı-regüle, 104’ü ise yukarı-regüle olarak tanımlanmıştır (Figure 2A, 2C). Bu dengesizlik — DOWN yönünün 3.7 kat baskın olması — savunmasız nöron popülasyonunda hastalık ilerlemesiyle birlikte belirgin bir gen ekspresyon programı kaybı olduğuna işaret etmektedir. En anlamlı aşağı-regüle genler arasında sinaptik plastisiteye özgü aktivite-bağımlı düzenleyiciler (VGF, EGR1, FOS) ve nöronal kimlik/olgunlaşma belirteçleri (ID2, CAMK1G, TSPYL2) yer almaktadır; en anlamlı yukarı-regüle genler arasında ise LUZP2 ve CEP126 gibi kompansatuar/reaktif fonksiyonlarla ilişkilendirilebilecek genler dikkati çekmektedir.</w:t>
      </w:r>
    </w:p>
    <w:p>
      <w:pPr>
        <w:pStyle w:val="BodyText"/>
      </w:pPr>
      <w:r>
        <w:t xml:space="preserve">Aşama 2 kapsamında, Neftel ve arkadaşlarının⁴ GBM snRNA-seq verisinden nöral-taklit fenotipler (NPC-like + OPC-like) ile diğer malign hücresel durumlar (AC-like + MES-like) arasındaki farklı ifade profili çıkarılmıştır. Toplam 1.576 gen FDR&lt;0.05 eşiğini geçmiş olup dağılım bu kez görece dengeli görünmektedir: 765 gen nöral-taklit durumlarında yukarı, 811 gen aşağı-regüle (Figure 2B, 2C). En anlamlı yukarı-regüle genler arasında nöral-öncü kimlik belirteçleri (ZNF488, CHD7, OMG) ve sitiskelet/hücre morfolojisi düzenleyicileri (TAGLN3, MTSS1, MARCKSL1) bulunmaktadır; en anlamlı aşağı-regüle genler ise olgun astrosit ve mezenkimal fenotip belirteçleri (SPARCL1, ATP1B2, CNN3, SLC3A2) olarak öne çıkmıştır. Bu ikili örüntü — nöral-öncü kimliğin kazanımı ile birlikte olgun-fenotip belirteçlerinin kaybı — Neftel dört-durum modelinin hücresel-durum plastisitesine ilişkin önerdiği çerçeve ile uyumludur.</w:t>
      </w:r>
    </w:p>
    <w:p>
      <w:pPr>
        <w:pStyle w:val="BodyText"/>
      </w:pPr>
      <w:r>
        <w:t xml:space="preserve">Sonuç olarak, iki hastalıktan elde edilen imzalar hücre-tipi çözünürlüğünde ve önceden belirlenmiş eşiklerle oluşturulmuş, aşağı akış çapraz-hastalık karşılaştırılması için hazır hâle getirilmiştir.</w:t>
      </w:r>
    </w:p>
    <w:p>
      <w:r>
        <w:pict>
          <v:rect style="width:0;height:1.5pt" o:hralign="center" o:hrstd="t" o:hr="t"/>
        </w:pict>
      </w:r>
    </w:p>
    <w:bookmarkEnd w:id="9"/>
    <w:bookmarkStart w:id="10" w:name="çapraz-hastalık-yakınsama-testleri"/>
    <w:p>
      <w:pPr>
        <w:pStyle w:val="Heading2"/>
      </w:pPr>
      <w:r>
        <w:t xml:space="preserve">3.2 Çapraz-hastalık yakınsama testleri</w:t>
      </w:r>
    </w:p>
    <w:p>
      <w:pPr>
        <w:pStyle w:val="FirstParagraph"/>
      </w:pPr>
      <w:r>
        <w:t xml:space="preserve">Aşama 1 ve Aşama 2 imzalarının (3.857 genlik ortak evren üzerinden) çapraz-hastalık yakınsaması, üç bağımsız istatistiksel test ve önceden belirlenmiş 2/3 karar kuralı çerçevesinde değerlendirilmiştir. Sonuçlar tek bir bütünsel bulguya işaret etmemiştir: RRHO2 analizi, sıralama uzayının belirli bir alt-bölgesinde güçlü örtüşme sinyali göstermiş (matris maksimumu -log₁₀(P) = 6.54, Bonferroni-düzeltilmiş P = 5.3×10⁻⁴, Figure 3) ve önceden belirlenmiş eşiği geçmiştir. Buna karşın, iki testin sonuçları eşiği geçememiştir: hipergeometrik zenginleştirme (her iki hastalıktan top 200 gen, 3.857-genlik evren üzerinde) OR = 1.18, p = 0.47 ile marjinal olmayan bir örtüşme göstermiş; 10.000 tekrarlı permütasyon testi ise gözlenen odds ratio’nun ampirik null dağılımın orta kesitinde kaldığını (ampirik p = 0.31) ortaya koymuştur. Böylece 2/3 karar kuralına göre H2 hipotezi formal olarak reddedilmiştir.</w:t>
      </w:r>
    </w:p>
    <w:p>
      <w:pPr>
        <w:pStyle w:val="BodyText"/>
      </w:pPr>
      <w:r>
        <w:t xml:space="preserve">RRHO2 heatmap’inin dikkatli incelenmesi, örtüşme sinyalinin sıralama uzayı boyunca eşit dağılmadığını, bunun yerine belirli bir alt-bölgede yoğunlaştığını göstermiştir (Figure 3, sağ-alt çeyrek). Bu gözlemi biyolojik olarak yorumlanabilir bir çerçeveye taşımak amacıyla, post-hoc olarak sistematik bir dört-çeyrek analizi uygulanmıştır: her iki hastalıktan en anlamlı 200 gen, işaretli -log₁₀(P) sıralamalarına göre iki boyutlu bir düzlemde konumlandırılmış ve ifade yönlerine göre dört çeyreğe ayrılmıştır. Dört çeyreğin üçü — UU (her iki hastalıkta yukarı, n=11, OR=1.06, BH-P=0.47), UD (AH yukarı × GBM aşağı, n=8, OR=0.77, BH-P=0.83) ve DU (AH aşağı × GBM yukarı, n=18, OR=1.74, BH-P=0.014) — Bonferroni eşiğini geçememiştir. DU çeyreği nominal olarak anlamlı görünmesine karşın, post-hoc keşif bağlamında H2a alt-hipotezinin sınırda destekli bir kanıtı olarak değerlendirilmiştir.</w:t>
      </w:r>
    </w:p>
    <w:p>
      <w:pPr>
        <w:pStyle w:val="BodyText"/>
      </w:pPr>
      <w:r>
        <w:t xml:space="preserve">Buna karşılık, DD çeyreği (her iki hastalıkta aşağı-regüle olan genlerin örtüşmesi) net bir anlamlılık sinyali göstermiştir: n=20 gen, OR=1.93, BH-düzeltilmiş P=3.1×10⁻³. Bu 20 genlik küme, RRHO2 heatmap’indeki maksimum sinyal noktasına da (matris koordinatları [35, 38]) karşılık gelmektedir. DD çeyreği önceden hipotezlenmemiş — H2 formülasyonunun tersi yönde konumlanan — bir yakınsama eksenini işaret ettiği için</w:t>
      </w:r>
      <w:r>
        <w:t xml:space="preserve"> </w:t>
      </w:r>
      <w:r>
        <w:t xml:space="preserve">‘DD imzası’</w:t>
      </w:r>
      <w:r>
        <w:t xml:space="preserve"> </w:t>
      </w:r>
      <w:r>
        <w:t xml:space="preserve">olarak adlandırılmış ve aşağı akış doğrulama ve biyolojik yorumlama analizlerinin ana konusu hâline getirilmiştir. DD imzasındaki 20 gen — BAIAP2, ALDOA, NRN1, PNMA2, OLFM1, IDS, HRH1, ATP1B2, UBC, PPP2CB, PEA15, SLC2A3, CANX, SDC3, PFKFB3, JUNB, ZFP36L1, PER1, FLNA, CEBPD — nöronal kimlik belirteçleri, metabolik enzimler, immediate-early stres yanıt faktörleri ve endoplazmik retikulum stres yolağı bileşenlerini kapsayan işlevsel olarak çeşitli bir profile sahiptir.</w:t>
      </w:r>
    </w:p>
    <w:p>
      <w:pPr>
        <w:pStyle w:val="BodyText"/>
      </w:pPr>
      <w:r>
        <w:t xml:space="preserve">DD (n=20) ve DU (n=18) gen kümelerinin biyolojik anlamı, clusterProfiler¹⁴ paketiyle GO Biyolojik Süreç ve KEGG yolak zenginleştirme analizleriyle sorgulanmıştır (3.857 genlik ortak evren arka plan olarak kullanılmıştır). DD imzası, iki farklı biyolojik ekseni işaret eden zenginleşme örüntüsü göstermiştir: (i) metabolik reprogramlama — fruktoz ve mannoz metabolizması (p=1.3×10⁻³), monosakkarit metabolik süreci (p=3.1×10⁻³), pentoz-fosfat yolağı (p=0.040), glikozaminoglikan yıkımı (p=0.040) ve karbonhidrat türevi katabolik süreci (p=4.1×10⁻³) — ve (ii) hücresel stres/hipoksi yanıtı — HIF-1 sinyal yolağı (p=0.041), AMPK sinyal yolağı (p=0.049) ve azot bileşiğine yanıt (p=4.1×10⁻³) (Figure 4, panel A). Bu iki eksenin bir arada zenginleşmesi, metabolik yeniden düzenleme ile stres/hipoksi adaptasyonunun eşleşmiş bir hücresel-kırılganlık programı oluşturabileceğini düşündürmektedir. DU imzası ise beklendiği gibi nörojenez (p=5.1×10⁻⁴), nöron farklılaşması (p=9.5×10⁻⁴) ve nöron uzantısı organizasyonu (p=2.5×10⁻³) gibi nöral gelişim programlarında zenginleşme göstermiştir (Figure 4, panel B) — bu bulgu H2a alt-hipotezinin öngördüğü</w:t>
      </w:r>
      <w:r>
        <w:t xml:space="preserve"> </w:t>
      </w:r>
      <w:r>
        <w:t xml:space="preserve">‘AH’de kaybolan / GBM’de kazanılan nöral kimlik’</w:t>
      </w:r>
      <w:r>
        <w:t xml:space="preserve"> </w:t>
      </w:r>
      <w:r>
        <w:t xml:space="preserve">ekseni ile uyumludur.</w:t>
      </w:r>
    </w:p>
    <w:bookmarkEnd w:id="10"/>
    <w:bookmarkStart w:id="11" w:name="X7140fe08ead210ebecaaaad09d0eb9ffcac728e"/>
    <w:p>
      <w:pPr>
        <w:pStyle w:val="Heading2"/>
      </w:pPr>
      <w:r>
        <w:t xml:space="preserve">3.3 DD imzasının bağımsız kohortlarda doğrulanması</w:t>
      </w:r>
    </w:p>
    <w:p>
      <w:pPr>
        <w:pStyle w:val="FirstParagraph"/>
      </w:pPr>
      <w:r>
        <w:t xml:space="preserve">DD imzasının biyolojik anlamlılığını, keşif kohortlarından tamamen bağımsız iki bulk RNA-seq veri seti üzerinden test etmek amacıyla iki paralel analiz yürütülmüştür. AH tarafında GSE125583 kohortu (n=289, fuziform korteks) kullanılmış; donörler Braak evresi ile İleri AH (Braak V-VI), Tüm AH ve Kontrol olarak stratifiye edilmiştir. DD imzasındaki 20 gen için iki karşılaştırma yapılmış — Tüm AH — Kontrol ve İleri AH — Kontrol — ve her genin logFC değerlerinin mutlak büyüklükleri karşılaştırılmıştır. Beklenen doz-yanıt örüntüsü açıkça gözlemlenmiştir: 20 gen arasından 17’si İleri AH karşılaştırmasında daha uç değer göstermiş ve doz-yanıt testinin sonucu Wilcoxon işaretli-sıra p = 1.3×10⁻⁵ düzeyinde anlamlılığa ulaşmıştır (Figure 5). Bu bulgu, DD imzasının, keşif snRNA-seq verisindeki hücre-tipi çözünürlüğünde ortaya çıkarılan aşağı-regülasyon örüntüsünün, klinik kohortta Braak patoloji evresi ile monoton biçimde şiddetlenen bir bulk-doku sinyaline dönüştüğünü göstermektedir.</w:t>
      </w:r>
    </w:p>
    <w:p>
      <w:pPr>
        <w:pStyle w:val="BodyText"/>
      </w:pPr>
      <w:r>
        <w:t xml:space="preserve">GBM tarafında ise recount3 boru hattı ile aynı hizalama ve sayım kurallarıyla işlenmiş iki kohort birleştirilmiştir: TCGA-GBM (n=157 birincil tümör) ve GTEx korteks (n=510 tümör-dışı beyin). Limma-voom¹⁵ iş akışı ile TCGA-GBM tümörleri ile GTEx korteks arasındaki farklı ifade değerleri hesaplanmış ve DD imzasındaki 20 gen için logFC değerleri elde edilmiştir. Bu logFC değerleri, AH tarafındaki İleri AH — Kontrol karşılaştırmasından elde edilen logFC değerleri ile karşılaştırıldığında, iki hastalık arasında güçlü sıralama uyumu tespit edilmiştir: Spearman ρ = 0.713 (p = 4.2×10⁻⁴) (Figure 6). Pearson korelasyonu da bu bulguyu ikincil ölçüt olarak desteklemiştir (r = 0.665, p = 1.4×10⁻³). Bu sonuç, DD imzasının yalnızca keşif kohortlarında rastlantısal olarak çakışmadığını, iki hastalığın büyük ölçekli bağımsız kohortlarındaki bulk transkripsiyon değişikliklerinde de tutarlı bir yön ve büyüklük örüntüsü sergilediğini göstermektedir.</w:t>
      </w:r>
    </w:p>
    <w:p>
      <w:pPr>
        <w:pStyle w:val="BodyText"/>
      </w:pPr>
      <w:r>
        <w:t xml:space="preserve">DD imzasındaki 20 genin iki hastalıktaki logFC değerlerinin ortak dağılımı incelendiğinde, tek bir homojen</w:t>
      </w:r>
      <w:r>
        <w:t xml:space="preserve"> </w:t>
      </w:r>
      <w:r>
        <w:t xml:space="preserve">‘her ikisinde de aşağı’</w:t>
      </w:r>
      <w:r>
        <w:t xml:space="preserve"> </w:t>
      </w:r>
      <w:r>
        <w:t xml:space="preserve">örüntüden ziyade üç farklı biyolojik pattern ayırt edilmiştir (Figure 6): (i) paylaşılan nöronal kimlik kaybı — her iki hastalıkta belirgin aşağı-regülasyon gösteren 6 gen (BAIAP2, IDS, NRN1, OLFM1, PNMA2, SLC2A3), çoğunlukla sinaptik yapı, nöronal olgunlaşma ve nöronal glukoz taşınımı ile ilişkili; (ii) paylaşılan stres yanıtı aktivasyonu — her iki hastalıkta belirgin yukarı-regülasyon gösteren 6 gen (CEBPD, FLNA, JUNB, PER1, PFKFB3, ZFP36L1), immediate-early transkripsiyon faktörleri, hipoksi-indüklenebilir glikoliz enzimleri ve sitiskelet stres yeniden düzenleyicilerini kapsamaktadır; ve (iii) tümöre özgü ayrışan metabolik-proliferatif regülasyon — AH’de nötr veya hafif aşağı, GBM’de belirgin yukarı-regüle olan 8 gen (ALDOA, ATP1B2, CANX, HRH1, PEA15, PPP2CB, SDC3, UBC), glikolitik enzimler, ER stres/kalite kontrol bileşenleri ve proliferatif sinyal düzenleyicilerini içermektedir.</w:t>
      </w:r>
    </w:p>
    <w:p>
      <w:pPr>
        <w:pStyle w:val="BodyText"/>
      </w:pPr>
      <w:r>
        <w:t xml:space="preserve">Bu üç-kategorili çerçeve, ilk RRHO2 heatmap sinyalinde tek bir</w:t>
      </w:r>
      <w:r>
        <w:t xml:space="preserve"> </w:t>
      </w:r>
      <w:r>
        <w:t xml:space="preserve">‘DD çeyreği’</w:t>
      </w:r>
      <w:r>
        <w:t xml:space="preserve"> </w:t>
      </w:r>
      <w:r>
        <w:t xml:space="preserve">olarak yakalanan ortak aşağı-regülasyon örüntüsünün gerçekte paylaşılan nöronal kırılganlık ekseni, paylaşılan stres/hipoksi ekseni ve tümöre özgü metabolik reprogramlama ekseninin üst üste binmesinden oluştuğunu göstermektedir. Bulguların bu ayrıştırılması, hem AH-GBM ortak biyolojisinin biyolojik olarak yorumlanabilir bir çerçeveye taşınmasını hem de hastalığa özgü ayrışmaların açıkça görünür kılınmasını sağlamıştır.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2026-09-23T18:55:12Z</dcterms:created>
  <dcterms:modified xsi:type="dcterms:W3CDTF">2026-09-23T18:55:12Z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