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1561019e2b3943cac2a414e782fad96d1ee90c2"/>
    <w:p>
      <w:pPr>
        <w:pStyle w:val="Heading1"/>
        <w:jc w:val="center"/>
      </w:pPr>
      <w:r>
        <w:rPr>
          <w:sz w:val="32"/>
        </w:rPr>
        <w:t xml:space="preserve">Shared transcriptomic signatures of Alzheimer’s disease and glioblastoma do not survive adjustment for estimated cell composition: a pre-specified re-evaluation</w:t>
      </w:r>
    </w:p>
    <w:p>
      <w:pPr>
        <w:pStyle w:val="FirstParagraph"/>
        <w:jc w:val="center"/>
      </w:pPr>
      <w:r>
        <w:t xml:space="preserve">Ahmet Karakuş</w:t>
      </w:r>
    </w:p>
    <w:p>
      <w:pPr>
        <w:pStyle w:val="BodyText"/>
        <w:jc w:val="center"/>
      </w:pPr>
      <w:r>
        <w:t xml:space="preserve">Bartın University, Bartın, Türkiye </w:t>
      </w:r>
      <w:r>
        <w:rPr>
          <w:highlight w:val="yellow"/>
        </w:rPr>
        <w:t>[CHECK: department and full affiliation]</w:t>
      </w:r>
    </w:p>
    <w:p>
      <w:pPr>
        <w:pStyle w:val="BodyText"/>
        <w:jc w:val="center"/>
      </w:pPr>
      <w:r>
        <w:t xml:space="preserve">Correspondence: akarakus@bartin.edu.tr</w:t>
      </w:r>
    </w:p>
    <w:bookmarkStart w:id="20" w:name="abstract"/>
    <w:p>
      <w:pPr>
        <w:pStyle w:val="Heading2"/>
      </w:pPr>
      <w:r>
        <w:t xml:space="preserve">Abstract</w:t>
      </w:r>
    </w:p>
    <w:p>
      <w:pPr>
        <w:pStyle w:val="FirstParagraph"/>
      </w:pPr>
      <w:r>
        <w:rPr>
          <w:bCs/>
          <w:b/>
        </w:rPr>
        <w:t xml:space="preserve">Background:</w:t>
      </w:r>
      <w:r>
        <w:t xml:space="preserve"> </w:t>
      </w:r>
      <w:r>
        <w:t xml:space="preserve">The inverse association between Alzheimer’s disease (AD) and cancer has motivated searches for transcriptomic signatures shared by AD and glioblastoma (GBM). Both diseases reshape brain tissue composition, so genes that change together in bulk samples may simply track cell composition.</w:t>
      </w:r>
    </w:p>
    <w:p>
      <w:pPr>
        <w:pStyle w:val="BodyText"/>
      </w:pPr>
      <w:r>
        <w:rPr>
          <w:bCs/>
          <w:b/>
        </w:rPr>
        <w:t xml:space="preserve">Methods:</w:t>
      </w:r>
      <w:r>
        <w:t xml:space="preserve"> </w:t>
      </w:r>
      <w:r>
        <w:t xml:space="preserve">Hypotheses, thresholds and decision rules were fixed in a time-stamped plan before analysis. For the primary hypothesis (H1), I compared shared differentially expressed genes (DEGs) between a hippocampal AD meta-cohort (n = 51) and TCGA-GBM/GTEx (n = 338), with and without composition covariates from two pre-specified deconvolution methods, and repeated the test with BRETIGEA in an independent AD cohort (n = 195). For the secondary hypothesis (H2), I tested whether vulnerable RORB+ entorhinal neurons and GBM neural-like malignant states share a signature, using three pre-specified tests. Every deviation from the plan was recorded.</w:t>
      </w:r>
    </w:p>
    <w:p>
      <w:pPr>
        <w:pStyle w:val="BodyText"/>
      </w:pPr>
      <w:r>
        <w:rPr>
          <w:bCs/>
          <w:b/>
        </w:rPr>
        <w:t xml:space="preserve">Results:</w:t>
      </w:r>
      <w:r>
        <w:t xml:space="preserve"> </w:t>
      </w:r>
      <w:r>
        <w:t xml:space="preserve">The 1,458 shared DEGs fell to zero with BRETIGEA adjustment, so H1 was supported; MuSiC gave the same count but implausible proportions, and noise covariates did not reproduce the loss. In the independent cohort, BRETIGEA adjustment kept 46% of AD DEGs but only 7% of shared DEGs (3,912 to 288). With three donors per group, H2 failed all three tests in every analysis. A convergence-like signal in the original implementation disappeared when age was modelled but not when donor was modelled; pseudoreplication separately inflated significant genes (486 versus 0–27).</w:t>
      </w:r>
    </w:p>
    <w:p>
      <w:pPr>
        <w:pStyle w:val="BodyText"/>
      </w:pPr>
      <w:r>
        <w:rPr>
          <w:bCs/>
          <w:b/>
        </w:rPr>
        <w:t xml:space="preserve">Conclusions:</w:t>
      </w:r>
      <w:r>
        <w:t xml:space="preserve"> </w:t>
      </w:r>
      <w:r>
        <w:t xml:space="preserve">In two AD cohorts, most of the bulk signature shared by AD and GBM was lost after adjustment for estimated cell composition, and no cell-type-level convergence was detectable with the donors available. Cross-disease comparisons need composition adjustment, donor-level inference and attention to confounding by age.</w:t>
      </w:r>
    </w:p>
    <w:p>
      <w:pPr>
        <w:pStyle w:val="BodyText"/>
      </w:pPr>
      <w:r>
        <w:rPr>
          <w:bCs/>
          <w:b/>
        </w:rPr>
        <w:t xml:space="preserve">Keywords:</w:t>
      </w:r>
      <w:r>
        <w:t xml:space="preserve"> </w:t>
      </w:r>
      <w:r>
        <w:t xml:space="preserve">Alzheimer’s disease; glioblastoma; cell composition; deconvolution; pseudoreplication; pre-specified analysis</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[1]. A population-based incidence study in northern Italy found the same inverse pattern [2]. These observations led to the idea that neurodegeneration and tumour growth might share molecular processes that are regulated in opposite directions, and to transcriptomic meta-analyses that looked for such opposing changes across central nervous system disorders and cancers [3].</w:t>
      </w:r>
    </w:p>
    <w:p>
      <w:pPr>
        <w:pStyle w:val="BodyText"/>
      </w:pPr>
      <w:r>
        <w:t xml:space="preserve">Glioblastoma (GBM) is an attractive comparison for AD because both arise in the brain. One study used bulk microarray data to identify signalling pathways that were regulated in opposite directions in AD and GBM [4]. More recent work combined bulk and single-cell transcriptomics with Mendelian randomisation and functional experiments to propose a candidate gene linking the two diseases [5], or used single-cell data to derive shared mitochondrial markers [6]. Much of this literature starts from the same step: comparing genes that change in each disease relative to controls, measured in bulk tissue.</w:t>
      </w:r>
    </w:p>
    <w:p>
      <w:pPr>
        <w:pStyle w:val="BodyText"/>
      </w:pPr>
      <w:r>
        <w:t xml:space="preserve">That step has a well-known weakness. AD involves neuronal loss and a glial response, and in GBM malignant cells replace normal brain tissue. Both processes change the cellular composition of the sample. In intact brain tissue, much of the covariation in gene expression is driven by differences in cell composition [7], and adding estimated cell-type proportions to the model reduces false associations between AD phenotypes and gene expression [8]. Two diseases that both lose neurons will both show lower expression of neuronal genes, even if nothing changes inside any individual cell. In a bulk comparison, that would look like a shared signature. This study grew out of that concern. In an earlier bulk analysis I had observed a shared gene signature between AD and GBM, and I wanted to know whether it would hold up once composition was controlled </w:t>
      </w:r>
      <w:r>
        <w:rPr>
          <w:highlight w:val="yellow"/>
        </w:rPr>
        <w:t>[CHECK: publication status and citation of the earlier analysis]</w:t>
      </w:r>
      <w:r>
        <w:rPr/>
        <w:t>.</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[9]. In GBM, part of the malignant population occupies transcriptional states that resemble neural and oligodendrocyte progenitors (NPC-like and OPC-like) [10], and glioma cells can form synapses with neurons and integrate into neural circuits [11]. It is therefore reasonable to ask whether the neuronal programme lost by vulnerable AD neurons overlaps with the neural-like identity that some GBM cells adopt.</w:t>
      </w:r>
    </w:p>
    <w:p>
      <w:pPr>
        <w:pStyle w:val="BodyText"/>
      </w:pPr>
      <w:r>
        <w:t xml:space="preserve">I tested both questions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Flexible, data-dependent analysis decisions inflate false-positive rates [12], so the hypotheses, thresholds, decision rules and publication framings for both possible outcomes were fixed in advance [13], and every deviation from the plan was logged with its date. Because comparisons between donors in single-cell data need donor-level inference [14], I also audited the implementation against the plan during the study and report how the problems it uncovered affected the results.</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is made public together with this article </w:t>
      </w:r>
      <w:r>
        <w:rPr>
          <w:highlight w:val="yellow"/>
        </w:rPr>
        <w:t>[CHECK: repository URL / Zenodo DOI]</w:t>
      </w:r>
      <w:r>
        <w:rPr/>
        <w:t>.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Dataset</w:t>
            </w:r>
          </w:p>
        </w:tc>
        <w:tc>
          <w:tcPr/>
          <w:p>
            <w:pPr>
              <w:pStyle w:val="Compact"/>
              <w:spacing w:line="240" w:lineRule="auto" w:after="0"/>
              <w:jc w:val="left"/>
            </w:pPr>
            <w:r>
              <w:rPr>
                <w:rFonts w:ascii="Times New Roman" w:hAnsi="Times New Roman"/>
                <w:b/>
                <w:sz w:val="20"/>
              </w:rPr>
              <w:t xml:space="preserve">Platform</w:t>
            </w:r>
          </w:p>
        </w:tc>
        <w:tc>
          <w:tcPr/>
          <w:p>
            <w:pPr>
              <w:pStyle w:val="Compact"/>
              <w:spacing w:line="240" w:lineRule="auto" w:after="0"/>
              <w:jc w:val="left"/>
            </w:pPr>
            <w:r>
              <w:rPr>
                <w:rFonts w:ascii="Times New Roman" w:hAnsi="Times New Roman"/>
                <w:b/>
                <w:sz w:val="20"/>
              </w:rPr>
              <w:t xml:space="preserve">Role</w:t>
            </w:r>
          </w:p>
        </w:tc>
        <w:tc>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 [9]</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 [10]</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[15] + GSE36980 [16]</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[17] + GTEx [18] (UCSC Xena [19], TOIL [20])</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w:t>
            </w:r>
            <w:r>
              <w:rPr>
                <w:rFonts w:ascii="Times New Roman" w:hAnsi="Times New Roman"/>
                <w:sz w:val="20"/>
                <w:highlight w:val="yellow"/>
              </w:rPr>
              <w:t>[CHECK: source publication; candidate Srinivasan et al., 2020]</w:t>
            </w:r>
          </w:p>
        </w:tc>
        <w:tc>
          <w:tcPr/>
          <w:p>
            <w:pPr>
              <w:pStyle w:val="Compact"/>
              <w:spacing w:line="240" w:lineRule="auto" w:after="0"/>
              <w:jc w:val="left"/>
            </w:pPr>
            <w:r>
              <w:rPr>
                <w:rFonts w:ascii="Times New Roman" w:hAnsi="Times New Roman"/>
                <w:sz w:val="20"/>
              </w:rPr>
              <w:t xml:space="preserve">RNA-seq (recount3 [22])</w:t>
            </w:r>
          </w:p>
        </w:tc>
        <w:tc>
          <w:tcPr/>
          <w:p>
            <w:pPr>
              <w:pStyle w:val="Compact"/>
              <w:spacing w:line="240" w:lineRule="auto" w:after="0"/>
              <w:jc w:val="left"/>
            </w:pPr>
            <w:r>
              <w:rPr>
                <w:rFonts w:ascii="Times New Roman" w:hAnsi="Times New Roman"/>
                <w:sz w:val="20"/>
              </w:rPr>
              <w:t xml:space="preserve">Exploratory only (not in the plan)</w:t>
            </w:r>
          </w:p>
        </w:tc>
        <w:tc>
          <w:tcPr/>
          <w:p>
            <w:pPr>
              <w:pStyle w:val="Compact"/>
              <w:spacing w:line="240" w:lineRule="auto" w:after="0"/>
              <w:jc w:val="left"/>
            </w:pPr>
            <w:r>
              <w:rPr>
                <w:rFonts w:ascii="Times New Roman" w:hAnsi="Times New Roman"/>
                <w:sz w:val="20"/>
              </w:rPr>
              <w:t xml:space="preserve">Fusiform cortex; advanced AD 125, control 70</w:t>
            </w:r>
          </w:p>
        </w:tc>
      </w:tr>
    </w:tbl>
    <w:bookmarkEnd w:id="23"/>
    <w:bookmarkStart w:id="24" w:name="stage-1-ad-vulnerable-neuron-signature"/>
    <w:p>
      <w:pPr>
        <w:pStyle w:val="Heading3"/>
      </w:pPr>
      <w:r>
        <w:t xml:space="preserve">2.3 Stage 1: AD vulnerable-neuron signature</w:t>
      </w:r>
    </w:p>
    <w:p>
      <w:pPr>
        <w:pStyle w:val="FirstParagraph"/>
      </w:pPr>
      <w:r>
        <w:t xml:space="preserve">I used the processed entorhinal cortex excitatory-neuron object released by Leng and colleagues [9], with its scAlign [23] subcluster labels. The plan defined vulnerable neurons by the 75th percentile of RORB expression. Instead, I used the three RORB+ subclusters that the original study identified as vulnerable (EC:Exc.s1, EC:Exc.s2 and EC:Exc.s4),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I summed the three subclusters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[24] (version 4.10.3) quasi-likelihood F-test [25]. Genes were filtered with</w:t>
      </w:r>
      <w:r>
        <w:t xml:space="preserve"> </w:t>
      </w:r>
      <w:r>
        <w:rPr>
          <w:rStyle w:val="VerbatimChar"/>
        </w:rPr>
        <w:t xml:space="preserve">filterByExpr</w:t>
      </w:r>
      <w:r>
        <w:t xml:space="preserve">, library sizes were normalised with TMM [26],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[27] FDR was below 0.05 and its log2 fold change was below −0.5. For Stage 3, genes were ranked by sign(log2FC) × −log10(P).</w:t>
      </w:r>
    </w:p>
    <w:p>
      <w:pPr>
        <w:pStyle w:val="BodyText"/>
      </w:pPr>
      <w:r>
        <w:t xml:space="preserve">As a sensitivity analysis, I fitted a model that keeps the subcluster information (</w:t>
      </w:r>
      <w:r>
        <w:rPr>
          <w:rStyle w:val="VerbatimChar"/>
        </w:rPr>
        <w:t xml:space="preserve">~ braak + subcluster + age</w:t>
      </w:r>
      <w:r>
        <w:t xml:space="preserve">) with limma [28]-voom [29], modelling donor as a blocking factor with</w:t>
      </w:r>
      <w:r>
        <w:t xml:space="preserve"> </w:t>
      </w:r>
      <w:r>
        <w:rPr>
          <w:rStyle w:val="VerbatimChar"/>
        </w:rPr>
        <w:t xml:space="preserve">duplicateCorrelation</w:t>
      </w:r>
      <w:r>
        <w:t xml:space="preserve"> </w:t>
      </w:r>
      <w:r>
        <w:t xml:space="preserve">[30]. With few donors, this approach can be anti-conservative for between-donor contrasts [14, 31], so I decided before seeing results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and colleagues [10],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I used the adult malignant cells from the Smart-seq2 data (GSM3828672) and converted the GEO values, stored as log2(TPM/10 + 1), back to linear TPM with 10 × (2^x − 1). The GEO archive (GSE131928_RAW.tar) contains only processed TPM matrices, so an analysis on raw counts was not possible. This is a limitation for a negative binomial model, which assumes counts, so I also ran a limma-trend sensitivity analysis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[32]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I noticed this while making the figures and corrected it; the DU values, and therefore the H2 decisions, did not change (see the deviation register). The plan specified a BH adjustment at this point; for consistency with the original implementation, I multiplied the raw P value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I took the top 200 genes of each signature and tested their overlap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I drew 1,000 random pairs of 200-gene sets from the shared universe and computed the odds ratio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I checked the implementation by running it on the original AD input and reproducing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[33],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[34] (sva [35]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[36], and I discuss this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[19] TOIL [20]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[37]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[38] as the second method. Because the package was not available, I used MuSiC [39] (version 1.0.0), which is also reference-based (deviation). The plan called for an Allen Brain Map reference and cited Tasic et al. (2018), a mouse dataset. I used the human primary motor cortex (M1) 10x Chromium v3 snRNA-seq data published by Bakken et al. (2021) [21] (two donors, 76,533 nuclei).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I collapsed the reference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I randomly selected at most 500 nuclei per class and donor using the metadata only (3,023 nuclei in total), and committed the selection list before reading any expression data.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I fitted four models with limma [28]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 removed it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I computed the variance inflation factor (VIF) of the diagnosis coefficient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change. In a sensitivity analysis I also required |log2FC| &gt; 0.5 in AD and |log2FC| &gt; 1 in GBM. H1 was supported if the ratios of shared DEGs in Model B to Model A and in Model C to Model A were both at most 0.20, rejected if either ratio was at least 0.50, and inconclusive otherwise. I also ran sensitivity analyses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I estimated the within-donor correlation with</w:t>
      </w:r>
      <w:r>
        <w:t xml:space="preserve"> </w:t>
      </w:r>
      <w:r>
        <w:rPr>
          <w:rStyle w:val="VerbatimChar"/>
        </w:rPr>
        <w:t xml:space="preserve">duplicateCorrelation</w:t>
      </w:r>
      <w:r>
        <w:t xml:space="preserve"> </w:t>
      </w:r>
      <w:r>
        <w:t xml:space="preserve">and compared the original result with a limma-voom model that included a donor block and with a donor-summed edgeR model. I examined how sensitive the</w:t>
      </w:r>
      <w:r>
        <w:t xml:space="preserve"> </w:t>
      </w:r>
      <w:r>
        <w:t xml:space="preserve">“</w:t>
      </w:r>
      <w:r>
        <w:t xml:space="preserve">down in both diseases</w:t>
      </w:r>
      <w:r>
        <w:t xml:space="preserve">”</w:t>
      </w:r>
      <w:r>
        <w:t xml:space="preserve"> </w:t>
      </w:r>
      <w:r>
        <w:t xml:space="preserve">(DD) quadrant signal of the original analysis was to these corrections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I looked at the behaviour of six stress genes taken from the DD quadrant of the original analysis in an independent AD cohort. The recount3 [22] counts are base-pair coverage values, not read counts, so instead of negative binomial methods I used limma-trend on log-CPM values. Advanced AD (n = 125) was compared with controls (n = 70) using</w:t>
      </w:r>
      <w:r>
        <w:t xml:space="preserve"> </w:t>
      </w:r>
      <w:r>
        <w:rPr>
          <w:rStyle w:val="VerbatimChar"/>
        </w:rPr>
        <w:t xml:space="preserve">~ group + age + sex</w:t>
      </w:r>
      <w:r>
        <w:t xml:space="preserve">, and I then added neuron, astrocyte and microglia marker scores (the mean z-score of each marker set) as covariates. The cohort as analysed is saved to disk by a script (R/12_build_gse125583_bulk.R), but the upstream download and log-CPM steps are not yet scripted </w:t>
      </w:r>
      <w:r>
        <w:rPr>
          <w:highlight w:val="yellow"/>
        </w:rPr>
        <w:t>[CHECK: loading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I ran a two-arm negative control with rules defined before the results were seen. In arm 1, six independent standard normal variables were added to Model A. In arm 2, I added the first principal component scores of six random 50-gene sets drawn from all genes outside the BRETIGEA marker lists. Each arm had 1,000 iterations. The primary metric was retention of AD DEGs (the median number of AD DEGs per iteration divided by the number in Model A). In arm 2, I measured how much composition the random covariates captured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I pre-declared and committed three further analyses before running them.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This analysis used the gene-symbol-level matrix and the six BRETIGEA scores, whereas the stress-gene analysis above used the Ensembl-level matrix and three marker scores, so their genome-wide DEG counts differ slightly.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w:t>
      </w:r>
      <w:r>
        <w:rPr>
          <w:highlight w:val="yellow"/>
        </w:rPr>
        <w:t>[CHECK: URL]</w:t>
      </w:r>
      <w:r>
        <w:rPr/>
        <w:t>.</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Plan</w:t>
            </w:r>
          </w:p>
        </w:tc>
        <w:tc>
          <w:tcPr/>
          <w:p>
            <w:pPr>
              <w:pStyle w:val="Compact"/>
              <w:spacing w:line="240" w:lineRule="auto" w:after="0"/>
              <w:jc w:val="left"/>
            </w:pPr>
            <w:r>
              <w:rPr>
                <w:rFonts w:ascii="Times New Roman" w:hAnsi="Times New Roman"/>
                <w:b/>
                <w:sz w:val="20"/>
              </w:rPr>
              <w:t xml:space="preserve">Implementation</w:t>
            </w:r>
          </w:p>
        </w:tc>
        <w:tc>
          <w:tcPr/>
          <w:p>
            <w:pPr>
              <w:pStyle w:val="Compact"/>
              <w:spacing w:line="240" w:lineRule="auto" w:after="0"/>
              <w:jc w:val="left"/>
            </w:pPr>
            <w:r>
              <w:rPr>
                <w:rFonts w:ascii="Times New Roman" w:hAnsi="Times New Roman"/>
                <w:b/>
                <w:sz w:val="20"/>
              </w:rPr>
              <w:t xml:space="preserve">Reason</w:t>
            </w:r>
          </w:p>
        </w:tc>
        <w:tc>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 operational wording (</w:t>
            </w:r>
            <w:r>
              <w:rPr>
                <w:rFonts w:ascii="Times New Roman" w:hAnsi="Times New Roman"/>
                <w:sz w:val="20"/>
              </w:rPr>
              <w:t xml:space="preserve">‘</w:t>
            </w:r>
            <w:r>
              <w:rPr>
                <w:rFonts w:ascii="Times New Roman" w:hAnsi="Times New Roman"/>
                <w:sz w:val="20"/>
              </w:rPr>
              <w:t xml:space="preserve">adjustment for estimated cell composition</w:t>
            </w:r>
            <w:r>
              <w:rPr>
                <w:rFonts w:ascii="Times New Roman" w:hAnsi="Times New Roman"/>
                <w:sz w:val="20"/>
              </w:rPr>
              <w:t xml:space="preserve">’</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bookmarkEnd w:id="29"/>
    <w:bookmarkEnd w:id="30"/>
    <w:bookmarkStart w:id="37" w:name="results"/>
    <w:p>
      <w:pPr>
        <w:pStyle w:val="Heading2"/>
      </w:pPr>
      <w:r>
        <w:t xml:space="preserve">3. Results</w:t>
      </w:r>
    </w:p>
    <w:p>
      <w:pPr>
        <w:pStyle w:val="FirstParagraph"/>
      </w:pPr>
      <w:r>
        <w:t xml:space="preserve">I first report the tests of the two pre-specified hypotheses (Sections 3.1–3.3) and then the exploratory analyses, which do not enter the hypothesis decisions (Sections 3.4–3.6). All numbers come from the facts sheet generated from the locked result files.</w:t>
      </w:r>
    </w:p>
    <w:bookmarkStart w:id="31" w:name="X96ac4f94a06840510e0fc7641785cffc51362ba"/>
    <w:p>
      <w:pPr>
        <w:pStyle w:val="Heading3"/>
      </w:pPr>
      <w:r>
        <w:t xml:space="preserve">3.1 H1: shared DEGs disappear under cell-composition control</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changed in the same direction in both cohorts (Table 3).</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Model</w:t>
            </w:r>
          </w:p>
        </w:tc>
        <w:tc>
          <w:tcPr/>
          <w:p>
            <w:pPr>
              <w:pStyle w:val="Compact"/>
              <w:spacing w:line="240" w:lineRule="auto" w:after="0"/>
              <w:jc w:val="left"/>
            </w:pPr>
            <w:r>
              <w:rPr>
                <w:rFonts w:ascii="Times New Roman" w:hAnsi="Times New Roman"/>
                <w:b/>
                <w:sz w:val="20"/>
              </w:rPr>
              <w:t xml:space="preserve">AD DEGs</w:t>
            </w:r>
          </w:p>
        </w:tc>
        <w:tc>
          <w:tcPr/>
          <w:p>
            <w:pPr>
              <w:pStyle w:val="Compact"/>
              <w:spacing w:line="240" w:lineRule="auto" w:after="0"/>
              <w:jc w:val="left"/>
            </w:pPr>
            <w:r>
              <w:rPr>
                <w:rFonts w:ascii="Times New Roman" w:hAnsi="Times New Roman"/>
                <w:b/>
                <w:sz w:val="20"/>
              </w:rPr>
              <w:t xml:space="preserve">GBM DEGs</w:t>
            </w:r>
          </w:p>
        </w:tc>
        <w:tc>
          <w:tcPr/>
          <w:p>
            <w:pPr>
              <w:pStyle w:val="Compact"/>
              <w:spacing w:line="240" w:lineRule="auto" w:after="0"/>
              <w:jc w:val="left"/>
            </w:pPr>
            <w:r>
              <w:rPr>
                <w:rFonts w:ascii="Times New Roman" w:hAnsi="Times New Roman"/>
                <w:b/>
                <w:sz w:val="20"/>
              </w:rPr>
              <w:t xml:space="preserve">Shared DEGs</w:t>
            </w:r>
          </w:p>
        </w:tc>
        <w:tc>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(for example, correlations with the score of −0.22 for AQP4, −0.27 for GFAP and +0.87 for ETNPPL), which fits with malignant AC-like cells expressing astrocyte markers. The composition adjustment on the GBM side may therefore only partly reflect the proportions of normal glial cells. Given how implausible the MuSiC estimates are, I report Model C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 had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spacing w:line="240" w:lineRule="auto" w:after="0"/>
              <w:jc w:val="left"/>
            </w:pPr>
            <w:r>
              <w:rPr>
                <w:rFonts w:ascii="Times New Roman" w:hAnsi="Times New Roman"/>
                <w:b/>
                <w:sz w:val="20"/>
              </w:rPr>
              <w:t xml:space="preserve">Analysis</w:t>
            </w:r>
          </w:p>
        </w:tc>
        <w:tc>
          <w:tcPr/>
          <w:p>
            <w:pPr>
              <w:pStyle w:val="Compact"/>
              <w:spacing w:line="240" w:lineRule="auto" w:after="0"/>
              <w:jc w:val="left"/>
            </w:pPr>
            <w:r>
              <w:rPr>
                <w:rFonts w:ascii="Times New Roman" w:hAnsi="Times New Roman"/>
                <w:b/>
                <w:sz w:val="20"/>
              </w:rPr>
              <w:t xml:space="preserve">Test 1: RRHO2, DU quadrant</w:t>
            </w:r>
          </w:p>
        </w:tc>
        <w:tc>
          <w:tcPr/>
          <w:p>
            <w:pPr>
              <w:pStyle w:val="Compact"/>
              <w:spacing w:line="240" w:lineRule="auto" w:after="0"/>
              <w:jc w:val="left"/>
            </w:pPr>
            <w:r>
              <w:rPr>
                <w:rFonts w:ascii="Times New Roman" w:hAnsi="Times New Roman"/>
                <w:b/>
                <w:sz w:val="20"/>
              </w:rPr>
              <w:t xml:space="preserve">RRHO2, DD quadrant (comparison)</w:t>
            </w:r>
          </w:p>
        </w:tc>
        <w:tc>
          <w:tcPr/>
          <w:p>
            <w:pPr>
              <w:pStyle w:val="Compact"/>
              <w:spacing w:line="240" w:lineRule="auto" w:after="0"/>
              <w:jc w:val="left"/>
            </w:pPr>
            <w:r>
              <w:rPr>
                <w:rFonts w:ascii="Times New Roman" w:hAnsi="Times New Roman"/>
                <w:b/>
                <w:sz w:val="20"/>
              </w:rPr>
              <w:t xml:space="preserve">Test 2: hypergeometric</w:t>
            </w:r>
          </w:p>
        </w:tc>
        <w:tc>
          <w:tcPr/>
          <w:p>
            <w:pPr>
              <w:pStyle w:val="Compact"/>
              <w:spacing w:line="240" w:lineRule="auto" w:after="0"/>
              <w:jc w:val="left"/>
            </w:pPr>
            <w:r>
              <w:rPr>
                <w:rFonts w:ascii="Times New Roman" w:hAnsi="Times New Roman"/>
                <w:b/>
                <w:sz w:val="20"/>
              </w:rPr>
              <w:t xml:space="preserve">Test 3: permutation</w:t>
            </w:r>
          </w:p>
        </w:tc>
        <w:tc>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I ran a two-arm negative control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9,306 AD DEGs, of which 3,912 were shared with GBM. With the BRETIGEA scores added, 4,242 AD DEGs remained (retention 0.456; diagnosis VIF 1.4), but only 288 shared DEGs did. The shared-DEG ratio was 0.074, below the pre-declared threshold of 0.20, so H1 replicated. With the fold-change thresholds, shared DEGs fell from 1,105 to 3 (ratio 0.003).</w:t>
      </w:r>
    </w:p>
    <w:p>
      <w:pPr>
        <w:pStyle w:val="BodyText"/>
      </w:pPr>
      <w:r>
        <w:t xml:space="preserve">Two things stand out. In this larger RNA-seq cohort, composition adjustment did not wipe out the disease signal: almost half of the AD DEGs survived. The complete loss seen in the 51-sample meta-cohort was therefore probably a feature of that small, ComBat-merged cohort. The shared genes, on the other hand, fared much worse than DEGs in either cohort: 7.4% of them survived adjustment, against 45.6% of AD DEGs and 52.6% of GBM DEGs.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I examined how this signal and the gene counts depend on those analytic choices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I repeated the four-quadrant overlap test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Top N genes</w:t>
            </w:r>
          </w:p>
        </w:tc>
        <w:tc>
          <w:tcPr/>
          <w:p>
            <w:pPr>
              <w:pStyle w:val="Compact"/>
              <w:spacing w:line="240" w:lineRule="auto" w:after="0"/>
              <w:jc w:val="left"/>
            </w:pPr>
            <w:r>
              <w:rPr>
                <w:rFonts w:ascii="Times New Roman" w:hAnsi="Times New Roman"/>
                <w:b/>
                <w:sz w:val="20"/>
              </w:rPr>
              <w:t xml:space="preserve">DD, original</w:t>
            </w:r>
          </w:p>
        </w:tc>
        <w:tc>
          <w:tcPr/>
          <w:p>
            <w:pPr>
              <w:pStyle w:val="Compact"/>
              <w:spacing w:line="240" w:lineRule="auto" w:after="0"/>
              <w:jc w:val="left"/>
            </w:pPr>
            <w:r>
              <w:rPr>
                <w:rFonts w:ascii="Times New Roman" w:hAnsi="Times New Roman"/>
                <w:b/>
                <w:sz w:val="20"/>
              </w:rPr>
              <w:t xml:space="preserve">DD, donor level</w:t>
            </w:r>
          </w:p>
        </w:tc>
        <w:tc>
          <w:tcPr/>
          <w:p>
            <w:pPr>
              <w:pStyle w:val="Compact"/>
              <w:spacing w:line="240" w:lineRule="auto" w:after="0"/>
              <w:jc w:val="left"/>
            </w:pPr>
            <w:r>
              <w:rPr>
                <w:rFonts w:ascii="Times New Roman" w:hAnsi="Times New Roman"/>
                <w:b/>
                <w:sz w:val="20"/>
              </w:rPr>
              <w:t xml:space="preserve">DU, original</w:t>
            </w:r>
          </w:p>
        </w:tc>
        <w:tc>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Donor modelling versus age.</w:t>
      </w:r>
      <w:r>
        <w:t xml:space="preserve"> </w:t>
      </w:r>
      <w:r>
        <w:t xml:space="preserve">To separate the two corrections, I held the Braak II versus Braak 0 contrast fixed and varied donor modelling and age independently (Table 6).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Model</w:t>
            </w:r>
          </w:p>
        </w:tc>
        <w:tc>
          <w:tcPr/>
          <w:p>
            <w:pPr>
              <w:pStyle w:val="Compact"/>
              <w:spacing w:line="240" w:lineRule="auto" w:after="0"/>
              <w:jc w:val="left"/>
            </w:pPr>
            <w:r>
              <w:rPr>
                <w:rFonts w:ascii="Times New Roman" w:hAnsi="Times New Roman"/>
                <w:b/>
                <w:sz w:val="20"/>
              </w:rPr>
              <w:t xml:space="preserve">RRHO2 DD maximum</w:t>
            </w:r>
          </w:p>
        </w:tc>
        <w:tc>
          <w:tcPr/>
          <w:p>
            <w:pPr>
              <w:pStyle w:val="Compact"/>
              <w:spacing w:line="240" w:lineRule="auto" w:after="0"/>
              <w:jc w:val="left"/>
            </w:pPr>
            <w:r>
              <w:rPr>
                <w:rFonts w:ascii="Times New Roman" w:hAnsi="Times New Roman"/>
                <w:b/>
                <w:sz w:val="20"/>
              </w:rPr>
              <w:t xml:space="preserve">RRHO2 DU maximum</w:t>
            </w:r>
          </w:p>
        </w:tc>
        <w:tc>
          <w:tcPr/>
          <w:p>
            <w:pPr>
              <w:pStyle w:val="Compact"/>
              <w:spacing w:line="240" w:lineRule="auto" w:after="0"/>
              <w:jc w:val="left"/>
            </w:pPr>
            <w:r>
              <w:rPr>
                <w:rFonts w:ascii="Times New Roman" w:hAnsi="Times New Roman"/>
                <w:b/>
                <w:sz w:val="20"/>
              </w:rPr>
              <w:t xml:space="preserve">Top-200 DD overlap (expected 10.4)</w:t>
            </w:r>
          </w:p>
        </w:tc>
        <w:tc>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I examined six stress genes taken from the original DD quadrant (CEBPD, FLNA, JUNB, PER1, PFKFB3 and ZFP36L1)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With neuron, astrocyte and microglia marker scores added, all six stayed up and five remained significant (log2FC between 0.27 and 0.44; JUNB: FDR = 0.087). Composition adjustment reduced the number of significant genes across the genome from 9,313 to 4,514 (these counts refer to the Ensembl-level matrix and three marker scores, and differ slightly from those in Section 3.4). Most of the genes in the neuronal category lost significance after this adjustment; only NRN1 remained down (log2FC from −1.30 to −0.45), and BAIAP2 changed direction.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 discuss in Section 4.3.</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[1, 2]. It has encouraged transcriptomic work that looks for shared molecular processes regulated in opposite directions in the two disease groups [3]. For AD and GBM specifically, studies have proposed oppositely regulated signalling pathways from bulk microarray data [4], candidate genes from integrated analyses of bulk and single-cell data [5] and mitochondrial markers from single-cell data [6].</w:t>
      </w:r>
    </w:p>
    <w:p>
      <w:pPr>
        <w:pStyle w:val="BodyText"/>
      </w:pPr>
      <w:r>
        <w:t xml:space="preserve">My results suggest that shared expression changes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[7], and modelling composition estimates as confounders reduces false associations between AD phenotypes and gene expression [8]. The present results suggest that this applies to cross-disease comparisons as well: genes that change in the same direction relative to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[5, 6]. My findings do not invalidate their conclusions. What they do show is that convergence claims resting on the number of shared bulk DEGs are weak evidence unless composition has been controlled.</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[14, 31, 40]. My data fit that literature. But when I separated the two corrections, modelling donor did not remove the DD signal. Adding age did. I had first written that pseudoreplication and the missing age term together produced the signal; the 2 × 2 decomposition, prompted by an external review, showed that this was wrong, and I have corrected it.</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[12], and preregistration lowers that risk by separating hypothesis generation from hypothesis testing [13].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taught me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[41]. Immediate-early genes, the family to which JUNB belongs, can also be induced ex vivo during tissue dissociation in single-cell studies [42], and a similar artefactual signal, most prominent in microglia, has been found in post-mortem human single-nucleus data [43]. With bulk data it is not possible to tell whether the increase reflects the molecular remodelling of reactive astrocytes [44] or technical and agonal factors of this kind.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I do not treat Model C as independent confirmation. There are several possible reasons. The reference is a single-nucleus dataset [21], and a matched comparison in mouse visual cortex found that the nuclear share of total cellular mRNA ranges from about 20% to over 50% depending on the size of the pyramidal neuron [45],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[46].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[47]. The marker-based BRETIGEA method [37] runs into a different problem in tumour tissue: astrocyte-like malignant cells express astrocyte markers [10], so in tumours the astrocyte score partly mixes normal astrocytes with malignant states. GBM tissue also contains variable proportions of immune cells such as macrophages and microglia [48].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[41].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half survived adjustment, so the size of the effect in the meta-cohort should not be generalised; preserving diagnosis as a covariate can inflate significance in later tests when groups are unevenly spread across datasets [36]. The plan’s exclusion criteria for RNA quality and manner of death could not be applied to the GTEx samples.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93% in the replication cohort), while about half of the AD disease signal remained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data-and-code-availability"/>
    <w:p>
      <w:pPr>
        <w:pStyle w:val="Heading2"/>
      </w:pPr>
      <w:r>
        <w:t xml:space="preserve">Data and code availability</w:t>
      </w:r>
    </w:p>
    <w:p>
      <w:pPr>
        <w:pStyle w:val="FirstParagraph"/>
      </w:pPr>
      <w:r>
        <w:t xml:space="preserve">All datasets are public (Table 1). The analysis plan, analysis scripts, deviation register, intermediate results and the facts-sheet script are available in the project repository </w:t>
      </w:r>
      <w:r>
        <w:rPr>
          <w:highlight w:val="yellow"/>
        </w:rPr>
        <w:t>[CHECK: repository URL and Zenodo DOI]</w:t>
      </w:r>
      <w:r>
        <w:rPr/>
        <w:t>.</w:t>
      </w:r>
    </w:p>
    <w:bookmarkEnd w:id="46"/>
    <w:bookmarkStart w:id="47" w:name="funding"/>
    <w:p>
      <w:pPr>
        <w:pStyle w:val="Heading2"/>
      </w:pPr>
      <w:r>
        <w:t xml:space="preserve">Funding</w:t>
      </w:r>
    </w:p>
    <w:p>
      <w:pPr>
        <w:pStyle w:val="FirstParagraph"/>
      </w:pPr>
      <w:r/>
      <w:r>
        <w:rPr>
          <w:highlight w:val="yellow"/>
        </w:rPr>
        <w:t>[CHECK: funding statement]</w:t>
      </w:r>
    </w:p>
    <w:bookmarkEnd w:id="47"/>
    <w:bookmarkStart w:id="48" w:name="competing-interests"/>
    <w:p>
      <w:pPr>
        <w:pStyle w:val="Heading2"/>
      </w:pPr>
      <w:r>
        <w:t xml:space="preserve">Competing interests</w:t>
      </w:r>
    </w:p>
    <w:p>
      <w:pPr>
        <w:pStyle w:val="FirstParagraph"/>
      </w:pPr>
      <w:r/>
      <w:r>
        <w:rPr>
          <w:highlight w:val="yellow"/>
        </w:rPr>
        <w:t>[CHECK: competing interests statement]</w:t>
      </w:r>
    </w:p>
    <w:bookmarkEnd w:id="48"/>
    <w:bookmarkStart w:id="49" w:name="references"/>
    <w:p>
      <w:pPr>
        <w:pStyle w:val="Heading2"/>
      </w:pPr>
      <w:r>
        <w:t xml:space="preserve">References</w:t>
      </w:r>
    </w:p>
    <w:p>
      <w:pPr>
        <w:numPr>
          <w:ilvl w:val="0"/>
          <w:numId w:val="1001"/>
        </w:numPr>
        <w:pStyle w:val="Compact"/>
      </w:pPr>
      <w:r>
        <w:t xml:space="preserve">Driver JA, Beiser A, Au R, et al. Inverse association between cancer and Alzheimer’s disease: results from the Framingham Heart Study. BMJ. 2012;344:e1442. doi:10.1136/bmj.e1442</w:t>
      </w:r>
    </w:p>
    <w:p>
      <w:pPr>
        <w:numPr>
          <w:ilvl w:val="0"/>
          <w:numId w:val="1001"/>
        </w:numPr>
        <w:pStyle w:val="Compact"/>
      </w:pPr>
      <w:r>
        <w:t xml:space="preserve">Musicco M, Adorni F, Di Santo S, et al. Inverse occurrence of cancer and Alzheimer disease: a population-based incidence study. Neurology. 2013;81(4):322-328. doi:10.1212/WNL.0b013e31829c5ec1</w:t>
      </w:r>
    </w:p>
    <w:p>
      <w:pPr>
        <w:numPr>
          <w:ilvl w:val="0"/>
          <w:numId w:val="1001"/>
        </w:numPr>
        <w:pStyle w:val="Compact"/>
      </w:pPr>
      <w:r>
        <w:t xml:space="preserve">Ibáñez K, Boullosa C, Tabarés-Seisdedos R, Baudot A, Valencia A. Molecular evidence for the inverse comorbidity between central nervous system disorders and cancers detected by transcriptomic meta-analyses. PLoS Genet. 2014;10(2):e1004173. doi:10.1371/journal.pgen.1004173</w:t>
      </w:r>
    </w:p>
    <w:p>
      <w:pPr>
        <w:numPr>
          <w:ilvl w:val="0"/>
          <w:numId w:val="1001"/>
        </w:numPr>
        <w:pStyle w:val="Compact"/>
      </w:pPr>
      <w:r>
        <w:t xml:space="preserve">Liu T, Ren D, Zhu X, et al. Transcriptional signaling pathways inversely regulated in Alzheimer’s disease and glioblastoma multiform. Sci Rep. 2013;3:3467. doi:10.1038/srep03467</w:t>
      </w:r>
    </w:p>
    <w:p>
      <w:pPr>
        <w:numPr>
          <w:ilvl w:val="0"/>
          <w:numId w:val="1001"/>
        </w:numPr>
        <w:pStyle w:val="Compact"/>
      </w:pPr>
      <w:r>
        <w:t xml:space="preserve">Liu T, Pu J, Theil S, et al. Potential role of TNFRSF12A in linking glioblastoma and Alzheimer’s disease via shared tumour suppressor pathways. Sci Rep. 2025;15(1):21535. doi:10.1038/s41598-025-08000-7</w:t>
      </w:r>
    </w:p>
    <w:p>
      <w:pPr>
        <w:numPr>
          <w:ilvl w:val="0"/>
          <w:numId w:val="1001"/>
        </w:numPr>
        <w:pStyle w:val="Compact"/>
      </w:pPr>
      <w:r>
        <w:t xml:space="preserve">Xu X, Wang J, Chen T, et al. Deciphering novel mitochondrial signatures: multi-omics analysis uncovers cross-disease markers and oligodendrocyte pathways in Alzheimer’s disease and glioblastoma. Front Aging Neurosci. 2025;17:1536142. doi:10.3389/fnagi.2025.1536142</w:t>
      </w:r>
    </w:p>
    <w:p>
      <w:pPr>
        <w:numPr>
          <w:ilvl w:val="0"/>
          <w:numId w:val="1001"/>
        </w:numPr>
        <w:pStyle w:val="Compact"/>
      </w:pPr>
      <w:r>
        <w:t xml:space="preserve">Kelley KW, Nakao-Inoue H, Molofsky AV, Oldham MC. Variation among intact tissue samples reveals the core transcriptional features of human CNS cell classes. Nat Neurosci. 2018;21(9):1171-1184. doi:10.1038/s41593-018-0216-z</w:t>
      </w:r>
    </w:p>
    <w:p>
      <w:pPr>
        <w:numPr>
          <w:ilvl w:val="0"/>
          <w:numId w:val="1001"/>
        </w:numPr>
        <w:pStyle w:val="Compact"/>
      </w:pPr>
      <w:r>
        <w:t xml:space="preserve">Patrick E, Taga M, Ergun A, et al. Deconvolving the contributions of cell-type heterogeneity on cortical gene expression. PLoS Comput Biol. 2020;16(8):e1008120. doi:10.1371/journal.pcbi.1008120</w:t>
      </w:r>
    </w:p>
    <w:p>
      <w:pPr>
        <w:numPr>
          <w:ilvl w:val="0"/>
          <w:numId w:val="1001"/>
        </w:numPr>
        <w:pStyle w:val="Compact"/>
      </w:pPr>
      <w:r>
        <w:t xml:space="preserve">Leng K, Li E, Eser R, et al. Molecular characterization of selectively vulnerable neurons in Alzheimer’s disease. Nat Neurosci. 2021;24(2):276-287. doi:10.1038/s41593-020-00764-7</w:t>
      </w:r>
    </w:p>
    <w:p>
      <w:pPr>
        <w:numPr>
          <w:ilvl w:val="0"/>
          <w:numId w:val="1001"/>
        </w:numPr>
        <w:pStyle w:val="Compact"/>
      </w:pPr>
      <w:r>
        <w:t xml:space="preserve">Neftel C, Laffy J, Filbin MG, et al. An integrative model of cellular states, plasticity, and genetics for glioblastoma. Cell. 2019;178(4):835-849.e21. doi:10.1016/j.cell.2019.06.024</w:t>
      </w:r>
    </w:p>
    <w:p>
      <w:pPr>
        <w:numPr>
          <w:ilvl w:val="0"/>
          <w:numId w:val="1001"/>
        </w:numPr>
        <w:pStyle w:val="Compact"/>
      </w:pPr>
      <w:r>
        <w:t xml:space="preserve">Venkatesh HS, Morishita W, Geraghty AC, et al. Electrical and synaptic integration of glioma into neural circuits. Nature. 2019;573(7775):539-545. doi:10.1038/s41586-019-1563-y</w:t>
      </w:r>
    </w:p>
    <w:p>
      <w:pPr>
        <w:numPr>
          <w:ilvl w:val="0"/>
          <w:numId w:val="1001"/>
        </w:numPr>
        <w:pStyle w:val="Compact"/>
      </w:pPr>
      <w:r>
        <w:t xml:space="preserve">Simmons JP, Nelson LD, Simonsohn U. False-positive psychology: undisclosed flexibility in data collection and analysis allows presenting anything as significant. Psychol Sci. 2011;22(11):1359-1366. doi:10.1177/0956797611417632</w:t>
      </w:r>
    </w:p>
    <w:p>
      <w:pPr>
        <w:numPr>
          <w:ilvl w:val="0"/>
          <w:numId w:val="1001"/>
        </w:numPr>
        <w:pStyle w:val="Compact"/>
      </w:pPr>
      <w:r>
        <w:t xml:space="preserve">Nosek BA, Ebersole CR, DeHaven AC, Mellor DT. The preregistration revolution. Proc Natl Acad Sci U S A. 2018;115(11):2600-2606. doi:10.1073/pnas.1708274114</w:t>
      </w:r>
    </w:p>
    <w:p>
      <w:pPr>
        <w:numPr>
          <w:ilvl w:val="0"/>
          <w:numId w:val="1001"/>
        </w:numPr>
        <w:pStyle w:val="Compact"/>
      </w:pPr>
      <w:r>
        <w:t xml:space="preserve">Squair JW, Gautier M, Kathe C, et al. Confronting false discoveries in single-cell differential expression. Nat Commun. 2021;12(1):5692. doi:10.1038/s41467-021-25960-2</w:t>
      </w:r>
    </w:p>
    <w:p>
      <w:pPr>
        <w:numPr>
          <w:ilvl w:val="0"/>
          <w:numId w:val="1001"/>
        </w:numPr>
        <w:pStyle w:val="Compact"/>
      </w:pPr>
      <w:r>
        <w:t xml:space="preserve">Berchtold NC, Coleman PD, Cribbs DH, et al. Synaptic genes are extensively downregulated across multiple brain regions in normal human aging and Alzheimer’s disease. Neurobiol Aging. 2013;34(6):1653-1661. doi:10.1016/j.neurobiolaging.2012.11.024</w:t>
      </w:r>
    </w:p>
    <w:p>
      <w:pPr>
        <w:numPr>
          <w:ilvl w:val="0"/>
          <w:numId w:val="1001"/>
        </w:numPr>
        <w:pStyle w:val="Compact"/>
      </w:pPr>
      <w:r>
        <w:t xml:space="preserve">Hokama M, Oka S, Leon J, et al. Altered expression of diabetes-related genes in Alzheimer’s disease brains: the Hisayama study. Cereb Cortex. 2014;24(9):2476-2488. doi:10.1093/cercor/bht101</w:t>
      </w:r>
    </w:p>
    <w:p>
      <w:pPr>
        <w:numPr>
          <w:ilvl w:val="0"/>
          <w:numId w:val="1001"/>
        </w:numPr>
        <w:pStyle w:val="Compact"/>
      </w:pPr>
      <w:r>
        <w:t xml:space="preserve">Brennan CW, Verhaak RGW, McKenna A, et al. The somatic genomic landscape of glioblastoma. Cell. 2013;155(2):462-477. doi:10.1016/j.cell.2013.09.034</w:t>
      </w:r>
    </w:p>
    <w:p>
      <w:pPr>
        <w:numPr>
          <w:ilvl w:val="0"/>
          <w:numId w:val="1001"/>
        </w:numPr>
        <w:pStyle w:val="Compact"/>
      </w:pPr>
      <w:r>
        <w:t xml:space="preserve">GTEx Consortium. The GTEx Consortium atlas of genetic regulatory effects across human tissues. Science. 2020;369(6509):1318-1330. doi:10.1126/science.aaz1776</w:t>
      </w:r>
    </w:p>
    <w:p>
      <w:pPr>
        <w:numPr>
          <w:ilvl w:val="0"/>
          <w:numId w:val="1001"/>
        </w:numPr>
        <w:pStyle w:val="Compact"/>
      </w:pPr>
      <w:r>
        <w:t xml:space="preserve">Goldman MJ, Craft B, Hastie M, et al. Visualizing and interpreting cancer genomics data via the Xena platform. Nat Biotechnol. 2020;38(6):675-678. doi:10.1038/s41587-020-0546-8</w:t>
      </w:r>
    </w:p>
    <w:p>
      <w:pPr>
        <w:numPr>
          <w:ilvl w:val="0"/>
          <w:numId w:val="1001"/>
        </w:numPr>
        <w:pStyle w:val="Compact"/>
      </w:pPr>
      <w:r>
        <w:t xml:space="preserve">Vivian J, Rao AA, Nothaft FA, et al. Toil enables reproducible, open source, big biomedical data analyses. Nat Biotechnol. 2017;35(4):314-316. doi:10.1038/nbt.3772</w:t>
      </w:r>
    </w:p>
    <w:p>
      <w:pPr>
        <w:numPr>
          <w:ilvl w:val="0"/>
          <w:numId w:val="1001"/>
        </w:numPr>
        <w:pStyle w:val="Compact"/>
      </w:pPr>
      <w:r>
        <w:t xml:space="preserve">Bakken TE, Jorstad NL, Hu Q, et al. Comparative cellular analysis of motor cortex in human, marmoset and mouse. Nature. 2021;598(7879):111-119. doi:10.1038/s41586-021-03465-8</w:t>
      </w:r>
    </w:p>
    <w:p>
      <w:pPr>
        <w:numPr>
          <w:ilvl w:val="0"/>
          <w:numId w:val="1001"/>
        </w:numPr>
        <w:pStyle w:val="Compact"/>
      </w:pPr>
      <w:r>
        <w:t xml:space="preserve">Wilks C, Zheng SC, Chen FY, et al. recount3: summaries and queries for large-scale RNA-seq expression and splicing. Genome Biol. 2021;22(1):323. doi:10.1186/s13059-021-02533-6</w:t>
      </w:r>
    </w:p>
    <w:p>
      <w:pPr>
        <w:numPr>
          <w:ilvl w:val="0"/>
          <w:numId w:val="1001"/>
        </w:numPr>
        <w:pStyle w:val="Compact"/>
      </w:pPr>
      <w:r>
        <w:t xml:space="preserve">Johansen N, Quon G. scAlign: a tool for alignment, integration, and rare cell identification from scRNA-seq data. Genome Biol. 2019;20(1):166. doi:10.1186/s13059-019-1766-4</w:t>
      </w:r>
    </w:p>
    <w:p>
      <w:pPr>
        <w:numPr>
          <w:ilvl w:val="0"/>
          <w:numId w:val="1001"/>
        </w:numPr>
        <w:pStyle w:val="Compact"/>
      </w:pPr>
      <w:r>
        <w:t xml:space="preserve">Robinson MD, McCarthy DJ, Smyth GK. edgeR: a Bioconductor package for differential expression analysis of digital gene expression data. Bioinformatics. 2010;26(1):139-140. doi:10.1093/bioinformatics/btp616</w:t>
      </w:r>
    </w:p>
    <w:p>
      <w:pPr>
        <w:numPr>
          <w:ilvl w:val="0"/>
          <w:numId w:val="1001"/>
        </w:numPr>
        <w:pStyle w:val="Compact"/>
      </w:pPr>
      <w:r>
        <w:t xml:space="preserve">Chen Y, Lun ATL, Smyth GK. From reads to genes to pathways: differential expression analysis of RNA-Seq experiments using Rsubread and the edgeR quasi-likelihood pipeline. F1000Res. 2016;5:1438. doi:10.12688/f1000research.8987.2</w:t>
      </w:r>
    </w:p>
    <w:p>
      <w:pPr>
        <w:numPr>
          <w:ilvl w:val="0"/>
          <w:numId w:val="1001"/>
        </w:numPr>
        <w:pStyle w:val="Compact"/>
      </w:pPr>
      <w:r>
        <w:t xml:space="preserve">Robinson MD, Oshlack A. A scaling normalization method for differential expression analysis of RNA-seq data. Genome Biol. 2010;11(3):R25. doi:10.1186/gb-2010-11-3-r25</w:t>
      </w:r>
    </w:p>
    <w:p>
      <w:pPr>
        <w:numPr>
          <w:ilvl w:val="0"/>
          <w:numId w:val="1001"/>
        </w:numPr>
        <w:pStyle w:val="Compact"/>
      </w:pPr>
      <w:r>
        <w:t xml:space="preserve">Benjamini Y, Hochberg Y. Controlling the false discovery rate: a practical and powerful approach to multiple testing. J R Stat Soc Series B Stat Methodol. 1995;57(1):289-300. doi:10.1111/j.2517-6161.1995.tb02031.x</w:t>
      </w:r>
    </w:p>
    <w:p>
      <w:pPr>
        <w:numPr>
          <w:ilvl w:val="0"/>
          <w:numId w:val="1001"/>
        </w:numPr>
        <w:pStyle w:val="Compact"/>
      </w:pPr>
      <w:r>
        <w:t xml:space="preserve">Ritchie ME, Phipson B, Wu D, et al. limma powers differential expression analyses for RNA-sequencing and microarray studies. Nucleic Acids Res. 2015;43(7):e47. doi:10.1093/nar/gkv007</w:t>
      </w:r>
    </w:p>
    <w:p>
      <w:pPr>
        <w:numPr>
          <w:ilvl w:val="0"/>
          <w:numId w:val="1001"/>
        </w:numPr>
        <w:pStyle w:val="Compact"/>
      </w:pPr>
      <w:r>
        <w:t xml:space="preserve">Law CW, Chen Y, Shi W, Smyth GK. voom: precision weights unlock linear model analysis tools for RNA-seq read counts. Genome Biol. 2014;15(2):R29. doi:10.1186/gb-2014-15-2-r29</w:t>
      </w:r>
    </w:p>
    <w:p>
      <w:pPr>
        <w:numPr>
          <w:ilvl w:val="0"/>
          <w:numId w:val="1001"/>
        </w:numPr>
        <w:pStyle w:val="Compact"/>
      </w:pPr>
      <w:r>
        <w:t xml:space="preserve">Smyth GK, Michaud J, Scott HS. Use of within-array replicate spots for assessing differential expression in microarray experiments. Bioinformatics. 2005;21(9):2067-2075. doi:10.1093/bioinformatics/bti270</w:t>
      </w:r>
    </w:p>
    <w:p>
      <w:pPr>
        <w:numPr>
          <w:ilvl w:val="0"/>
          <w:numId w:val="1001"/>
        </w:numPr>
        <w:pStyle w:val="Compact"/>
      </w:pPr>
      <w:r>
        <w:t xml:space="preserve">Zimmerman KD, Espeland MA, Langefeld CD. A practical solution to pseudoreplication bias in single-cell studies. Nat Commun. 2021;12(1):738. doi:10.1038/s41467-021-21038-1</w:t>
      </w:r>
    </w:p>
    <w:p>
      <w:pPr>
        <w:numPr>
          <w:ilvl w:val="0"/>
          <w:numId w:val="1001"/>
        </w:numPr>
        <w:pStyle w:val="Compact"/>
      </w:pPr>
      <w:r>
        <w:t xml:space="preserve">Cahill KM, Huo Z, Tseng GC, Logan RW, Seney ML. Improved identification of concordant and discordant gene expression signatures using an updated rank-rank hypergeometric overlap approach. Sci Rep. 2018;8(1):9588. doi:10.1038/s41598-018-27903-2</w:t>
      </w:r>
    </w:p>
    <w:p>
      <w:pPr>
        <w:numPr>
          <w:ilvl w:val="0"/>
          <w:numId w:val="1001"/>
        </w:numPr>
        <w:pStyle w:val="Compact"/>
      </w:pPr>
      <w:r>
        <w:t xml:space="preserve">Irizarry RA, Hobbs B, Collin F, et al. Exploration, normalization, and summaries of high density oligonucleotide array probe level data. Biostatistics. 2003;4(2):249-264. doi:10.1093/biostatistics/4.2.249</w:t>
      </w:r>
    </w:p>
    <w:p>
      <w:pPr>
        <w:numPr>
          <w:ilvl w:val="0"/>
          <w:numId w:val="1001"/>
        </w:numPr>
        <w:pStyle w:val="Compact"/>
      </w:pPr>
      <w:r>
        <w:t xml:space="preserve">Johnson WE, Li C, Rabinovic A. Adjusting batch effects in microarray expression data using empirical Bayes methods. Biostatistics. 2007;8(1):118-127. doi:10.1093/biostatistics/kxj037</w:t>
      </w:r>
    </w:p>
    <w:p>
      <w:pPr>
        <w:numPr>
          <w:ilvl w:val="0"/>
          <w:numId w:val="1001"/>
        </w:numPr>
        <w:pStyle w:val="Compact"/>
      </w:pPr>
      <w:r>
        <w:t xml:space="preserve">Leek JT, Johnson WE, Parker HS, Jaffe AE, Storey JD. The sva package for removing batch effects and other unwanted variation in high-throughput experiments. Bioinformatics. 2012;28(6):882-883. doi:10.1093/bioinformatics/bts034</w:t>
      </w:r>
    </w:p>
    <w:p>
      <w:pPr>
        <w:numPr>
          <w:ilvl w:val="0"/>
          <w:numId w:val="1001"/>
        </w:numPr>
        <w:pStyle w:val="Compact"/>
      </w:pPr>
      <w:r>
        <w:t xml:space="preserve">Nygaard V, Rødland EA, Hovig E. Methods that remove batch effects while retaining group differences may lead to exaggerated confidence in downstream analyses. Biostatistics. 2016;17(1):29-39. doi:10.1093/biostatistics/kxv027</w:t>
      </w:r>
    </w:p>
    <w:p>
      <w:pPr>
        <w:numPr>
          <w:ilvl w:val="0"/>
          <w:numId w:val="1001"/>
        </w:numPr>
        <w:pStyle w:val="Compact"/>
      </w:pPr>
      <w:r>
        <w:t xml:space="preserve">McKenzie AT, Wang M, Hauberg ME, et al. Brain cell type specific gene expression and co-expression network architectures. Sci Rep. 2018;8(1):8868. doi:10.1038/s41598-018-27293-5</w:t>
      </w:r>
    </w:p>
    <w:p>
      <w:pPr>
        <w:numPr>
          <w:ilvl w:val="0"/>
          <w:numId w:val="1001"/>
        </w:numPr>
        <w:pStyle w:val="Compact"/>
      </w:pPr>
      <w:r>
        <w:t xml:space="preserve">Wang J, Roeder K, Devlin B. Bayesian estimation of cell type-specific gene expression with prior derived from single-cell data. Genome Res. 2021. doi:10.1101/gr.268722.120 </w:t>
      </w:r>
      <w:r>
        <w:rPr>
          <w:highlight w:val="yellow"/>
        </w:rPr>
        <w:t>[CHECK: volume and pages]</w:t>
      </w:r>
    </w:p>
    <w:p>
      <w:pPr>
        <w:numPr>
          <w:ilvl w:val="0"/>
          <w:numId w:val="1001"/>
        </w:numPr>
        <w:pStyle w:val="Compact"/>
      </w:pPr>
      <w:r>
        <w:t xml:space="preserve">Wang X, Park J, Susztak K, Zhang NR, Li M. Bulk tissue cell type deconvolution with multi-subject single-cell expression reference. Nat Commun. 2019;10(1):380. doi:10.1038/s41467-018-08023-x</w:t>
      </w:r>
    </w:p>
    <w:p>
      <w:pPr>
        <w:numPr>
          <w:ilvl w:val="0"/>
          <w:numId w:val="1001"/>
        </w:numPr>
        <w:pStyle w:val="Compact"/>
      </w:pPr>
      <w:r>
        <w:t xml:space="preserve">Crowell HL, Soneson C, Germain PL, et al. muscat detects subpopulation-specific state transitions from multi-sample multi-condition single-cell transcriptomics data. Nat Commun. 2020;11(1):6077. doi:10.1038/s41467-020-19894-4</w:t>
      </w:r>
    </w:p>
    <w:p>
      <w:pPr>
        <w:numPr>
          <w:ilvl w:val="0"/>
          <w:numId w:val="1001"/>
        </w:numPr>
        <w:pStyle w:val="Compact"/>
      </w:pPr>
      <w:r>
        <w:t xml:space="preserve">Tomita H, Vawter MP, Walsh DM, et al. Effect of agonal and postmortem factors on gene expression profile: quality control in microarray analyses of postmortem human brain. Biol Psychiatry. 2004;55(4):346-352. doi:10.1016/j.biopsych.2003.10.013</w:t>
      </w:r>
    </w:p>
    <w:p>
      <w:pPr>
        <w:numPr>
          <w:ilvl w:val="0"/>
          <w:numId w:val="1001"/>
        </w:numPr>
        <w:pStyle w:val="Compact"/>
      </w:pPr>
      <w:r>
        <w:t xml:space="preserve">van den Brink SC, Sage F, Vértesy Á, et al. Single-cell sequencing reveals dissociation-induced gene expression in tissue subpopulations. Nat Methods. 2017;14(10):935-936. doi:10.1038/nmeth.4437</w:t>
      </w:r>
    </w:p>
    <w:p>
      <w:pPr>
        <w:numPr>
          <w:ilvl w:val="0"/>
          <w:numId w:val="1001"/>
        </w:numPr>
        <w:pStyle w:val="Compact"/>
      </w:pPr>
      <w:r>
        <w:t xml:space="preserve">Marsh SE, Walker AJ, Kamath T, et al. Dissection of artifactual and confounding glial signatures by single-cell sequencing of mouse and human brain. Nat Neurosci. 2022;25(3):306-316. doi:10.1038/s41593-022-01022-8</w:t>
      </w:r>
    </w:p>
    <w:p>
      <w:pPr>
        <w:numPr>
          <w:ilvl w:val="0"/>
          <w:numId w:val="1001"/>
        </w:numPr>
        <w:pStyle w:val="Compact"/>
      </w:pPr>
      <w:r>
        <w:t xml:space="preserve">Escartin C, Galea E, Lakatos A, et al. Reactive astrocyte nomenclature, definitions, and future directions. Nat Neurosci. 2021;24(3):312-325. doi:10.1038/s41593-020-00783-4</w:t>
      </w:r>
    </w:p>
    <w:p>
      <w:pPr>
        <w:numPr>
          <w:ilvl w:val="0"/>
          <w:numId w:val="1001"/>
        </w:numPr>
        <w:pStyle w:val="Compact"/>
      </w:pPr>
      <w:r>
        <w:t xml:space="preserve">Bakken TE, Hodge RD, Miller JA, et al. Single-nucleus and single-cell transcriptomes compared in matched cortical cell types. PLoS One. 2018;13(12):e0209648. doi:10.1371/journal.pone.0209648</w:t>
      </w:r>
    </w:p>
    <w:p>
      <w:pPr>
        <w:numPr>
          <w:ilvl w:val="0"/>
          <w:numId w:val="1001"/>
        </w:numPr>
        <w:pStyle w:val="Compact"/>
      </w:pPr>
      <w:r>
        <w:t xml:space="preserve">Avila Cobos F, Alquicira-Hernandez J, Powell JE, Mestdagh P, De Preter K. Benchmarking of cell type deconvolution pipelines for transcriptomics data. Nat Commun. 2020;11(1):5650. doi:10.1038/s41467-020-19015-1</w:t>
      </w:r>
    </w:p>
    <w:p>
      <w:pPr>
        <w:numPr>
          <w:ilvl w:val="0"/>
          <w:numId w:val="1001"/>
        </w:numPr>
        <w:pStyle w:val="Compact"/>
      </w:pPr>
      <w:r>
        <w:t xml:space="preserve">Sutton GJ, Poppe D, Simmons RK, et al. Comprehensive evaluation of deconvolution methods for human brain gene expression. Nat Commun. 2022;13(1):1358. doi:10.1038/s41467-022-28655-4</w:t>
      </w:r>
    </w:p>
    <w:p>
      <w:pPr>
        <w:numPr>
          <w:ilvl w:val="0"/>
          <w:numId w:val="1001"/>
        </w:numPr>
        <w:pStyle w:val="Compact"/>
      </w:pPr>
      <w:r>
        <w:t xml:space="preserve">Wang Q, Hu B, Hu X, et al. Tumor evolution of glioma-intrinsic gene expression subtypes associates with immunological changes in the microenvironment. Cancer Cell. 2017;32(1):42-56.e6. doi:10.1016/j.ccell.2017.06.003</w:t>
      </w:r>
    </w:p>
    <w:bookmarkEnd w:id="49"/>
    <w:bookmarkStart w:id="50"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w:t>
      </w:r>
    </w:p>
    <w:bookmarkEnd w:id="50"/>
    <w:bookmarkEnd w:id="51"/>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2026-09-28T10:06:31Z</dcterms:created>
  <dcterms:modified xsi:type="dcterms:W3CDTF">2026-09-28T10:06:31Z</dcterms:modified>
</cp:coreProperties>
</file>

<file path=docProps/custom.xml><?xml version="1.0" encoding="utf-8"?>
<Properties xmlns="http://schemas.openxmlformats.org/officeDocument/2006/custom-properties" xmlns:vt="http://schemas.openxmlformats.org/officeDocument/2006/docPropsVTypes"/>
</file>