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ethods-draft-outline"/>
    <w:p>
      <w:pPr>
        <w:pStyle w:val="Heading1"/>
      </w:pPr>
      <w:r>
        <w:t xml:space="preserve">Methods — Draft Outline</w:t>
      </w:r>
    </w:p>
    <w:p>
      <w:pPr>
        <w:pStyle w:val="FirstParagraph"/>
      </w:pPr>
      <w:r>
        <w:rPr>
          <w:b/>
          <w:bCs/>
        </w:rPr>
        <w:t xml:space="preserve">Manuscript:</w:t>
      </w:r>
      <w:r>
        <w:t xml:space="preserve"> </w:t>
      </w:r>
      <w:r>
        <w:t xml:space="preserve">Cross-disease transcriptomic convergence of Alzheimer’s disease and glioblastoma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Ahmet Karakuş, Bartın Üniversitesi</w:t>
      </w:r>
      <w:r>
        <w:t xml:space="preserve"> </w:t>
      </w:r>
      <w:r>
        <w:rPr>
          <w:b/>
          <w:bCs/>
        </w:rPr>
        <w:t xml:space="preserve">Language:</w:t>
      </w:r>
      <w:r>
        <w:t xml:space="preserve"> </w:t>
      </w:r>
      <w:r>
        <w:t xml:space="preserve">Turkish (draft), edilgen ağırlıklı akademik üslup</w:t>
      </w:r>
      <w:r>
        <w:t xml:space="preserve"> </w:t>
      </w:r>
      <w:r>
        <w:rPr>
          <w:b/>
          <w:bCs/>
        </w:rPr>
        <w:t xml:space="preserve">Started:</w:t>
      </w:r>
      <w:r>
        <w:t xml:space="preserve"> </w:t>
      </w:r>
      <w:r>
        <w:t xml:space="preserve">2026-09-23 afternoon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Outline — draft to follow</w:t>
      </w:r>
    </w:p>
    <w:p>
      <w:r>
        <w:pict>
          <v:rect style="width:0;height:1.5pt" o:hralign="center" o:hrstd="t" o:hr="t"/>
        </w:pict>
      </w:r>
    </w:p>
    <w:bookmarkStart w:id="11" w:name="data-sources-veri-kaynakları"/>
    <w:p>
      <w:pPr>
        <w:pStyle w:val="Heading2"/>
      </w:pPr>
      <w:r>
        <w:t xml:space="preserve">2.1 Data sources (Veri kaynakları)</w:t>
      </w:r>
    </w:p>
    <w:bookmarkStart w:id="9" w:name="discovery-cohorts-single-cell"/>
    <w:p>
      <w:pPr>
        <w:pStyle w:val="Heading3"/>
      </w:pPr>
      <w:r>
        <w:t xml:space="preserve">2.1.1 Discovery cohorts (single-cell)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Leng et al. 2021</w:t>
      </w:r>
      <w:r>
        <w:t xml:space="preserve"> </w:t>
      </w:r>
      <w:r>
        <w:t xml:space="preserve">— GEO GSE147528 (snRNA-seq)</w:t>
      </w:r>
    </w:p>
    <w:p>
      <w:pPr>
        <w:pStyle w:val="Compact"/>
        <w:numPr>
          <w:ilvl w:val="1"/>
          <w:numId w:val="1002"/>
        </w:numPr>
      </w:pPr>
      <w:r>
        <w:t xml:space="preserve">Post-mortem human brain: entorhinal cortex + superior frontal cortex</w:t>
      </w:r>
    </w:p>
    <w:p>
      <w:pPr>
        <w:pStyle w:val="Compact"/>
        <w:numPr>
          <w:ilvl w:val="1"/>
          <w:numId w:val="1002"/>
        </w:numPr>
      </w:pPr>
      <w:r>
        <w:t xml:space="preserve">n=42 donors across Braak stages 0-VI</w:t>
      </w:r>
    </w:p>
    <w:p>
      <w:pPr>
        <w:pStyle w:val="Compact"/>
        <w:numPr>
          <w:ilvl w:val="1"/>
          <w:numId w:val="1002"/>
        </w:numPr>
      </w:pPr>
      <w:r>
        <w:t xml:space="preserve">Cell type: RORB+ excitatory neurons (Braak stage ≥IV vulnerable)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Neftel et al. 2019</w:t>
      </w:r>
      <w:r>
        <w:t xml:space="preserve"> </w:t>
      </w:r>
      <w:r>
        <w:t xml:space="preserve">— GEO GSE131928 (snRNA-seq + smart-seq2)</w:t>
      </w:r>
    </w:p>
    <w:p>
      <w:pPr>
        <w:pStyle w:val="Compact"/>
        <w:numPr>
          <w:ilvl w:val="1"/>
          <w:numId w:val="1003"/>
        </w:numPr>
      </w:pPr>
      <w:r>
        <w:t xml:space="preserve">Adult and pediatric GBM tumors</w:t>
      </w:r>
    </w:p>
    <w:p>
      <w:pPr>
        <w:pStyle w:val="Compact"/>
        <w:numPr>
          <w:ilvl w:val="1"/>
          <w:numId w:val="1003"/>
        </w:numPr>
      </w:pPr>
      <w:r>
        <w:t xml:space="preserve">n=28 samples</w:t>
      </w:r>
    </w:p>
    <w:p>
      <w:pPr>
        <w:pStyle w:val="Compact"/>
        <w:numPr>
          <w:ilvl w:val="1"/>
          <w:numId w:val="1003"/>
        </w:numPr>
      </w:pPr>
      <w:r>
        <w:t xml:space="preserve">Cell state: NPC-like, OPC-like, AC-like, MES-like</w:t>
      </w:r>
    </w:p>
    <w:bookmarkEnd w:id="9"/>
    <w:bookmarkStart w:id="10" w:name="validation-cohorts-bulk"/>
    <w:p>
      <w:pPr>
        <w:pStyle w:val="Heading3"/>
      </w:pPr>
      <w:r>
        <w:t xml:space="preserve">2.1.2 Validation cohorts (bulk)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GSE125583</w:t>
      </w:r>
      <w:r>
        <w:t xml:space="preserve"> </w:t>
      </w:r>
      <w:r>
        <w:t xml:space="preserve">— Bulk RNA-seq, fusiform gyrus</w:t>
      </w:r>
    </w:p>
    <w:p>
      <w:pPr>
        <w:pStyle w:val="Compact"/>
        <w:numPr>
          <w:ilvl w:val="1"/>
          <w:numId w:val="1005"/>
        </w:numPr>
      </w:pPr>
      <w:r>
        <w:t xml:space="preserve">n=289 (Advanced AD, All AD, Control)</w:t>
      </w:r>
    </w:p>
    <w:p>
      <w:pPr>
        <w:pStyle w:val="Compact"/>
        <w:numPr>
          <w:ilvl w:val="1"/>
          <w:numId w:val="1005"/>
        </w:numPr>
      </w:pPr>
      <w:r>
        <w:t xml:space="preserve">Braak stage stratified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TCGA-GBM</w:t>
      </w:r>
      <w:r>
        <w:t xml:space="preserve"> </w:t>
      </w:r>
      <w:r>
        <w:t xml:space="preserve">— recount3 pipeline</w:t>
      </w:r>
    </w:p>
    <w:p>
      <w:pPr>
        <w:pStyle w:val="Compact"/>
        <w:numPr>
          <w:ilvl w:val="1"/>
          <w:numId w:val="1006"/>
        </w:numPr>
      </w:pPr>
      <w:r>
        <w:t xml:space="preserve">n=157 primary GBM tumors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GTEx cortex</w:t>
      </w:r>
      <w:r>
        <w:t xml:space="preserve"> </w:t>
      </w:r>
      <w:r>
        <w:t xml:space="preserve">— recount3 pipeline</w:t>
      </w:r>
    </w:p>
    <w:p>
      <w:pPr>
        <w:pStyle w:val="Compact"/>
        <w:numPr>
          <w:ilvl w:val="1"/>
          <w:numId w:val="1007"/>
        </w:numPr>
      </w:pPr>
      <w:r>
        <w:t xml:space="preserve">n=510 non-tumor cortical brain samples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5d23857de571f011cf528eb1168a71f274a325b"/>
    <w:p>
      <w:pPr>
        <w:pStyle w:val="Heading2"/>
      </w:pPr>
      <w:r>
        <w:t xml:space="preserve">2.2 Stage 1: AD-vulnerable neuron signature (Leng)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Cell filter:</w:t>
      </w:r>
      <w:r>
        <w:t xml:space="preserve"> </w:t>
      </w:r>
      <w:r>
        <w:t xml:space="preserve">RORB+ excitatory neurons (Braak stage ≥IV subset)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Pseudo-bulk aggregation:</w:t>
      </w:r>
      <w:r>
        <w:t xml:space="preserve"> </w:t>
      </w:r>
      <w:r>
        <w:t xml:space="preserve">Sum counts per donor per cell type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 analysis:</w:t>
      </w:r>
      <w:r>
        <w:t xml:space="preserve"> </w:t>
      </w:r>
      <w:r>
        <w:t xml:space="preserve">edgeR quasi-likelihood F-test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Contrast:</w:t>
      </w:r>
      <w:r>
        <w:t xml:space="preserve"> </w:t>
      </w:r>
      <w:r>
        <w:t xml:space="preserve">braak_groupBraak2 - braak_groupBraak0 (advanced vs early)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Threshold:</w:t>
      </w:r>
      <w:r>
        <w:t xml:space="preserve"> </w:t>
      </w:r>
      <w:r>
        <w:t xml:space="preserve">FDR&lt;0.05 (no logFC cutoff)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486 DEGs (104 up, 382 down)</w:t>
      </w:r>
    </w:p>
    <w:p>
      <w:r>
        <w:pict>
          <v:rect style="width:0;height:1.5pt" o:hralign="center" o:hrstd="t" o:hr="t"/>
        </w:pict>
      </w:r>
    </w:p>
    <w:bookmarkEnd w:id="12"/>
    <w:bookmarkStart w:id="13" w:name="X73d3ac53b22813ed246c3ba31bc72632624e858"/>
    <w:p>
      <w:pPr>
        <w:pStyle w:val="Heading2"/>
      </w:pPr>
      <w:r>
        <w:t xml:space="preserve">2.3 Stage 2: GBM neural-mimicry signature (Neftel)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Cell filter:</w:t>
      </w:r>
      <w:r>
        <w:t xml:space="preserve"> </w:t>
      </w:r>
      <w:r>
        <w:t xml:space="preserve">Malignant cells only (CopyKAT / inferCNV verified)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Pseudo-bulk aggregation:</w:t>
      </w:r>
      <w:r>
        <w:t xml:space="preserve"> </w:t>
      </w:r>
      <w:r>
        <w:t xml:space="preserve">Sum counts per sample per cell state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 analysis:</w:t>
      </w:r>
      <w:r>
        <w:t xml:space="preserve"> </w:t>
      </w:r>
      <w:r>
        <w:t xml:space="preserve">edgeR quasi-likelihood F-test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Contrast:</w:t>
      </w:r>
      <w:r>
        <w:t xml:space="preserve"> </w:t>
      </w:r>
      <w:r>
        <w:t xml:space="preserve">NeuralLineage (NPC + OPC-like) vs Other (AC + MES-like)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Threshold:</w:t>
      </w:r>
      <w:r>
        <w:t xml:space="preserve"> </w:t>
      </w:r>
      <w:r>
        <w:t xml:space="preserve">FDR&lt;0.05 (no logFC cutoff)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1,576 DEGs (765 up, 811 down)</w:t>
      </w:r>
    </w:p>
    <w:p>
      <w:r>
        <w:pict>
          <v:rect style="width:0;height:1.5pt" o:hralign="center" o:hrstd="t" o:hr="t"/>
        </w:pict>
      </w:r>
    </w:p>
    <w:bookmarkEnd w:id="13"/>
    <w:bookmarkStart w:id="19" w:name="X6054ba70ec47e8ec431d850e9035eec56501718"/>
    <w:p>
      <w:pPr>
        <w:pStyle w:val="Heading2"/>
      </w:pPr>
      <w:r>
        <w:t xml:space="preserve">2.4 Stage 3: Cross-disease convergence testing</w:t>
      </w:r>
    </w:p>
    <w:bookmarkStart w:id="14" w:name="shared-gene-universe"/>
    <w:p>
      <w:pPr>
        <w:pStyle w:val="Heading3"/>
      </w:pPr>
      <w:r>
        <w:t xml:space="preserve">2.4.1 Shared gene universe</w:t>
      </w:r>
    </w:p>
    <w:p>
      <w:pPr>
        <w:pStyle w:val="Compact"/>
        <w:numPr>
          <w:ilvl w:val="0"/>
          <w:numId w:val="1010"/>
        </w:numPr>
      </w:pPr>
      <w:r>
        <w:t xml:space="preserve">3,857 genes intersected between two signatures</w:t>
      </w:r>
    </w:p>
    <w:p>
      <w:pPr>
        <w:pStyle w:val="Compact"/>
        <w:numPr>
          <w:ilvl w:val="0"/>
          <w:numId w:val="1010"/>
        </w:numPr>
      </w:pPr>
      <w:r>
        <w:t xml:space="preserve">Used as background for all downstream tests</w:t>
      </w:r>
    </w:p>
    <w:bookmarkEnd w:id="14"/>
    <w:bookmarkStart w:id="15" w:name="pre-registered-decision-rule"/>
    <w:p>
      <w:pPr>
        <w:pStyle w:val="Heading3"/>
      </w:pPr>
      <w:r>
        <w:t xml:space="preserve">2.4.2 Pre-registered decision rule</w:t>
      </w:r>
    </w:p>
    <w:p>
      <w:pPr>
        <w:pStyle w:val="Compact"/>
        <w:numPr>
          <w:ilvl w:val="0"/>
          <w:numId w:val="1011"/>
        </w:numPr>
      </w:pPr>
      <w:r>
        <w:t xml:space="preserve">H2 acceptance criteria: At least 2 of 3 tests must pass pre-specified thresholds</w:t>
      </w:r>
    </w:p>
    <w:bookmarkEnd w:id="15"/>
    <w:bookmarkStart w:id="16" w:name="three-independent-tests"/>
    <w:p>
      <w:pPr>
        <w:pStyle w:val="Heading3"/>
      </w:pPr>
      <w:r>
        <w:t xml:space="preserve">2.4.3 Three independent tests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1 — RRHO2:</w:t>
      </w:r>
      <w:r>
        <w:t xml:space="preserve"> </w:t>
      </w:r>
      <w:r>
        <w:t xml:space="preserve">Rank-rank hypergeometric overlap (Cahill 2018)</w:t>
      </w:r>
    </w:p>
    <w:p>
      <w:pPr>
        <w:pStyle w:val="Compact"/>
        <w:numPr>
          <w:ilvl w:val="1"/>
          <w:numId w:val="1013"/>
        </w:numPr>
      </w:pPr>
      <w:r>
        <w:t xml:space="preserve">Signed -log10(P) ranks</w:t>
      </w:r>
    </w:p>
    <w:p>
      <w:pPr>
        <w:pStyle w:val="Compact"/>
        <w:numPr>
          <w:ilvl w:val="1"/>
          <w:numId w:val="1013"/>
        </w:numPr>
      </w:pPr>
      <w:r>
        <w:t xml:space="preserve">Bonferroni threshold at max signal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2 — Hypergeometric:</w:t>
      </w:r>
      <w:r>
        <w:t xml:space="preserve"> </w:t>
      </w:r>
      <w:r>
        <w:t xml:space="preserve">Top-N overlap enrichment</w:t>
      </w:r>
    </w:p>
    <w:p>
      <w:pPr>
        <w:pStyle w:val="Compact"/>
        <w:numPr>
          <w:ilvl w:val="1"/>
          <w:numId w:val="1014"/>
        </w:numPr>
      </w:pPr>
      <w:r>
        <w:t xml:space="preserve">N=200 top genes per signature</w:t>
      </w:r>
    </w:p>
    <w:p>
      <w:pPr>
        <w:pStyle w:val="Compact"/>
        <w:numPr>
          <w:ilvl w:val="1"/>
          <w:numId w:val="1014"/>
        </w:numPr>
      </w:pPr>
      <w:r>
        <w:t xml:space="preserve">Fisher’s exact test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3 — Permutation:</w:t>
      </w:r>
      <w:r>
        <w:t xml:space="preserve"> </w:t>
      </w:r>
      <w:r>
        <w:t xml:space="preserve">10,000 iterations</w:t>
      </w:r>
    </w:p>
    <w:p>
      <w:pPr>
        <w:pStyle w:val="Compact"/>
        <w:numPr>
          <w:ilvl w:val="1"/>
          <w:numId w:val="1015"/>
        </w:numPr>
      </w:pPr>
      <w:r>
        <w:t xml:space="preserve">Preserves marginal directional distributions</w:t>
      </w:r>
    </w:p>
    <w:p>
      <w:pPr>
        <w:pStyle w:val="Compact"/>
        <w:numPr>
          <w:ilvl w:val="1"/>
          <w:numId w:val="1015"/>
        </w:numPr>
      </w:pPr>
      <w:r>
        <w:t xml:space="preserve">Empirical null OR distribution</w:t>
      </w:r>
    </w:p>
    <w:bookmarkEnd w:id="16"/>
    <w:bookmarkStart w:id="17" w:name="post-hoc-4-quadrant-analysis"/>
    <w:p>
      <w:pPr>
        <w:pStyle w:val="Heading3"/>
      </w:pPr>
      <w:r>
        <w:t xml:space="preserve">2.4.4 Post-hoc 4-quadrant analysis</w:t>
      </w:r>
    </w:p>
    <w:p>
      <w:pPr>
        <w:pStyle w:val="Compact"/>
        <w:numPr>
          <w:ilvl w:val="0"/>
          <w:numId w:val="1016"/>
        </w:numPr>
      </w:pPr>
      <w:r>
        <w:t xml:space="preserve">After H2 rejection, top-N ranked overlap decomposed into 4 quadrants</w:t>
      </w:r>
    </w:p>
    <w:p>
      <w:pPr>
        <w:pStyle w:val="Compact"/>
        <w:numPr>
          <w:ilvl w:val="0"/>
          <w:numId w:val="1016"/>
        </w:numPr>
      </w:pPr>
      <w:r>
        <w:t xml:space="preserve">UU (both UP), UD (AD UP × GBM DOWN), DU (AD DOWN × GBM UP) [H2a], DD (both DOWN) [novel]</w:t>
      </w:r>
    </w:p>
    <w:p>
      <w:pPr>
        <w:pStyle w:val="Compact"/>
        <w:numPr>
          <w:ilvl w:val="0"/>
          <w:numId w:val="1016"/>
        </w:numPr>
      </w:pPr>
      <w:r>
        <w:t xml:space="preserve">Hypergeometric enrichment per quadrant</w:t>
      </w:r>
    </w:p>
    <w:p>
      <w:pPr>
        <w:pStyle w:val="Compact"/>
        <w:numPr>
          <w:ilvl w:val="0"/>
          <w:numId w:val="1016"/>
        </w:numPr>
      </w:pPr>
      <w:r>
        <w:t xml:space="preserve">Bonferroni correction across quadrants</w:t>
      </w:r>
    </w:p>
    <w:bookmarkEnd w:id="17"/>
    <w:bookmarkStart w:id="18" w:name="pathway-enrichment-clusterprofiler"/>
    <w:p>
      <w:pPr>
        <w:pStyle w:val="Heading3"/>
      </w:pPr>
      <w:r>
        <w:t xml:space="preserve">2.4.5 Pathway enrichment (clusterProfiler)</w:t>
      </w:r>
    </w:p>
    <w:p>
      <w:pPr>
        <w:pStyle w:val="Compact"/>
        <w:numPr>
          <w:ilvl w:val="0"/>
          <w:numId w:val="1017"/>
        </w:numPr>
      </w:pPr>
      <w:r>
        <w:t xml:space="preserve">enrichGO (GO BP) + enrichKEGG</w:t>
      </w:r>
    </w:p>
    <w:p>
      <w:pPr>
        <w:pStyle w:val="Compact"/>
        <w:numPr>
          <w:ilvl w:val="0"/>
          <w:numId w:val="1017"/>
        </w:numPr>
      </w:pPr>
      <w:r>
        <w:t xml:space="preserve">DD signature (20 genes) and DU signature (18 genes)</w:t>
      </w:r>
    </w:p>
    <w:p>
      <w:pPr>
        <w:pStyle w:val="Compact"/>
        <w:numPr>
          <w:ilvl w:val="0"/>
          <w:numId w:val="1017"/>
        </w:numPr>
      </w:pPr>
      <w:r>
        <w:t xml:space="preserve">Explicit filter (see DEVIATIONS.md v3):</w:t>
      </w:r>
    </w:p>
    <w:p>
      <w:pPr>
        <w:pStyle w:val="Compact"/>
        <w:numPr>
          <w:ilvl w:val="1"/>
          <w:numId w:val="1018"/>
        </w:numPr>
      </w:pPr>
      <w:r>
        <w:t xml:space="preserve">Count ≥ 3, p_raw &lt; 0.01 (DD) or &lt; 0.05 (DU)</w:t>
      </w:r>
    </w:p>
    <w:p>
      <w:pPr>
        <w:pStyle w:val="Compact"/>
        <w:numPr>
          <w:ilvl w:val="1"/>
          <w:numId w:val="1018"/>
        </w:numPr>
      </w:pPr>
      <w:r>
        <w:t xml:space="preserve">Exclude tissue-irrelevant terms</w:t>
      </w:r>
    </w:p>
    <w:p>
      <w:pPr>
        <w:pStyle w:val="Compact"/>
        <w:numPr>
          <w:ilvl w:val="1"/>
          <w:numId w:val="1018"/>
        </w:numPr>
      </w:pPr>
      <w:r>
        <w:t xml:space="preserve">Exclude generic parent terms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stage-4-independent-cohort-validation"/>
    <w:p>
      <w:pPr>
        <w:pStyle w:val="Heading2"/>
      </w:pPr>
      <w:r>
        <w:t xml:space="preserve">2.5 Stage 4: Independent cohort validation</w:t>
      </w:r>
    </w:p>
    <w:bookmarkStart w:id="20" w:name="ad-validation-gse125583"/>
    <w:p>
      <w:pPr>
        <w:pStyle w:val="Heading3"/>
      </w:pPr>
      <w:r>
        <w:t xml:space="preserve">2.5.1 AD validation (GSE125583)</w:t>
      </w:r>
    </w:p>
    <w:p>
      <w:pPr>
        <w:pStyle w:val="Compact"/>
        <w:numPr>
          <w:ilvl w:val="0"/>
          <w:numId w:val="1019"/>
        </w:numPr>
      </w:pPr>
      <w:r>
        <w:t xml:space="preserve">Log CPM normalization</w:t>
      </w:r>
    </w:p>
    <w:p>
      <w:pPr>
        <w:pStyle w:val="Compact"/>
        <w:numPr>
          <w:ilvl w:val="0"/>
          <w:numId w:val="1019"/>
        </w:numPr>
      </w:pPr>
      <w:r>
        <w:t xml:space="preserve">Braak-stratified expression: Advanced AD (Braak V-VI) vs Control</w:t>
      </w:r>
    </w:p>
    <w:p>
      <w:pPr>
        <w:pStyle w:val="Compact"/>
        <w:numPr>
          <w:ilvl w:val="0"/>
          <w:numId w:val="1019"/>
        </w:numPr>
      </w:pPr>
      <w:r>
        <w:t xml:space="preserve">Wilcoxon signed-rank test for dose-response</w:t>
      </w:r>
    </w:p>
    <w:p>
      <w:pPr>
        <w:pStyle w:val="Compact"/>
        <w:numPr>
          <w:ilvl w:val="0"/>
          <w:numId w:val="1019"/>
        </w:numPr>
      </w:pPr>
      <w:r>
        <w:t xml:space="preserve">Direction concordance analysis (17/20 more extreme in Advanced)</w:t>
      </w:r>
    </w:p>
    <w:bookmarkEnd w:id="20"/>
    <w:bookmarkStart w:id="21" w:name="gbm-validation-tcga-gtex-via-recount3"/>
    <w:p>
      <w:pPr>
        <w:pStyle w:val="Heading3"/>
      </w:pPr>
      <w:r>
        <w:t xml:space="preserve">2.5.2 GBM validation (TCGA + GTEx via recount3)</w:t>
      </w:r>
    </w:p>
    <w:p>
      <w:pPr>
        <w:pStyle w:val="Compact"/>
        <w:numPr>
          <w:ilvl w:val="0"/>
          <w:numId w:val="1020"/>
        </w:numPr>
      </w:pPr>
      <w:r>
        <w:t xml:space="preserve">recount3 pipeline for cross-cohort standardization</w:t>
      </w:r>
    </w:p>
    <w:p>
      <w:pPr>
        <w:pStyle w:val="Compact"/>
        <w:numPr>
          <w:ilvl w:val="0"/>
          <w:numId w:val="1020"/>
        </w:numPr>
      </w:pPr>
      <w:r>
        <w:t xml:space="preserve">limma-voom differential expression</w:t>
      </w:r>
    </w:p>
    <w:p>
      <w:pPr>
        <w:pStyle w:val="Compact"/>
        <w:numPr>
          <w:ilvl w:val="0"/>
          <w:numId w:val="1020"/>
        </w:numPr>
      </w:pPr>
      <w:r>
        <w:t xml:space="preserve">TCGA-GBM vs GTEx cortex logFC computed</w:t>
      </w:r>
    </w:p>
    <w:bookmarkEnd w:id="21"/>
    <w:bookmarkStart w:id="22" w:name="cross-disease-convergence-quantification"/>
    <w:p>
      <w:pPr>
        <w:pStyle w:val="Heading3"/>
      </w:pPr>
      <w:r>
        <w:t xml:space="preserve">2.5.3 Cross-disease convergence quantification</w:t>
      </w:r>
    </w:p>
    <w:p>
      <w:pPr>
        <w:pStyle w:val="Compact"/>
        <w:numPr>
          <w:ilvl w:val="0"/>
          <w:numId w:val="1021"/>
        </w:numPr>
      </w:pPr>
      <w:r>
        <w:t xml:space="preserve">Spearman rank correlation between AD and GBM logFC (20 DD genes)</w:t>
      </w:r>
    </w:p>
    <w:p>
      <w:pPr>
        <w:pStyle w:val="Compact"/>
        <w:numPr>
          <w:ilvl w:val="0"/>
          <w:numId w:val="1021"/>
        </w:numPr>
      </w:pPr>
      <w:r>
        <w:t xml:space="preserve">Pearson correlation as secondary</w:t>
      </w:r>
    </w:p>
    <w:p>
      <w:pPr>
        <w:pStyle w:val="Compact"/>
        <w:numPr>
          <w:ilvl w:val="0"/>
          <w:numId w:val="1021"/>
        </w:numPr>
      </w:pPr>
      <w:r>
        <w:t xml:space="preserve">Three-category gene classification: neuronal-loss shared, stress shared, tumor-divergent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re-registration-deviations-transparency"/>
    <w:p>
      <w:pPr>
        <w:pStyle w:val="Heading2"/>
      </w:pPr>
      <w:r>
        <w:t xml:space="preserve">2.6 Pre-registration + DEVIATIONS transparency</w:t>
      </w:r>
    </w:p>
    <w:p>
      <w:pPr>
        <w:pStyle w:val="Compact"/>
        <w:numPr>
          <w:ilvl w:val="0"/>
          <w:numId w:val="1022"/>
        </w:numPr>
      </w:pPr>
      <w:r>
        <w:t xml:space="preserve">Analysis plan pre-registered via Bartın University institutional email archive</w:t>
      </w:r>
    </w:p>
    <w:p>
      <w:pPr>
        <w:pStyle w:val="Compact"/>
        <w:numPr>
          <w:ilvl w:val="0"/>
          <w:numId w:val="1022"/>
        </w:numPr>
      </w:pPr>
      <w:r>
        <w:t xml:space="preserve">Timestamp preceded first data access to Stage 3+</w:t>
      </w:r>
    </w:p>
    <w:p>
      <w:pPr>
        <w:pStyle w:val="Compact"/>
        <w:numPr>
          <w:ilvl w:val="0"/>
          <w:numId w:val="1022"/>
        </w:numPr>
      </w:pPr>
      <w:r>
        <w:t xml:space="preserve">All post-hoc modifications documented in DEVIATIONS.md</w:t>
      </w:r>
    </w:p>
    <w:p>
      <w:pPr>
        <w:pStyle w:val="Compact"/>
        <w:numPr>
          <w:ilvl w:val="0"/>
          <w:numId w:val="1022"/>
        </w:numPr>
      </w:pPr>
      <w:r>
        <w:t xml:space="preserve">~600+ lines of methodology decisions and justifications</w:t>
      </w:r>
    </w:p>
    <w:p>
      <w:r>
        <w:pict>
          <v:rect style="width:0;height:1.5pt" o:hralign="center" o:hrstd="t" o:hr="t"/>
        </w:pict>
      </w:r>
    </w:p>
    <w:bookmarkEnd w:id="24"/>
    <w:bookmarkStart w:id="25" w:name="software-reproducibility"/>
    <w:p>
      <w:pPr>
        <w:pStyle w:val="Heading2"/>
      </w:pPr>
      <w:r>
        <w:t xml:space="preserve">2.7 Software + Reproducibility</w:t>
      </w:r>
    </w:p>
    <w:p>
      <w:pPr>
        <w:pStyle w:val="Compact"/>
        <w:numPr>
          <w:ilvl w:val="0"/>
          <w:numId w:val="1023"/>
        </w:numPr>
      </w:pPr>
      <w:r>
        <w:t xml:space="preserve">R 4.6.0 on macOS ARM64</w:t>
      </w:r>
    </w:p>
    <w:p>
      <w:pPr>
        <w:pStyle w:val="Compact"/>
        <w:numPr>
          <w:ilvl w:val="0"/>
          <w:numId w:val="1023"/>
        </w:numPr>
      </w:pPr>
      <w:r>
        <w:t xml:space="preserve">Key packages: edgeR, limma, RRHO2, clusterProfiler, recount3</w:t>
      </w:r>
    </w:p>
    <w:p>
      <w:pPr>
        <w:pStyle w:val="Compact"/>
        <w:numPr>
          <w:ilvl w:val="0"/>
          <w:numId w:val="1023"/>
        </w:numPr>
      </w:pPr>
      <w:r>
        <w:t xml:space="preserve">Full analysis code + git history: [repo URL — pending submission]</w:t>
      </w:r>
    </w:p>
    <w:p>
      <w:pPr>
        <w:pStyle w:val="Compact"/>
        <w:numPr>
          <w:ilvl w:val="0"/>
          <w:numId w:val="1023"/>
        </w:numPr>
      </w:pPr>
      <w:r>
        <w:t xml:space="preserve">5 commits on 2026-09-23 alone (dev disipilini)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2026-09-23T12:42:47Z</dcterms:created>
  <dcterms:modified xsi:type="dcterms:W3CDTF">2026-09-23T12:42:47Z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