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1561019e2b3943cac2a414e782fad96d1ee90c2"/>
    <w:p>
      <w:pPr>
        <w:pStyle w:val="Heading1"/>
        <w:jc w:val="center"/>
      </w:pPr>
      <w:r>
        <w:rPr>
          <w:sz w:val="32"/>
        </w:rPr>
        <w:t xml:space="preserve">Shared transcriptomic signatures of Alzheimer’s disease and glioblastoma do not survive adjustment for estimated cell composition: a pre-specified re-evaluation</w:t>
      </w:r>
    </w:p>
    <w:p>
      <w:pPr>
        <w:pStyle w:val="FirstParagraph"/>
        <w:jc w:val="center"/>
      </w:pPr>
      <w:r>
        <w:t xml:space="preserve">Ahmet Karakuş</w:t>
      </w:r>
    </w:p>
    <w:p>
      <w:pPr>
        <w:pStyle w:val="BodyText"/>
        <w:jc w:val="center"/>
      </w:pPr>
      <w:r>
        <w:t xml:space="preserve">Bartın University, Bartın, Türkiye </w:t>
      </w:r>
      <w:r>
        <w:rPr>
          <w:highlight w:val="yellow"/>
        </w:rPr>
        <w:t>[CHECK: department and full affiliation]</w:t>
      </w:r>
    </w:p>
    <w:p>
      <w:pPr>
        <w:pStyle w:val="BodyText"/>
        <w:jc w:val="center"/>
      </w:pPr>
      <w:r>
        <w:t xml:space="preserve">Correspondence: akarakus@bartin.edu.tr</w:t>
      </w:r>
    </w:p>
    <w:bookmarkStart w:id="20" w:name="abstract"/>
    <w:p>
      <w:pPr>
        <w:pStyle w:val="Heading2"/>
      </w:pPr>
      <w:r>
        <w:t xml:space="preserve">Abstract</w:t>
      </w:r>
    </w:p>
    <w:p>
      <w:pPr>
        <w:pStyle w:val="FirstParagraph"/>
      </w:pPr>
      <w:r>
        <w:rPr>
          <w:bCs/>
          <w:b/>
        </w:rPr>
        <w:t xml:space="preserve">Background:</w:t>
      </w:r>
      <w:r>
        <w:t xml:space="preserve"> </w:t>
      </w:r>
      <w:r>
        <w:t xml:space="preserve">Alzheimer’s disease (AD) and cancer are inversely associated, which has motivated searches for transcriptomic signatures shared by AD and glioblastoma (GBM). Both diseases reshape the cellular make-up of brain tissue, so genes that change together in bulk samples may simply track cell composition.</w:t>
      </w:r>
    </w:p>
    <w:p>
      <w:pPr>
        <w:pStyle w:val="BodyText"/>
      </w:pPr>
      <w:r>
        <w:rPr>
          <w:bCs/>
          <w:b/>
        </w:rPr>
        <w:t xml:space="preserve">Methods:</w:t>
      </w:r>
      <w:r>
        <w:t xml:space="preserve"> </w:t>
      </w:r>
      <w:r>
        <w:t xml:space="preserve">Hypotheses, thresholds and decision rules were fixed in a time-stamped plan before analysis. For the primary hypothesis (H1), I compared shared differentially expressed genes (DEGs) between a hippocampal AD meta-cohort (n = 51) and TCGA-GBM/GTEx (152 tumours, 186 controls), with and without composition covariates from BRETIGEA and MuSiC, and repeated the test in an independent AD cohort (n = 195). For the secondary hypothesis (H2), I tested whether a donor-level signature of vulnerable RORB+ entorhinal neurons overlaps with GBM neural-like malignant states, using three pre-specified tests. Every deviation from the plan was recorded.</w:t>
      </w:r>
    </w:p>
    <w:p>
      <w:pPr>
        <w:pStyle w:val="BodyText"/>
      </w:pPr>
      <w:r>
        <w:rPr>
          <w:bCs/>
          <w:b/>
        </w:rPr>
        <w:t xml:space="preserve">Results:</w:t>
      </w:r>
      <w:r>
        <w:t xml:space="preserve"> </w:t>
      </w:r>
      <w:r>
        <w:t xml:space="preserve">The 1,458 shared DEGs fell to zero with either adjustment, so H1 was supported; noise covariates did not reproduce this loss. In the independent cohort, adjustment kept 46% of AD DEGs but removed 93% of shared DEGs. With three donors per group, H2 failed all three tests in every analysis. A convergence-like signal in the original implementation disappeared when age was modelled but not when donor was modelled; pseudoreplication separately inflated significant genes (486, against 0–27 at donor level).</w:t>
      </w:r>
    </w:p>
    <w:p>
      <w:pPr>
        <w:pStyle w:val="BodyText"/>
      </w:pPr>
      <w:r>
        <w:rPr>
          <w:bCs/>
          <w:b/>
        </w:rPr>
        <w:t xml:space="preserve">Conclusions:</w:t>
      </w:r>
      <w:r>
        <w:t xml:space="preserve"> </w:t>
      </w:r>
      <w:r>
        <w:t xml:space="preserve">Shared bulk signatures of AD and GBM did not survive adjustment for estimated cell composition, and no cell-type-level convergence was detectable with the donors available. Cross-disease comparisons need composition adjustment, donor-level inference and attention to confounding by age.</w:t>
      </w:r>
    </w:p>
    <w:p>
      <w:pPr>
        <w:pStyle w:val="BodyText"/>
      </w:pPr>
      <w:r>
        <w:rPr>
          <w:bCs/>
          <w:b/>
        </w:rPr>
        <w:t xml:space="preserve">Keywords:</w:t>
      </w:r>
      <w:r>
        <w:t xml:space="preserve"> </w:t>
      </w:r>
      <w:r>
        <w:t xml:space="preserve">Alzheimer’s disease; glioblastoma; cell composition; deconvolution; pseudoreplication; pre-specified analysis</w:t>
      </w:r>
    </w:p>
    <w:bookmarkEnd w:id="20"/>
    <w:bookmarkStart w:id="21" w:name="introduction"/>
    <w:p>
      <w:pPr>
        <w:pStyle w:val="Heading2"/>
      </w:pPr>
      <w:r>
        <w:t xml:space="preserve">1. Introduction</w:t>
      </w:r>
    </w:p>
    <w:p>
      <w:pPr>
        <w:pStyle w:val="FirstParagraph"/>
      </w:pPr>
      <w:r>
        <w:t xml:space="preserve">Alzheimer’s disease (AD) and cancer seem to avoid each other. In the Framingham Heart Study, cancer survivors had a lower risk of AD, and people with AD had a lower risk of subsequent cancer [1]. A population-based incidence study in northern Italy found the same inverse pattern [2]. These observations led to the idea that neurodegeneration and tumour growth might share molecular processes that are regulated in opposite directions, and to transcriptomic meta-analyses that looked for such opposing changes across central nervous system disorders and cancers [3].</w:t>
      </w:r>
    </w:p>
    <w:p>
      <w:pPr>
        <w:pStyle w:val="BodyText"/>
      </w:pPr>
      <w:r>
        <w:t xml:space="preserve">Glioblastoma (GBM) is an attractive comparison for AD because both arise in the brain. One study used bulk microarray data to identify signalling pathways that were regulated in opposite directions in AD and GBM [4]. More recent work combined bulk and single-cell transcriptomics with Mendelian randomisation and functional experiments to propose a candidate gene linking the two diseases [5], or used single-cell data to derive shared mitochondrial markers [6]. Much of this literature starts from the same step: comparing genes that change in each disease relative to controls, measured in bulk tissue.</w:t>
      </w:r>
    </w:p>
    <w:p>
      <w:pPr>
        <w:pStyle w:val="BodyText"/>
      </w:pPr>
      <w:r>
        <w:t xml:space="preserve">That step has a well-known weakness. AD involves neuronal loss and a glial response, and in GBM malignant cells replace normal brain tissue. Both processes change the cellular composition of the sample. In intact brain tissue, much of the covariation in gene expression is driven by differences in cell composition [7], and adding estimated cell-type proportions to the model reduces false associations between AD phenotypes and gene expression [8]. Two diseases that both lose neurons will both show lower expression of neuronal genes, even if nothing changes inside any individual cell. In a bulk comparison, that would look like a shared signature. This study grew out of that concern. In an earlier bulk analysis I had observed a shared gene signature between AD and GBM, and I wanted to know whether it would hold up once composition was controlled </w:t>
      </w:r>
      <w:r>
        <w:rPr>
          <w:highlight w:val="yellow"/>
        </w:rPr>
        <w:t>[CHECK: publication status and citation of the earlier analysis]</w:t>
      </w:r>
      <w:r>
        <w:rPr/>
        <w:t>.</w:t>
      </w:r>
    </w:p>
    <w:p>
      <w:pPr>
        <w:pStyle w:val="BodyText"/>
      </w:pPr>
      <w:r>
        <w:t xml:space="preserve">If some of the bulk signal is not compositional, a second question follows: does it correspond to something real at the level of cell types? In AD, RORB-expressing excitatory neurons of the entorhinal cortex are lost selectively and early [9]. In GBM, part of the malignant population occupies transcriptional states that resemble neural and oligodendrocyte progenitors (NPC-like and OPC-like) [10], and glioma cells can form synapses with neurons and integrate into neural circuits [11]. It is therefore reasonable to ask whether the neuronal programme lost by vulnerable AD neurons overlaps with the neural-like identity that some GBM cells adopt.</w:t>
      </w:r>
    </w:p>
    <w:p>
      <w:pPr>
        <w:pStyle w:val="BodyText"/>
      </w:pPr>
      <w:r>
        <w:t xml:space="preserve">I tested both questions under an analysis plan written before any data were analysed. The primary hypothesis (H1) predicted that shared differentially expressed genes (DEGs) between AD and GBM would largely disappear once cell composition was controlled with two independent deconvolution methods. The secondary hypothesis (H2) predicted that any remaining signal would reflect overlap between the AD vulnerable-neuron signature and the GBM neural-mimicry signature, assessed with three complementary tests. Flexible, data-dependent analysis decisions inflate false-positive rates [12], so the hypotheses, thresholds, decision rules and publication framings for both possible outcomes were fixed in advance [13], and every deviation from the plan was logged with its date. Because comparisons between donors in single-cell data need donor-level inference [14], I also audited the implementation against the plan during the study and report how the problems it uncovered affected the results.</w:t>
      </w:r>
    </w:p>
    <w:bookmarkEnd w:id="21"/>
    <w:bookmarkStart w:id="30" w:name="methods"/>
    <w:p>
      <w:pPr>
        <w:pStyle w:val="Heading2"/>
      </w:pPr>
      <w:r>
        <w:t xml:space="preserve">2. Methods</w:t>
      </w:r>
    </w:p>
    <w:bookmarkStart w:id="22" w:name="X4c6f99fedb6ca3ea25fd066fb673ea3d5726c2f"/>
    <w:p>
      <w:pPr>
        <w:pStyle w:val="Heading3"/>
      </w:pPr>
      <w:r>
        <w:t xml:space="preserve">2.1 Pre-specified analysis plan and deviation register</w:t>
      </w:r>
    </w:p>
    <w:p>
      <w:pPr>
        <w:pStyle w:val="FirstParagraph"/>
      </w:pPr>
      <w:r>
        <w:t xml:space="preserve">The hypotheses, decision rules, thresholds and outcome-dependent publication scenarios were defined in an analysis plan before any data analysis (Supplementary File 1). The plan was committed to the project’s git repository as its first commit on 20 September 2026 (commit 3fcf8d1) and has not been modified since. The plan also committed to uploading it to a public repository before analysis; this was not done. The repository, with its full commit history, is made public together with this article </w:t>
      </w:r>
      <w:r>
        <w:rPr>
          <w:highlight w:val="yellow"/>
        </w:rPr>
        <w:t>[CHECK: repository URL / Zenodo DOI]</w:t>
      </w:r>
      <w:r>
        <w:rPr/>
        <w:t>. The commit timestamps were therefore generated on the author’s computer and have not been verified by an independent registry. The study rests on a time-stamped, pre-specified plan, not on a formal preregistration such as OSF.</w:t>
      </w:r>
    </w:p>
    <w:p>
      <w:pPr>
        <w:pStyle w:val="BodyText"/>
      </w:pPr>
      <w:r>
        <w:t xml:space="preserve">Every deviation from the plan is recorded, with its date, reason and the analyses it affected, in a deviation register (DEVIATIONS.md; Supplementary File 2). Partway through the project, an audit of the implementation against the plan showed that the primary analyses had departed from the plan at several points without documentation (Section 2.7 and Table 2). After the audit, all hypothesis tests were re-run in a plan-conformant way. For each re-run, the analysis choices were written into the script header and committed before results were produced, so every results commit follows the commit that fixed its decisions. There is one exception. The Stage 1 code was first executed in the R console; the script file was created a few minutes later, with identical code and before the results were inspected, and this is noted in the register.</w:t>
      </w:r>
    </w:p>
    <w:p>
      <w:pPr>
        <w:pStyle w:val="BodyText"/>
      </w:pPr>
      <w:r>
        <w:t xml:space="preserve">The primary hypothesis (H1) was that shared DEGs between AD and GBM at the bulk transcriptomic level are substantially reduced when cell-type composition is included as a covariate, and that this reduction does not depend on the deconvolution method. The secondary hypothesis (H2) was that any residual shared neuronal-programme signal reflects overlap between the transcriptional identity of AD-vulnerable RORB+ entorhinal excitatory neurons and that of the neural-lineage-like (NPC-like and OPC-like) malignant states in GBM. Figure 1 summarises the design and the decision flow for both hypotheses.</w:t>
      </w:r>
    </w:p>
    <w:bookmarkEnd w:id="22"/>
    <w:bookmarkStart w:id="23" w:name="data-sources"/>
    <w:p>
      <w:pPr>
        <w:pStyle w:val="Heading3"/>
      </w:pPr>
      <w:r>
        <w:t xml:space="preserve">2.2 Data sources</w:t>
      </w:r>
    </w:p>
    <w:p>
      <w:pPr>
        <w:pStyle w:val="FirstParagraph"/>
      </w:pPr>
      <w:r>
        <w:t xml:space="preserve">Table 1 lists the datasets and their roles. All are publicly available.</w:t>
      </w:r>
    </w:p>
    <w:p>
      <w:pPr>
        <w:pStyle w:val="BodyText"/>
      </w:pPr>
      <w:r>
        <w:rPr>
          <w:bCs/>
          <w:b/>
        </w:rPr>
        <w:t xml:space="preserve">Table 1.</w:t>
      </w:r>
      <w:r>
        <w:t xml:space="preserve"> </w:t>
      </w:r>
      <w:r>
        <w:t xml:space="preserve">Data sources.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tblHeader w:val="true"/>
        </w:trPr>
        <w:tc>
          <w:tcPr/>
          <w:p>
            <w:pPr>
              <w:pStyle w:val="Compact"/>
              <w:spacing w:line="240" w:lineRule="auto" w:after="0"/>
              <w:jc w:val="left"/>
            </w:pPr>
            <w:r>
              <w:rPr>
                <w:rFonts w:ascii="Times New Roman" w:hAnsi="Times New Roman"/>
                <w:b/>
                <w:sz w:val="20"/>
              </w:rPr>
              <w:t xml:space="preserve">Dataset</w:t>
            </w:r>
          </w:p>
        </w:tc>
        <w:tc>
          <w:tcPr/>
          <w:p>
            <w:pPr>
              <w:pStyle w:val="Compact"/>
              <w:spacing w:line="240" w:lineRule="auto" w:after="0"/>
              <w:jc w:val="left"/>
            </w:pPr>
            <w:r>
              <w:rPr>
                <w:rFonts w:ascii="Times New Roman" w:hAnsi="Times New Roman"/>
                <w:b/>
                <w:sz w:val="20"/>
              </w:rPr>
              <w:t xml:space="preserve">Platform</w:t>
            </w:r>
          </w:p>
        </w:tc>
        <w:tc>
          <w:tcPr/>
          <w:p>
            <w:pPr>
              <w:pStyle w:val="Compact"/>
              <w:spacing w:line="240" w:lineRule="auto" w:after="0"/>
              <w:jc w:val="left"/>
            </w:pPr>
            <w:r>
              <w:rPr>
                <w:rFonts w:ascii="Times New Roman" w:hAnsi="Times New Roman"/>
                <w:b/>
                <w:sz w:val="20"/>
              </w:rPr>
              <w:t xml:space="preserve">Role</w:t>
            </w:r>
          </w:p>
        </w:tc>
        <w:tc>
          <w:tcPr/>
          <w:p>
            <w:pPr>
              <w:pStyle w:val="Compact"/>
              <w:spacing w:line="240" w:lineRule="auto" w:after="0"/>
              <w:jc w:val="left"/>
            </w:pPr>
            <w:r>
              <w:rPr>
                <w:rFonts w:ascii="Times New Roman" w:hAnsi="Times New Roman"/>
                <w:b/>
                <w:sz w:val="20"/>
              </w:rPr>
              <w:t xml:space="preserve">Samples used</w:t>
            </w:r>
          </w:p>
        </w:tc>
      </w:tr>
      <w:tr>
        <w:tc>
          <w:tcPr/>
          <w:p>
            <w:pPr>
              <w:pStyle w:val="Compact"/>
              <w:spacing w:line="240" w:lineRule="auto" w:after="0"/>
              <w:jc w:val="left"/>
            </w:pPr>
            <w:r>
              <w:rPr>
                <w:rFonts w:ascii="Times New Roman" w:hAnsi="Times New Roman"/>
                <w:sz w:val="20"/>
              </w:rPr>
              <w:t xml:space="preserve">GSE147528 (Leng et al., 2021) [9]</w:t>
            </w:r>
          </w:p>
        </w:tc>
        <w:tc>
          <w:tcPr/>
          <w:p>
            <w:pPr>
              <w:pStyle w:val="Compact"/>
              <w:spacing w:line="240" w:lineRule="auto" w:after="0"/>
              <w:jc w:val="left"/>
            </w:pPr>
            <w:r>
              <w:rPr>
                <w:rFonts w:ascii="Times New Roman" w:hAnsi="Times New Roman"/>
                <w:sz w:val="20"/>
              </w:rPr>
              <w:t xml:space="preserve">snRNA-seq (10x)</w:t>
            </w:r>
          </w:p>
        </w:tc>
        <w:tc>
          <w:tcPr/>
          <w:p>
            <w:pPr>
              <w:pStyle w:val="Compact"/>
              <w:spacing w:line="240" w:lineRule="auto" w:after="0"/>
              <w:jc w:val="left"/>
            </w:pPr>
            <w:r>
              <w:rPr>
                <w:rFonts w:ascii="Times New Roman" w:hAnsi="Times New Roman"/>
                <w:sz w:val="20"/>
              </w:rPr>
              <w:t xml:space="preserve">Stage 1: AD vulnerable-neuron signature</w:t>
            </w:r>
          </w:p>
        </w:tc>
        <w:tc>
          <w:tcPr/>
          <w:p>
            <w:pPr>
              <w:pStyle w:val="Compact"/>
              <w:spacing w:line="240" w:lineRule="auto" w:after="0"/>
              <w:jc w:val="left"/>
            </w:pPr>
            <w:r>
              <w:rPr>
                <w:rFonts w:ascii="Times New Roman" w:hAnsi="Times New Roman"/>
                <w:sz w:val="20"/>
              </w:rPr>
              <w:t xml:space="preserve">Entorhinal cortex, 10 donors (Braak 0: 3, Braak II: 4, Braak VI: 3), all male</w:t>
            </w:r>
          </w:p>
        </w:tc>
      </w:tr>
      <w:tr>
        <w:tc>
          <w:tcPr/>
          <w:p>
            <w:pPr>
              <w:pStyle w:val="Compact"/>
              <w:spacing w:line="240" w:lineRule="auto" w:after="0"/>
              <w:jc w:val="left"/>
            </w:pPr>
            <w:r>
              <w:rPr>
                <w:rFonts w:ascii="Times New Roman" w:hAnsi="Times New Roman"/>
                <w:sz w:val="20"/>
              </w:rPr>
              <w:t xml:space="preserve">GSE131928 (Neftel et al., 2019) [10]</w:t>
            </w:r>
          </w:p>
        </w:tc>
        <w:tc>
          <w:tcPr/>
          <w:p>
            <w:pPr>
              <w:pStyle w:val="Compact"/>
              <w:spacing w:line="240" w:lineRule="auto" w:after="0"/>
              <w:jc w:val="left"/>
            </w:pPr>
            <w:r>
              <w:rPr>
                <w:rFonts w:ascii="Times New Roman" w:hAnsi="Times New Roman"/>
                <w:sz w:val="20"/>
              </w:rPr>
              <w:t xml:space="preserve">scRNA-seq (Smart-seq2)</w:t>
            </w:r>
          </w:p>
        </w:tc>
        <w:tc>
          <w:tcPr/>
          <w:p>
            <w:pPr>
              <w:pStyle w:val="Compact"/>
              <w:spacing w:line="240" w:lineRule="auto" w:after="0"/>
              <w:jc w:val="left"/>
            </w:pPr>
            <w:r>
              <w:rPr>
                <w:rFonts w:ascii="Times New Roman" w:hAnsi="Times New Roman"/>
                <w:sz w:val="20"/>
              </w:rPr>
              <w:t xml:space="preserve">Stage 2: GBM neural-mimicry signature</w:t>
            </w:r>
          </w:p>
        </w:tc>
        <w:tc>
          <w:tcPr/>
          <w:p>
            <w:pPr>
              <w:pStyle w:val="Compact"/>
              <w:spacing w:line="240" w:lineRule="auto" w:after="0"/>
              <w:jc w:val="left"/>
            </w:pPr>
            <w:r>
              <w:rPr>
                <w:rFonts w:ascii="Times New Roman" w:hAnsi="Times New Roman"/>
                <w:sz w:val="20"/>
              </w:rPr>
              <w:t xml:space="preserve">Malignant cells from adult IDH-wild-type primary GBM; 36 pseudobulk samples from 20 tumours (both groups present in 16)</w:t>
            </w:r>
          </w:p>
        </w:tc>
      </w:tr>
      <w:tr>
        <w:tc>
          <w:tcPr/>
          <w:p>
            <w:pPr>
              <w:pStyle w:val="Compact"/>
              <w:spacing w:line="240" w:lineRule="auto" w:after="0"/>
              <w:jc w:val="left"/>
            </w:pPr>
            <w:r>
              <w:rPr>
                <w:rFonts w:ascii="Times New Roman" w:hAnsi="Times New Roman"/>
                <w:sz w:val="20"/>
              </w:rPr>
              <w:t xml:space="preserve">GSE48350 [15] + GSE36980 [16]</w:t>
            </w:r>
          </w:p>
        </w:tc>
        <w:tc>
          <w:tcPr/>
          <w:p>
            <w:pPr>
              <w:pStyle w:val="Compact"/>
              <w:spacing w:line="240" w:lineRule="auto" w:after="0"/>
              <w:jc w:val="left"/>
            </w:pPr>
            <w:r>
              <w:rPr>
                <w:rFonts w:ascii="Times New Roman" w:hAnsi="Times New Roman"/>
                <w:sz w:val="20"/>
              </w:rPr>
              <w:t xml:space="preserve">Affymetrix HG-U133 Plus 2.0 and HuGene 1.0 ST</w:t>
            </w:r>
          </w:p>
        </w:tc>
        <w:tc>
          <w:tcPr/>
          <w:p>
            <w:pPr>
              <w:pStyle w:val="Compact"/>
              <w:spacing w:line="240" w:lineRule="auto" w:after="0"/>
              <w:jc w:val="left"/>
            </w:pPr>
            <w:r>
              <w:rPr>
                <w:rFonts w:ascii="Times New Roman" w:hAnsi="Times New Roman"/>
                <w:sz w:val="20"/>
              </w:rPr>
              <w:t xml:space="preserve">Stage 4: AD bulk meta-cohort</w:t>
            </w:r>
          </w:p>
        </w:tc>
        <w:tc>
          <w:tcPr/>
          <w:p>
            <w:pPr>
              <w:pStyle w:val="Compact"/>
              <w:spacing w:line="240" w:lineRule="auto" w:after="0"/>
              <w:jc w:val="left"/>
            </w:pPr>
            <w:r>
              <w:rPr>
                <w:rFonts w:ascii="Times New Roman" w:hAnsi="Times New Roman"/>
                <w:sz w:val="20"/>
              </w:rPr>
              <w:t xml:space="preserve">Hippocampus, n = 51 (AD 18, control 33; GSE48350: 34, GSE36980: 17)</w:t>
            </w:r>
          </w:p>
        </w:tc>
      </w:tr>
      <w:tr>
        <w:tc>
          <w:tcPr/>
          <w:p>
            <w:pPr>
              <w:pStyle w:val="Compact"/>
              <w:spacing w:line="240" w:lineRule="auto" w:after="0"/>
              <w:jc w:val="left"/>
            </w:pPr>
            <w:r>
              <w:rPr>
                <w:rFonts w:ascii="Times New Roman" w:hAnsi="Times New Roman"/>
                <w:sz w:val="20"/>
              </w:rPr>
              <w:t xml:space="preserve">TCGA-GBM [17] + GTEx [18] (UCSC Xena [19], TOIL [20])</w:t>
            </w:r>
          </w:p>
        </w:tc>
        <w:tc>
          <w:tcPr/>
          <w:p>
            <w:pPr>
              <w:pStyle w:val="Compact"/>
              <w:spacing w:line="240" w:lineRule="auto" w:after="0"/>
              <w:jc w:val="left"/>
            </w:pPr>
            <w:r>
              <w:rPr>
                <w:rFonts w:ascii="Times New Roman" w:hAnsi="Times New Roman"/>
                <w:sz w:val="20"/>
              </w:rPr>
              <w:t xml:space="preserve">RNA-seq</w:t>
            </w:r>
          </w:p>
        </w:tc>
        <w:tc>
          <w:tcPr/>
          <w:p>
            <w:pPr>
              <w:pStyle w:val="Compact"/>
              <w:spacing w:line="240" w:lineRule="auto" w:after="0"/>
              <w:jc w:val="left"/>
            </w:pPr>
            <w:r>
              <w:rPr>
                <w:rFonts w:ascii="Times New Roman" w:hAnsi="Times New Roman"/>
                <w:sz w:val="20"/>
              </w:rPr>
              <w:t xml:space="preserve">Stage 4: GBM bulk cohort</w:t>
            </w:r>
          </w:p>
        </w:tc>
        <w:tc>
          <w:tcPr/>
          <w:p>
            <w:pPr>
              <w:pStyle w:val="Compact"/>
              <w:spacing w:line="240" w:lineRule="auto" w:after="0"/>
              <w:jc w:val="left"/>
            </w:pPr>
            <w:r>
              <w:rPr>
                <w:rFonts w:ascii="Times New Roman" w:hAnsi="Times New Roman"/>
                <w:sz w:val="20"/>
              </w:rPr>
              <w:t xml:space="preserve">152 primary tumours; 186 controls (hippocampus 84, frontal cortex BA9 102)</w:t>
            </w:r>
          </w:p>
        </w:tc>
      </w:tr>
      <w:tr>
        <w:tc>
          <w:tcPr/>
          <w:p>
            <w:pPr>
              <w:pStyle w:val="Compact"/>
              <w:spacing w:line="240" w:lineRule="auto" w:after="0"/>
              <w:jc w:val="left"/>
            </w:pPr>
            <w:r>
              <w:rPr>
                <w:rFonts w:ascii="Times New Roman" w:hAnsi="Times New Roman"/>
                <w:sz w:val="20"/>
              </w:rPr>
              <w:t xml:space="preserve">Allen Brain Map, human M1 10x [21]</w:t>
            </w:r>
          </w:p>
        </w:tc>
        <w:tc>
          <w:tcPr/>
          <w:p>
            <w:pPr>
              <w:pStyle w:val="Compact"/>
              <w:spacing w:line="240" w:lineRule="auto" w:after="0"/>
              <w:jc w:val="left"/>
            </w:pPr>
            <w:r>
              <w:rPr>
                <w:rFonts w:ascii="Times New Roman" w:hAnsi="Times New Roman"/>
                <w:sz w:val="20"/>
              </w:rPr>
              <w:t xml:space="preserve">snRNA-seq</w:t>
            </w:r>
          </w:p>
        </w:tc>
        <w:tc>
          <w:tcPr/>
          <w:p>
            <w:pPr>
              <w:pStyle w:val="Compact"/>
              <w:spacing w:line="240" w:lineRule="auto" w:after="0"/>
              <w:jc w:val="left"/>
            </w:pPr>
            <w:r>
              <w:rPr>
                <w:rFonts w:ascii="Times New Roman" w:hAnsi="Times New Roman"/>
                <w:sz w:val="20"/>
              </w:rPr>
              <w:t xml:space="preserve">Stage 4: MuSiC reference</w:t>
            </w:r>
          </w:p>
        </w:tc>
        <w:tc>
          <w:tcPr/>
          <w:p>
            <w:pPr>
              <w:pStyle w:val="Compact"/>
              <w:spacing w:line="240" w:lineRule="auto" w:after="0"/>
              <w:jc w:val="left"/>
            </w:pPr>
            <w:r>
              <w:rPr>
                <w:rFonts w:ascii="Times New Roman" w:hAnsi="Times New Roman"/>
                <w:sz w:val="20"/>
              </w:rPr>
              <w:t xml:space="preserve">3,023 nuclei selected from 76,533, 2 donors</w:t>
            </w:r>
          </w:p>
        </w:tc>
      </w:tr>
      <w:tr>
        <w:tc>
          <w:tcPr/>
          <w:p>
            <w:pPr>
              <w:pStyle w:val="Compact"/>
              <w:spacing w:line="240" w:lineRule="auto" w:after="0"/>
              <w:jc w:val="left"/>
            </w:pPr>
            <w:r>
              <w:rPr>
                <w:rFonts w:ascii="Times New Roman" w:hAnsi="Times New Roman"/>
                <w:sz w:val="20"/>
              </w:rPr>
              <w:t xml:space="preserve">GSE125583 (SRP181886) </w:t>
            </w:r>
            <w:r>
              <w:rPr>
                <w:rFonts w:ascii="Times New Roman" w:hAnsi="Times New Roman"/>
                <w:sz w:val="20"/>
                <w:highlight w:val="yellow"/>
              </w:rPr>
              <w:t>[CHECK: source publication; candidate Srinivasan et al., 2020]</w:t>
            </w:r>
          </w:p>
        </w:tc>
        <w:tc>
          <w:tcPr/>
          <w:p>
            <w:pPr>
              <w:pStyle w:val="Compact"/>
              <w:spacing w:line="240" w:lineRule="auto" w:after="0"/>
              <w:jc w:val="left"/>
            </w:pPr>
            <w:r>
              <w:rPr>
                <w:rFonts w:ascii="Times New Roman" w:hAnsi="Times New Roman"/>
                <w:sz w:val="20"/>
              </w:rPr>
              <w:t xml:space="preserve">RNA-seq (recount3 [22])</w:t>
            </w:r>
          </w:p>
        </w:tc>
        <w:tc>
          <w:tcPr/>
          <w:p>
            <w:pPr>
              <w:pStyle w:val="Compact"/>
              <w:spacing w:line="240" w:lineRule="auto" w:after="0"/>
              <w:jc w:val="left"/>
            </w:pPr>
            <w:r>
              <w:rPr>
                <w:rFonts w:ascii="Times New Roman" w:hAnsi="Times New Roman"/>
                <w:sz w:val="20"/>
              </w:rPr>
              <w:t xml:space="preserve">Exploratory only (not in the plan)</w:t>
            </w:r>
          </w:p>
        </w:tc>
        <w:tc>
          <w:tcPr/>
          <w:p>
            <w:pPr>
              <w:pStyle w:val="Compact"/>
              <w:spacing w:line="240" w:lineRule="auto" w:after="0"/>
              <w:jc w:val="left"/>
            </w:pPr>
            <w:r>
              <w:rPr>
                <w:rFonts w:ascii="Times New Roman" w:hAnsi="Times New Roman"/>
                <w:sz w:val="20"/>
              </w:rPr>
              <w:t xml:space="preserve">Fusiform cortex; advanced AD 125, control 70</w:t>
            </w:r>
          </w:p>
        </w:tc>
      </w:tr>
    </w:tbl>
    <w:bookmarkEnd w:id="23"/>
    <w:bookmarkStart w:id="24" w:name="stage-1-ad-vulnerable-neuron-signature"/>
    <w:p>
      <w:pPr>
        <w:pStyle w:val="Heading3"/>
      </w:pPr>
      <w:r>
        <w:t xml:space="preserve">2.3 Stage 1: AD vulnerable-neuron signature</w:t>
      </w:r>
    </w:p>
    <w:p>
      <w:pPr>
        <w:pStyle w:val="FirstParagraph"/>
      </w:pPr>
      <w:r>
        <w:t xml:space="preserve">I used the processed entorhinal cortex excitatory-neuron object released by Leng and colleagues [9], with its scAlign [23] subcluster labels. The plan defined vulnerable neurons by the 75th percentile of RORB expression. Instead, I used the three RORB+ subclusters that the original study identified as vulnerable (EC:Exc.s1, EC:Exc.s2 and EC:Exc.s4), a documented deviation (Table 2). Raw counts were summed for each donor × subcluster combination, and combinations with fewer than 10 nuclei were dropped.</w:t>
      </w:r>
    </w:p>
    <w:p>
      <w:pPr>
        <w:pStyle w:val="BodyText"/>
      </w:pPr>
      <w:r>
        <w:t xml:space="preserve">Because the plan assumed a single vulnerable subtype, its</w:t>
      </w:r>
      <w:r>
        <w:t xml:space="preserve"> </w:t>
      </w:r>
      <w:r>
        <w:t xml:space="preserve">“</w:t>
      </w:r>
      <w:r>
        <w:t xml:space="preserve">donor × subtype</w:t>
      </w:r>
      <w:r>
        <w:t xml:space="preserve">”</w:t>
      </w:r>
      <w:r>
        <w:t xml:space="preserve"> </w:t>
      </w:r>
      <w:r>
        <w:t xml:space="preserve">definition meant one sample per donor. Using three subclusters produced several samples per donor, so for the primary analysis I summed the three subclusters within each donor to obtain one pseudobulk sample per donor.</w:t>
      </w:r>
    </w:p>
    <w:p>
      <w:pPr>
        <w:pStyle w:val="BodyText"/>
      </w:pPr>
      <w:r>
        <w:t xml:space="preserve">As specified in the plan, the primary contrast was Braak VI versus Braak 0. A Braak II versus Braak 0 contrast is reported as a secondary analysis; this deviation was decided and documented while inspecting the data, before any results, on the grounds that RORB+ neuron loss becomes apparent between Braak 0 and Braak II. Differential expression was tested with the edgeR [24] (version 4.10.3) quasi-likelihood F-test [25]. Genes were filtered with</w:t>
      </w:r>
      <w:r>
        <w:t xml:space="preserve"> </w:t>
      </w:r>
      <w:r>
        <w:rPr>
          <w:rStyle w:val="VerbatimChar"/>
        </w:rPr>
        <w:t xml:space="preserve">filterByExpr</w:t>
      </w:r>
      <w:r>
        <w:t xml:space="preserve">, library sizes were normalised with TMM [26], and dispersions and quasi-likelihood models were estimated with the robust option. The design was</w:t>
      </w:r>
      <w:r>
        <w:t xml:space="preserve"> </w:t>
      </w:r>
      <w:r>
        <w:rPr>
          <w:rStyle w:val="VerbatimChar"/>
        </w:rPr>
        <w:t xml:space="preserve">~ braak + age</w:t>
      </w:r>
      <w:r>
        <w:t xml:space="preserve">. The plan also listed sex as a covariate, but all donors were male, so it was dropped. Following the plan, a gene entered the AD vulnerable-neuron signature if its Benjamini-Hochberg [27] FDR was below 0.05 and its log2 fold change was below −0.5. For Stage 3, genes were ranked by sign(log2FC) × −log10(P).</w:t>
      </w:r>
    </w:p>
    <w:p>
      <w:pPr>
        <w:pStyle w:val="BodyText"/>
      </w:pPr>
      <w:r>
        <w:t xml:space="preserve">As a sensitivity analysis, I fitted a model that keeps the subcluster information (</w:t>
      </w:r>
      <w:r>
        <w:rPr>
          <w:rStyle w:val="VerbatimChar"/>
        </w:rPr>
        <w:t xml:space="preserve">~ braak + subcluster + age</w:t>
      </w:r>
      <w:r>
        <w:t xml:space="preserve">) with limma [28]-voom [29], modelling donor as a blocking factor with</w:t>
      </w:r>
      <w:r>
        <w:t xml:space="preserve"> </w:t>
      </w:r>
      <w:r>
        <w:rPr>
          <w:rStyle w:val="VerbatimChar"/>
        </w:rPr>
        <w:t xml:space="preserve">duplicateCorrelation</w:t>
      </w:r>
      <w:r>
        <w:t xml:space="preserve"> </w:t>
      </w:r>
      <w:r>
        <w:t xml:space="preserve">[30]. With few donors, this approach can be anti-conservative for between-donor contrasts [14, 31], so I decided before seeing results that it would not be used for decisions.</w:t>
      </w:r>
    </w:p>
    <w:bookmarkEnd w:id="24"/>
    <w:bookmarkStart w:id="25" w:name="stage-2-gbm-neural-mimicry-signature"/>
    <w:p>
      <w:pPr>
        <w:pStyle w:val="Heading3"/>
      </w:pPr>
      <w:r>
        <w:t xml:space="preserve">2.4 Stage 2: GBM neural-mimicry signature</w:t>
      </w:r>
    </w:p>
    <w:p>
      <w:pPr>
        <w:pStyle w:val="FirstParagraph"/>
      </w:pPr>
      <w:r>
        <w:t xml:space="preserve">In the malignant-cell data of Neftel and colleagues [10], NPC-like and OPC-like cells were grouped as</w:t>
      </w:r>
      <w:r>
        <w:t xml:space="preserve"> </w:t>
      </w:r>
      <w:r>
        <w:t xml:space="preserve">“</w:t>
      </w:r>
      <w:r>
        <w:t xml:space="preserve">neural lineage</w:t>
      </w:r>
      <w:r>
        <w:t xml:space="preserve">”</w:t>
      </w:r>
      <w:r>
        <w:t xml:space="preserve"> </w:t>
      </w:r>
      <w:r>
        <w:t xml:space="preserve">and AC-like and MES-like cells as</w:t>
      </w:r>
      <w:r>
        <w:t xml:space="preserve"> </w:t>
      </w:r>
      <w:r>
        <w:t xml:space="preserve">“</w:t>
      </w:r>
      <w:r>
        <w:t xml:space="preserve">other</w:t>
      </w:r>
      <w:r>
        <w:t xml:space="preserve">”</w:t>
      </w:r>
      <w:r>
        <w:t xml:space="preserve">, following the original meta-module assignments. Cycling cells and cells assigned to two intermediate states were excluded. Pseudobulk profiles were built for each tumour × group combination; after the minimum-cell filter, 36 samples from 20 tumours remained (17 neural lineage, 19 other). The plan expected 24 tumours (deviation; Table 2). Because tumour enters the model as a fixed effect, the group contrast draws its information from the 16 tumours that contribute samples to both groups. As planned, differential expression was tested with a paired design that blocks on tumour (</w:t>
      </w:r>
      <w:r>
        <w:rPr>
          <w:rStyle w:val="VerbatimChar"/>
        </w:rPr>
        <w:t xml:space="preserve">~ tumour + group</w:t>
      </w:r>
      <w:r>
        <w:t xml:space="preserve">) using the edgeR quasi-likelihood F-test. The pseudobulk profiles were built from summed and rounded TPM values. I used the adult malignant cells from the Smart-seq2 data (GSM3828672) and converted the GEO values, stored as log2(TPM/10 + 1), back to linear TPM with 10 × (2^x − 1). The GEO archive (GSE131928_RAW.tar) contains only processed TPM matrices, so an analysis on raw counts was not possible. This is a limitation for a negative binomial model, which assumes counts, so I also ran a limma-trend sensitivity analysis on log-scaled TPM (Section 2.7). A gene entered the GBM neural-mimicry signature if its FDR was below 0.05 and its log2FC was above 0.5.</w:t>
      </w:r>
    </w:p>
    <w:bookmarkEnd w:id="25"/>
    <w:bookmarkStart w:id="26" w:name="stage-3-convergence-test-h2"/>
    <w:p>
      <w:pPr>
        <w:pStyle w:val="Heading3"/>
      </w:pPr>
      <w:r>
        <w:t xml:space="preserve">2.5 Stage 3: convergence test (H2)</w:t>
      </w:r>
    </w:p>
    <w:p>
      <w:pPr>
        <w:pStyle w:val="FirstParagraph"/>
      </w:pPr>
      <w:r>
        <w:t xml:space="preserve">H2 was tested on the 3,857 genes shared by the two platforms, using the three tests defined in the plan.</w:t>
      </w:r>
    </w:p>
    <w:p>
      <w:pPr>
        <w:pStyle w:val="BodyText"/>
      </w:pPr>
      <w:r>
        <w:rPr>
          <w:iCs/>
          <w:i/>
        </w:rPr>
        <w:t xml:space="preserve">Test 1 (RRHO2).</w:t>
      </w:r>
      <w:r>
        <w:t xml:space="preserve"> </w:t>
      </w:r>
      <w:r>
        <w:t xml:space="preserve">Both signatures were passed to RRHO2 [32] (version 1.0) as complete gene lists ranked by sign(log2FC) × −log10(P), with a step size of 100 and the hypergeometric method (a 43 × 43 map). As required by the plan, significance was assessed at the highest −log10(P) in the quadrant for genes down in AD and up in GBM (DU). Quadrant boundaries are defined where RRHO2 splits each list into up- and down-regulated genes, that is, where the ranking statistic changes sign. The first version of the re-analysis script assumed the boundaries lay at the midpoint of the map. I noticed this while making the figures and corrected it; the DU values, and therefore the H2 decisions, did not change (see the deviation register). The plan specified a BH adjustment at this point; for consistency with the original implementation, I multiplied the raw P value by the number of pixels, which is more conservative (deviation; Table 2). The threshold was an adjusted P below 0.001. The maxima of the other three quadrants are reported for comparison.</w:t>
      </w:r>
    </w:p>
    <w:p>
      <w:pPr>
        <w:pStyle w:val="BodyText"/>
      </w:pPr>
      <w:r>
        <w:rPr>
          <w:iCs/>
          <w:i/>
        </w:rPr>
        <w:t xml:space="preserve">Test 2 (hypergeometric).</w:t>
      </w:r>
      <w:r>
        <w:t xml:space="preserve"> </w:t>
      </w:r>
      <w:r>
        <w:t xml:space="preserve">I took the top 200 genes of each signature and tested their overlap against the shared universe with a hypergeometric test. As in the original implementation, the top 200 genes were those with the most negative log2FC in AD and the most positive log2FC in GBM. The odds ratio was computed from the 2 × 2 table, and the P value was Bonferroni-adjusted for the three H2 tests (× 3). The threshold was an odds ratio of at least 3 and an adjusted P below 0.001.</w:t>
      </w:r>
    </w:p>
    <w:p>
      <w:pPr>
        <w:pStyle w:val="BodyText"/>
      </w:pPr>
      <w:r>
        <w:rPr>
          <w:iCs/>
          <w:i/>
        </w:rPr>
        <w:t xml:space="preserve">Test 3 (permutation).</w:t>
      </w:r>
      <w:r>
        <w:t xml:space="preserve"> </w:t>
      </w:r>
      <w:r>
        <w:t xml:space="preserve">I drew 1,000 random pairs of 200-gene sets from the shared universe and computed the odds ratio for each pair. The empirical P value was the proportion of pairs with an odds ratio at least as large as the observed one, (k + 1)/(1,000 + 1). The threshold was an empirical P below 0.01.</w:t>
      </w:r>
    </w:p>
    <w:p>
      <w:pPr>
        <w:pStyle w:val="BodyText"/>
      </w:pPr>
      <w:r>
        <w:rPr>
          <w:iCs/>
          <w:i/>
        </w:rPr>
        <w:t xml:space="preserve">Decision rule.</w:t>
      </w:r>
      <w:r>
        <w:t xml:space="preserve"> </w:t>
      </w:r>
      <w:r>
        <w:t xml:space="preserve">H2 was supported if all three tests passed, rejected if any two failed, and inconclusive if exactly one failed.</w:t>
      </w:r>
    </w:p>
    <w:p>
      <w:pPr>
        <w:pStyle w:val="BodyText"/>
      </w:pPr>
      <w:r>
        <w:t xml:space="preserve">Only the AD input changed in Stage 3; the GBM input and the implementation of all three tests were kept identical to the original code. I checked the implementation by running it on the original AD input and reproducing the original result exactly.</w:t>
      </w:r>
    </w:p>
    <w:bookmarkEnd w:id="26"/>
    <w:bookmarkStart w:id="27" w:name="Xa9c8c5fb82ac0562269843d4bbfe17ff5d71b7c"/>
    <w:p>
      <w:pPr>
        <w:pStyle w:val="Heading3"/>
      </w:pPr>
      <w:r>
        <w:t xml:space="preserve">2.6 Stage 4: composition-controlled bulk re-analysis (H1)</w:t>
      </w:r>
    </w:p>
    <w:p>
      <w:pPr>
        <w:pStyle w:val="FirstParagraph"/>
      </w:pPr>
      <w:r>
        <w:rPr>
          <w:iCs/>
          <w:i/>
        </w:rPr>
        <w:t xml:space="preserve">AD meta-cohort.</w:t>
      </w:r>
      <w:r>
        <w:t xml:space="preserve"> </w:t>
      </w:r>
      <w:r>
        <w:t xml:space="preserve">The GSE48350 and GSE36980 microarrays were normalised with RMA [33], and where several probes mapped to one gene symbol, the probe with the highest mean expression was kept. GSE48350 has no direct diagnosis field, so AD was defined by Braak stage (deviation). The only brain region shared by the two platforms is the hippocampus, so the analysis was restricted to hippocampal samples (deviation). Batch effects between datasets were removed with ComBat [34] (sva [35] 3.60.0). The plan named diagnosis and brain region as covariates to preserve. In practice, the candidate covariates were diagnosis, brain region and sex, and only those with at least two levels were included; after the hippocampal restriction brain region had a single level, so diagnosis and sex were preserved (deviation; Table 2). The plan’s acceptance criterion was met: the correlation between PC1 and dataset was r = −0.999 before correction and r = 0.093 after (threshold |r| &lt; 0.20), and the correlations of diagnosis with PC1 and PC2 were 0.485 and 0.405. Preserving diagnosis in ComBat can inflate significance in downstream tests when groups are unevenly distributed across batches [36], and I discuss this as a limitation.</w:t>
      </w:r>
    </w:p>
    <w:p>
      <w:pPr>
        <w:pStyle w:val="BodyText"/>
      </w:pPr>
      <w:r>
        <w:rPr>
          <w:iCs/>
          <w:i/>
        </w:rPr>
        <w:t xml:space="preserve">GBM cohort.</w:t>
      </w:r>
      <w:r>
        <w:t xml:space="preserve"> </w:t>
      </w:r>
      <w:r>
        <w:t xml:space="preserve">TCGA-GBM primary tumours (sample type 01) and GTEx hippocampus and frontal cortex BA9 samples were taken from the UCSC Xena [19] TOIL [20] files on the log2(TPM + 0.001) scale. The sample counts in the plan’s Table 1 were reproduced exactly (153 tumours, 84 hippocampus, 102 BA9). Ensembl identifiers were mapped to gene symbols through GENCODE, keeping the gene with the highest mean where several mapped to one symbol. Genes with log2 TPM ≥ 1 in fewer than 20% of samples were removed. One tumour sample without sex information was excluded, leaving 152 tumours. The plan’s exclusion criteria for GTEx RNA quality and Hardy scale could not be applied because these fields are not in the Xena phenotype file (deviation).</w:t>
      </w:r>
    </w:p>
    <w:p>
      <w:pPr>
        <w:pStyle w:val="BodyText"/>
      </w:pPr>
      <w:r>
        <w:rPr>
          <w:iCs/>
          <w:i/>
        </w:rPr>
        <w:t xml:space="preserve">Deconvolution method 1 (BRETIGEA).</w:t>
      </w:r>
      <w:r>
        <w:t xml:space="preserve"> </w:t>
      </w:r>
      <w:r>
        <w:t xml:space="preserve">Cell-type scores were computed with the BRETIGEA [37] (version 1.0.4)</w:t>
      </w:r>
      <w:r>
        <w:t xml:space="preserve"> </w:t>
      </w:r>
      <w:r>
        <w:rPr>
          <w:rStyle w:val="VerbatimChar"/>
        </w:rPr>
        <w:t xml:space="preserve">brainCells</w:t>
      </w:r>
      <w:r>
        <w:t xml:space="preserve"> </w:t>
      </w:r>
      <w:r>
        <w:t xml:space="preserve">function, using 50 markers per cell type, for astrocytes, endothelial cells, microglia, neurons, oligodendrocytes and oligodendrocyte precursor cells.</w:t>
      </w:r>
    </w:p>
    <w:p>
      <w:pPr>
        <w:pStyle w:val="BodyText"/>
      </w:pPr>
      <w:r>
        <w:rPr>
          <w:iCs/>
          <w:i/>
        </w:rPr>
        <w:t xml:space="preserve">Deconvolution method 2 (MuSiC).</w:t>
      </w:r>
      <w:r>
        <w:t xml:space="preserve"> </w:t>
      </w:r>
      <w:r>
        <w:t xml:space="preserve">The plan named bMIND [38] as the second method. Because the package was not available, I used MuSiC [39] (version 1.0.0), which is also reference-based (deviation). The plan called for an Allen Brain Map reference and cited Tasic et al. (2018), a mouse dataset. I used the human primary motor cortex (M1) 10x Chromium v3 snRNA-seq data published by Bakken et al. (2021) [21] (two donors, 76,533 nuclei). In that dataset, nuclei were sorted with NeuN to enrich for neurons (90% NeuN+), so non-neuronal cells are a minority of the reference (5.2%; 64 endothelial and 108 microglial nuclei), and glial profiles are estimated from fewer nuclei. MuSiC estimates proportions from the bulk data, not from the cell frequencies of the reference, so this enrichment does not bias the proportion estimates directly. I collapsed the reference into six classes comparable to BRETIGEA: glutamatergic and GABAergic cells became neurons,</w:t>
      </w:r>
      <w:r>
        <w:t xml:space="preserve"> </w:t>
      </w:r>
      <w:r>
        <w:t xml:space="preserve">“</w:t>
      </w:r>
      <w:r>
        <w:t xml:space="preserve">Micro-PVM</w:t>
      </w:r>
      <w:r>
        <w:t xml:space="preserve">”</w:t>
      </w:r>
      <w:r>
        <w:t xml:space="preserve"> </w:t>
      </w:r>
      <w:r>
        <w:t xml:space="preserve">became microglia, and other classes such as VLMC were dropped. To keep memory use manageable, I randomly selected at most 500 nuclei per class and donor using the metadata only (3,023 nuclei in total), and committed the selection list before reading any expression data. Bulk data were converted to a linear scale (AD: 2^expression; GBM: 2^expression − 0.001, floored at zero), and the package’s default estimate (</w:t>
      </w:r>
      <w:r>
        <w:rPr>
          <w:rStyle w:val="VerbatimChar"/>
        </w:rPr>
        <w:t xml:space="preserve">Est.prop.weighted</w:t>
      </w:r>
      <w:r>
        <w:t xml:space="preserve">) was used. Because the proportions sum to one, the endothelial proportion was left out of the model to avoid exact collinearity.</w:t>
      </w:r>
    </w:p>
    <w:p>
      <w:pPr>
        <w:pStyle w:val="BodyText"/>
      </w:pPr>
      <w:r>
        <w:rPr>
          <w:iCs/>
          <w:i/>
        </w:rPr>
        <w:t xml:space="preserve">Models.</w:t>
      </w:r>
      <w:r>
        <w:t xml:space="preserve"> </w:t>
      </w:r>
      <w:r>
        <w:t xml:space="preserve">In each cohort I fitted four models with limma [28] (version 3.68.2). Model A (no composition control) was</w:t>
      </w:r>
      <w:r>
        <w:t xml:space="preserve"> </w:t>
      </w:r>
      <w:r>
        <w:rPr>
          <w:rStyle w:val="VerbatimChar"/>
        </w:rPr>
        <w:t xml:space="preserve">~ diagnosis + sex + age + dataset</w:t>
      </w:r>
      <w:r>
        <w:t xml:space="preserve"> </w:t>
      </w:r>
      <w:r>
        <w:t xml:space="preserve">for AD and</w:t>
      </w:r>
      <w:r>
        <w:t xml:space="preserve"> </w:t>
      </w:r>
      <w:r>
        <w:rPr>
          <w:rStyle w:val="VerbatimChar"/>
        </w:rPr>
        <w:t xml:space="preserve">~ diagnosis + sex</w:t>
      </w:r>
      <w:r>
        <w:t xml:space="preserve"> </w:t>
      </w:r>
      <w:r>
        <w:t xml:space="preserve">for GBM. The plan included brain region in both; I removed it because it had a single level in the AD cohort and was completely confounded with diagnosis for tumour samples in the GBM cohort (deviation). Model B added the six BRETIGEA scores to Model A, and Model C added the MuSiC proportions. Model D, with both sets of covariates, is reported as exploratory. I computed the variance inflation factor (VIF) of the diagnosis coefficient for each model.</w:t>
      </w:r>
    </w:p>
    <w:p>
      <w:pPr>
        <w:pStyle w:val="BodyText"/>
      </w:pPr>
      <w:r>
        <w:rPr>
          <w:iCs/>
          <w:i/>
        </w:rPr>
        <w:t xml:space="preserve">Shared DEGs and decision rule.</w:t>
      </w:r>
      <w:r>
        <w:t xml:space="preserve"> </w:t>
      </w:r>
      <w:r>
        <w:t xml:space="preserve">Following the plan, a shared DEG was a gene with FDR below 0.05 in both cohorts and the same direction of change. In a sensitivity analysis I also required |log2FC| &gt; 0.5 in AD and |log2FC| &gt; 1 in GBM. H1 was supported if the ratios of shared DEGs in Model B to Model A and in Model C to Model A were both at most 0.20, rejected if either ratio was at least 0.50, and inconclusive otherwise. I also ran sensitivity analyses in which the control group was limited to a single region (BA9 only, or hippocampus only).</w:t>
      </w:r>
    </w:p>
    <w:bookmarkEnd w:id="27"/>
    <w:bookmarkStart w:id="28" w:name="exploratory-analyses"/>
    <w:p>
      <w:pPr>
        <w:pStyle w:val="Heading3"/>
      </w:pPr>
      <w:r>
        <w:t xml:space="preserve">2.7 Exploratory analyses</w:t>
      </w:r>
    </w:p>
    <w:p>
      <w:pPr>
        <w:pStyle w:val="FirstParagraph"/>
      </w:pPr>
      <w:r>
        <w:t xml:space="preserve">None of the analyses in this section enter the hypothesis decisions.</w:t>
      </w:r>
    </w:p>
    <w:p>
      <w:pPr>
        <w:pStyle w:val="BodyText"/>
      </w:pPr>
      <w:r>
        <w:rPr>
          <w:iCs/>
          <w:i/>
        </w:rPr>
        <w:t xml:space="preserve">Evaluation of the original Stage 1 implementation.</w:t>
      </w:r>
      <w:r>
        <w:t xml:space="preserve"> </w:t>
      </w:r>
      <w:r>
        <w:t xml:space="preserve">The original Stage 1 code treated the three subclusters as separate samples without modelling donor (</w:t>
      </w:r>
      <w:r>
        <w:rPr>
          <w:rStyle w:val="VerbatimChar"/>
        </w:rPr>
        <w:t xml:space="preserve">~ 0 + braak + subcluster</w:t>
      </w:r>
      <w:r>
        <w:t xml:space="preserve">), left out the age covariate required by the plan, and compared Braak II with Braak 0 instead of the plan’s primary contrast. To assess the effect of pseudoreplication, I estimated the within-donor correlation with</w:t>
      </w:r>
      <w:r>
        <w:t xml:space="preserve"> </w:t>
      </w:r>
      <w:r>
        <w:rPr>
          <w:rStyle w:val="VerbatimChar"/>
        </w:rPr>
        <w:t xml:space="preserve">duplicateCorrelation</w:t>
      </w:r>
      <w:r>
        <w:t xml:space="preserve"> </w:t>
      </w:r>
      <w:r>
        <w:t xml:space="preserve">and compared the original result with a limma-voom model that included a donor block and with a donor-summed edgeR model. I examined how sensitive the</w:t>
      </w:r>
      <w:r>
        <w:t xml:space="preserve"> </w:t>
      </w:r>
      <w:r>
        <w:t xml:space="preserve">“</w:t>
      </w:r>
      <w:r>
        <w:t xml:space="preserve">down in both diseases</w:t>
      </w:r>
      <w:r>
        <w:t xml:space="preserve">”</w:t>
      </w:r>
      <w:r>
        <w:t xml:space="preserve"> </w:t>
      </w:r>
      <w:r>
        <w:t xml:space="preserve">(DD) quadrant signal of the original analysis was to these corrections using four-quadrant overlap tests at four thresholds fixed in advance (top 100, 200, 300 and 500 genes). All four thresholds are reported, whatever the result.</w:t>
      </w:r>
    </w:p>
    <w:p>
      <w:pPr>
        <w:pStyle w:val="BodyText"/>
      </w:pPr>
      <w:r>
        <w:rPr>
          <w:iCs/>
          <w:i/>
        </w:rPr>
        <w:t xml:space="preserve">Stress genes in GSE125583.</w:t>
      </w:r>
      <w:r>
        <w:t xml:space="preserve"> </w:t>
      </w:r>
      <w:r>
        <w:t xml:space="preserve">I looked at the behaviour of six stress genes taken from the DD quadrant of the original analysis in an independent AD cohort. The recount3 [22] counts are base-pair coverage values, not read counts, so instead of negative binomial methods I used limma-trend on log-CPM values. Advanced AD (n = 125) was compared with controls (n = 70) using</w:t>
      </w:r>
      <w:r>
        <w:t xml:space="preserve"> </w:t>
      </w:r>
      <w:r>
        <w:rPr>
          <w:rStyle w:val="VerbatimChar"/>
        </w:rPr>
        <w:t xml:space="preserve">~ group + age + sex</w:t>
      </w:r>
      <w:r>
        <w:t xml:space="preserve">, and I then added neuron, astrocyte and microglia marker scores (the mean z-score of each marker set) as covariates. The cohort as analysed is saved to disk by a script (R/12_build_gse125583_bulk.R), but the upstream download and log-CPM steps are not yet scripted </w:t>
      </w:r>
      <w:r>
        <w:rPr>
          <w:highlight w:val="yellow"/>
        </w:rPr>
        <w:t>[CHECK: loading script to be added before submission]</w:t>
      </w:r>
      <w:r>
        <w:rPr/>
        <w:t>.</w:t>
      </w:r>
    </w:p>
    <w:p>
      <w:pPr>
        <w:pStyle w:val="BodyText"/>
      </w:pPr>
      <w:r>
        <w:rPr>
          <w:iCs/>
          <w:i/>
        </w:rPr>
        <w:t xml:space="preserve">Negative control for H1.</w:t>
      </w:r>
      <w:r>
        <w:t xml:space="preserve"> </w:t>
      </w:r>
      <w:r>
        <w:t xml:space="preserve">To test whether the loss of shared DEGs in H1 reflects a loss of statistical power, or simply the effect of adding any data-derived covariates, I ran a two-arm negative control with rules defined before the results were seen. In arm 1, six independent standard normal variables were added to Model A. In arm 2, I added the first principal component scores of six random 50-gene sets drawn from all genes outside the BRETIGEA marker lists. Each arm had 1,000 iterations. The primary metric was retention of AD DEGs (the median number of AD DEGs per iteration divided by the number in Model A). In arm 2, I measured how much composition the random covariates captured as the mean R² from regressing each of the six BRETIGEA scores on the six random components. In arm 1, a retention of at least 0.80 meant power loss did not explain the decline, and a retention below 0.20 meant the decline was largely due to power loss. In arm 2, a median R² of at least 0.25 meant the arm could not discriminate; below 0.25, a retention below 0.20 would indicate a decline that is not specific to composition, and a retention of at least 0.80 one that is.</w:t>
      </w:r>
    </w:p>
    <w:p>
      <w:pPr>
        <w:pStyle w:val="BodyText"/>
      </w:pPr>
      <w:r>
        <w:rPr>
          <w:iCs/>
          <w:i/>
        </w:rPr>
        <w:t xml:space="preserve">Analyses added after external review.</w:t>
      </w:r>
      <w:r>
        <w:t xml:space="preserve"> </w:t>
      </w:r>
      <w:r>
        <w:t xml:space="preserve">After an external review of an earlier draft, I pre-declared and committed three further analyses before running them. (i) Replication of H1: the AD side of H1 was repeated in GSE125583 (advanced AD 125, controls 70), with Model A</w:t>
      </w:r>
      <w:r>
        <w:t xml:space="preserve"> </w:t>
      </w:r>
      <w:r>
        <w:rPr>
          <w:rStyle w:val="VerbatimChar"/>
        </w:rPr>
        <w:t xml:space="preserve">~ diagnosis + sex + age</w:t>
      </w:r>
      <w:r>
        <w:t xml:space="preserve"> </w:t>
      </w:r>
      <w:r>
        <w:t xml:space="preserve">and Model B adding the six BRETIGEA scores, fitted with limma-trend; the GBM models were left unchanged. The shared-DEG ratio B/A was labelled as replicating H1 if at most 0.20, not replicating if at least 0.50, and partial otherwise. MuSiC was not run, for the reasons given in Section 3.1. (ii) A 2 × 2 decomposition of the original DD signal: with the Braak II versus Braak 0 contrast held fixed, the RRHO2 DD and DU maxima and the top-200 DD overlap were computed with and without donor modelling (donor-summed edgeR) and with and without age. All four cells are reported, without a decision rule. (iii) A GBM sensitivity analysis: the Neftel pseudobulk profiles were scaled to one million per sample, transformed as log2(x + 1) and fitted with limma-trend (</w:t>
      </w:r>
      <w:r>
        <w:rPr>
          <w:rStyle w:val="VerbatimChar"/>
        </w:rPr>
        <w:t xml:space="preserve">~ tumour + group</w:t>
      </w:r>
      <w:r>
        <w:t xml:space="preserve">, robust empirical Bayes), and the three Stage 3 tests were re-run with the plan and deviation AD inputs and the same thresholds.</w:t>
      </w:r>
    </w:p>
    <w:bookmarkEnd w:id="28"/>
    <w:bookmarkStart w:id="29" w:name="software-and-reproducibility"/>
    <w:p>
      <w:pPr>
        <w:pStyle w:val="Heading3"/>
      </w:pPr>
      <w:r>
        <w:t xml:space="preserve">2.8 Software and reproducibility</w:t>
      </w:r>
    </w:p>
    <w:p>
      <w:pPr>
        <w:pStyle w:val="FirstParagraph"/>
      </w:pPr>
      <w:r>
        <w:t xml:space="preserve">All analyses were run in R 4.6.0 with edgeR 4.10.3, limma 3.68.2, sva 3.60.0, BRETIGEA 1.0.4, MuSiC 1.0.0 and RRHO2 1.0. A fixed random seed (20260101) was used wherever randomness was involved. The analysis scripts, intermediate results, deviation register and a facts sheet (a script that generates every number in the manuscript from the locked result files) are in the project repository </w:t>
      </w:r>
      <w:r>
        <w:rPr>
          <w:highlight w:val="yellow"/>
        </w:rPr>
        <w:t>[CHECK: URL]</w:t>
      </w:r>
      <w:r>
        <w:rPr/>
        <w:t>.</w:t>
      </w:r>
    </w:p>
    <w:p>
      <w:pPr>
        <w:pStyle w:val="BodyText"/>
      </w:pPr>
      <w:r>
        <w:rPr>
          <w:bCs/>
          <w:b/>
        </w:rPr>
        <w:t xml:space="preserve">Table 2.</w:t>
      </w:r>
      <w:r>
        <w:t xml:space="preserve"> </w:t>
      </w:r>
      <w:r>
        <w:t xml:space="preserve">Deviations from the plan (summary; full register in Supplementary File 2).</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tblHeader w:val="true"/>
        </w:trPr>
        <w:tc>
          <w:tcPr/>
          <w:p>
            <w:pPr>
              <w:pStyle w:val="Compact"/>
              <w:spacing w:line="240" w:lineRule="auto" w:after="0"/>
              <w:jc w:val="left"/>
            </w:pPr>
            <w:r>
              <w:rPr>
                <w:rFonts w:ascii="Times New Roman" w:hAnsi="Times New Roman"/>
                <w:b/>
                <w:sz w:val="20"/>
              </w:rPr>
              <w:t xml:space="preserve">Plan</w:t>
            </w:r>
          </w:p>
        </w:tc>
        <w:tc>
          <w:tcPr/>
          <w:p>
            <w:pPr>
              <w:pStyle w:val="Compact"/>
              <w:spacing w:line="240" w:lineRule="auto" w:after="0"/>
              <w:jc w:val="left"/>
            </w:pPr>
            <w:r>
              <w:rPr>
                <w:rFonts w:ascii="Times New Roman" w:hAnsi="Times New Roman"/>
                <w:b/>
                <w:sz w:val="20"/>
              </w:rPr>
              <w:t xml:space="preserve">Implementation</w:t>
            </w:r>
          </w:p>
        </w:tc>
        <w:tc>
          <w:tcPr/>
          <w:p>
            <w:pPr>
              <w:pStyle w:val="Compact"/>
              <w:spacing w:line="240" w:lineRule="auto" w:after="0"/>
              <w:jc w:val="left"/>
            </w:pPr>
            <w:r>
              <w:rPr>
                <w:rFonts w:ascii="Times New Roman" w:hAnsi="Times New Roman"/>
                <w:b/>
                <w:sz w:val="20"/>
              </w:rPr>
              <w:t xml:space="preserve">Reason</w:t>
            </w:r>
          </w:p>
        </w:tc>
        <w:tc>
          <w:tcPr/>
          <w:p>
            <w:pPr>
              <w:pStyle w:val="Compact"/>
              <w:spacing w:line="240" w:lineRule="auto" w:after="0"/>
              <w:jc w:val="left"/>
            </w:pPr>
            <w:r>
              <w:rPr>
                <w:rFonts w:ascii="Times New Roman" w:hAnsi="Times New Roman"/>
                <w:b/>
                <w:sz w:val="20"/>
              </w:rPr>
              <w:t xml:space="preserve">When documented</w:t>
            </w:r>
          </w:p>
        </w:tc>
      </w:tr>
      <w:tr>
        <w:tc>
          <w:tcPr/>
          <w:p>
            <w:pPr>
              <w:pStyle w:val="Compact"/>
              <w:spacing w:line="240" w:lineRule="auto" w:after="0"/>
              <w:jc w:val="left"/>
            </w:pPr>
            <w:r>
              <w:rPr>
                <w:rFonts w:ascii="Times New Roman" w:hAnsi="Times New Roman"/>
                <w:sz w:val="20"/>
              </w:rPr>
              <w:t xml:space="preserve">Stage 1: single subtype defined by the 75th RORB percentile</w:t>
            </w:r>
          </w:p>
        </w:tc>
        <w:tc>
          <w:tcPr/>
          <w:p>
            <w:pPr>
              <w:pStyle w:val="Compact"/>
              <w:spacing w:line="240" w:lineRule="auto" w:after="0"/>
              <w:jc w:val="left"/>
            </w:pPr>
            <w:r>
              <w:rPr>
                <w:rFonts w:ascii="Times New Roman" w:hAnsi="Times New Roman"/>
                <w:sz w:val="20"/>
              </w:rPr>
              <w:t xml:space="preserve">Three RORB+ subclusters (s1, s2, s4) of Leng et al., summed per donor</w:t>
            </w:r>
          </w:p>
        </w:tc>
        <w:tc>
          <w:tcPr/>
          <w:p>
            <w:pPr>
              <w:pStyle w:val="Compact"/>
              <w:spacing w:line="240" w:lineRule="auto" w:after="0"/>
              <w:jc w:val="left"/>
            </w:pPr>
            <w:r>
              <w:rPr>
                <w:rFonts w:ascii="Times New Roman" w:hAnsi="Times New Roman"/>
                <w:sz w:val="20"/>
              </w:rPr>
              <w:t xml:space="preserve">Vulnerable-subcluster definition of the original study</w:t>
            </w:r>
          </w:p>
        </w:tc>
        <w:tc>
          <w:tcPr/>
          <w:p>
            <w:pPr>
              <w:pStyle w:val="Compact"/>
              <w:spacing w:line="240" w:lineRule="auto" w:after="0"/>
              <w:jc w:val="left"/>
            </w:pPr>
            <w:r>
              <w:rPr>
                <w:rFonts w:ascii="Times New Roman" w:hAnsi="Times New Roman"/>
                <w:sz w:val="20"/>
              </w:rPr>
              <w:t xml:space="preserve">During data inspection, before results</w:t>
            </w:r>
          </w:p>
        </w:tc>
      </w:tr>
      <w:tr>
        <w:tc>
          <w:tcPr/>
          <w:p>
            <w:pPr>
              <w:pStyle w:val="Compact"/>
              <w:spacing w:line="240" w:lineRule="auto" w:after="0"/>
              <w:jc w:val="left"/>
            </w:pPr>
            <w:r>
              <w:rPr>
                <w:rFonts w:ascii="Times New Roman" w:hAnsi="Times New Roman"/>
                <w:sz w:val="20"/>
              </w:rPr>
              <w:t xml:space="preserve">Stage 1: Braak VI vs 0</w:t>
            </w:r>
          </w:p>
        </w:tc>
        <w:tc>
          <w:tcPr/>
          <w:p>
            <w:pPr>
              <w:pStyle w:val="Compact"/>
              <w:spacing w:line="240" w:lineRule="auto" w:after="0"/>
              <w:jc w:val="left"/>
            </w:pPr>
            <w:r>
              <w:rPr>
                <w:rFonts w:ascii="Times New Roman" w:hAnsi="Times New Roman"/>
                <w:sz w:val="20"/>
              </w:rPr>
              <w:t xml:space="preserve">Kept as primary; Braak II vs 0 added as secondary contrast</w:t>
            </w:r>
          </w:p>
        </w:tc>
        <w:tc>
          <w:tcPr/>
          <w:p>
            <w:pPr>
              <w:pStyle w:val="Compact"/>
              <w:spacing w:line="240" w:lineRule="auto" w:after="0"/>
              <w:jc w:val="left"/>
            </w:pPr>
            <w:r>
              <w:rPr>
                <w:rFonts w:ascii="Times New Roman" w:hAnsi="Times New Roman"/>
                <w:sz w:val="20"/>
              </w:rPr>
              <w:t xml:space="preserve">Neuron loss already apparent at Braak II</w:t>
            </w:r>
          </w:p>
        </w:tc>
        <w:tc>
          <w:tcPr/>
          <w:p>
            <w:pPr>
              <w:pStyle w:val="Compact"/>
              <w:spacing w:line="240" w:lineRule="auto" w:after="0"/>
              <w:jc w:val="left"/>
            </w:pPr>
            <w:r>
              <w:rPr>
                <w:rFonts w:ascii="Times New Roman" w:hAnsi="Times New Roman"/>
                <w:sz w:val="20"/>
              </w:rPr>
              <w:t xml:space="preserve">Before results</w:t>
            </w:r>
          </w:p>
        </w:tc>
      </w:tr>
      <w:tr>
        <w:tc>
          <w:tcPr/>
          <w:p>
            <w:pPr>
              <w:pStyle w:val="Compact"/>
              <w:spacing w:line="240" w:lineRule="auto" w:after="0"/>
              <w:jc w:val="left"/>
            </w:pPr>
            <w:r>
              <w:rPr>
                <w:rFonts w:ascii="Times New Roman" w:hAnsi="Times New Roman"/>
                <w:sz w:val="20"/>
              </w:rPr>
              <w:t xml:space="preserve">Stage 1: age and sex as covariates</w:t>
            </w:r>
          </w:p>
        </w:tc>
        <w:tc>
          <w:tcPr/>
          <w:p>
            <w:pPr>
              <w:pStyle w:val="Compact"/>
              <w:spacing w:line="240" w:lineRule="auto" w:after="0"/>
              <w:jc w:val="left"/>
            </w:pPr>
            <w:r>
              <w:rPr>
                <w:rFonts w:ascii="Times New Roman" w:hAnsi="Times New Roman"/>
                <w:sz w:val="20"/>
              </w:rPr>
              <w:t xml:space="preserve">Age included; sex dropped</w:t>
            </w:r>
          </w:p>
        </w:tc>
        <w:tc>
          <w:tcPr/>
          <w:p>
            <w:pPr>
              <w:pStyle w:val="Compact"/>
              <w:spacing w:line="240" w:lineRule="auto" w:after="0"/>
              <w:jc w:val="left"/>
            </w:pPr>
            <w:r>
              <w:rPr>
                <w:rFonts w:ascii="Times New Roman" w:hAnsi="Times New Roman"/>
                <w:sz w:val="20"/>
              </w:rPr>
              <w:t xml:space="preserve">All donors male</w:t>
            </w:r>
          </w:p>
        </w:tc>
        <w:tc>
          <w:tcPr/>
          <w:p>
            <w:pPr>
              <w:pStyle w:val="Compact"/>
              <w:spacing w:line="240" w:lineRule="auto" w:after="0"/>
              <w:jc w:val="left"/>
            </w:pPr>
            <w:r>
              <w:rPr>
                <w:rFonts w:ascii="Times New Roman" w:hAnsi="Times New Roman"/>
                <w:sz w:val="20"/>
              </w:rPr>
              <w:t xml:space="preserve">Before results</w:t>
            </w:r>
          </w:p>
        </w:tc>
      </w:tr>
      <w:tr>
        <w:tc>
          <w:tcPr/>
          <w:p>
            <w:pPr>
              <w:pStyle w:val="Compact"/>
              <w:spacing w:line="240" w:lineRule="auto" w:after="0"/>
              <w:jc w:val="left"/>
            </w:pPr>
            <w:r>
              <w:rPr>
                <w:rFonts w:ascii="Times New Roman" w:hAnsi="Times New Roman"/>
                <w:sz w:val="20"/>
              </w:rPr>
              <w:t xml:space="preserve">Stage 1: donor-level inference</w:t>
            </w:r>
          </w:p>
        </w:tc>
        <w:tc>
          <w:tcPr/>
          <w:p>
            <w:pPr>
              <w:pStyle w:val="Compact"/>
              <w:spacing w:line="240" w:lineRule="auto" w:after="0"/>
              <w:jc w:val="left"/>
            </w:pPr>
            <w:r>
              <w:rPr>
                <w:rFonts w:ascii="Times New Roman" w:hAnsi="Times New Roman"/>
                <w:sz w:val="20"/>
              </w:rPr>
              <w:t xml:space="preserve">Original code did not model donor; re-analysis at donor level</w:t>
            </w:r>
          </w:p>
        </w:tc>
        <w:tc>
          <w:tcPr/>
          <w:p>
            <w:pPr>
              <w:pStyle w:val="Compact"/>
              <w:spacing w:line="240" w:lineRule="auto" w:after="0"/>
              <w:jc w:val="left"/>
            </w:pPr>
            <w:r>
              <w:rPr>
                <w:rFonts w:ascii="Times New Roman" w:hAnsi="Times New Roman"/>
                <w:sz w:val="20"/>
              </w:rPr>
              <w:t xml:space="preserve">Pseudoreplication</w:t>
            </w:r>
          </w:p>
        </w:tc>
        <w:tc>
          <w:tcPr/>
          <w:p>
            <w:pPr>
              <w:pStyle w:val="Compact"/>
              <w:spacing w:line="240" w:lineRule="auto" w:after="0"/>
              <w:jc w:val="left"/>
            </w:pPr>
            <w:r>
              <w:rPr>
                <w:rFonts w:ascii="Times New Roman" w:hAnsi="Times New Roman"/>
                <w:sz w:val="20"/>
              </w:rPr>
              <w:t xml:space="preserve">Found in the audit</w:t>
            </w:r>
          </w:p>
        </w:tc>
      </w:tr>
      <w:tr>
        <w:tc>
          <w:tcPr/>
          <w:p>
            <w:pPr>
              <w:pStyle w:val="Compact"/>
              <w:spacing w:line="240" w:lineRule="auto" w:after="0"/>
              <w:jc w:val="left"/>
            </w:pPr>
            <w:r>
              <w:rPr>
                <w:rFonts w:ascii="Times New Roman" w:hAnsi="Times New Roman"/>
                <w:sz w:val="20"/>
              </w:rPr>
              <w:t xml:space="preserve">Stage 1: signature requires log2FC &lt; −0.5</w:t>
            </w:r>
          </w:p>
        </w:tc>
        <w:tc>
          <w:tcPr/>
          <w:p>
            <w:pPr>
              <w:pStyle w:val="Compact"/>
              <w:spacing w:line="240" w:lineRule="auto" w:after="0"/>
              <w:jc w:val="left"/>
            </w:pPr>
            <w:r>
              <w:rPr>
                <w:rFonts w:ascii="Times New Roman" w:hAnsi="Times New Roman"/>
                <w:sz w:val="20"/>
              </w:rPr>
              <w:t xml:space="preserve">Not applied in the original code; applied in the re-analysis</w:t>
            </w:r>
          </w:p>
        </w:tc>
        <w:tc>
          <w:tcPr/>
          <w:p>
            <w:pPr>
              <w:pStyle w:val="Compact"/>
              <w:spacing w:line="240" w:lineRule="auto" w:after="0"/>
              <w:jc w:val="left"/>
            </w:pPr>
            <w:r>
              <w:rPr>
                <w:rFonts w:ascii="Times New Roman" w:hAnsi="Times New Roman"/>
                <w:sz w:val="20"/>
              </w:rPr>
              <w:t xml:space="preserve">Return to the plan</w:t>
            </w:r>
          </w:p>
        </w:tc>
        <w:tc>
          <w:tcPr/>
          <w:p>
            <w:pPr>
              <w:pStyle w:val="Compact"/>
              <w:spacing w:line="240" w:lineRule="auto" w:after="0"/>
              <w:jc w:val="left"/>
            </w:pPr>
            <w:r>
              <w:rPr>
                <w:rFonts w:ascii="Times New Roman" w:hAnsi="Times New Roman"/>
                <w:sz w:val="20"/>
              </w:rPr>
              <w:t xml:space="preserve">Found in the audit</w:t>
            </w:r>
          </w:p>
        </w:tc>
      </w:tr>
      <w:tr>
        <w:tc>
          <w:tcPr/>
          <w:p>
            <w:pPr>
              <w:pStyle w:val="Compact"/>
              <w:spacing w:line="240" w:lineRule="auto" w:after="0"/>
              <w:jc w:val="left"/>
            </w:pPr>
            <w:r>
              <w:rPr>
                <w:rFonts w:ascii="Times New Roman" w:hAnsi="Times New Roman"/>
                <w:sz w:val="20"/>
              </w:rPr>
              <w:t xml:space="preserve">Stage 2: 24 tumours</w:t>
            </w:r>
          </w:p>
        </w:tc>
        <w:tc>
          <w:tcPr/>
          <w:p>
            <w:pPr>
              <w:pStyle w:val="Compact"/>
              <w:spacing w:line="240" w:lineRule="auto" w:after="0"/>
              <w:jc w:val="left"/>
            </w:pPr>
            <w:r>
              <w:rPr>
                <w:rFonts w:ascii="Times New Roman" w:hAnsi="Times New Roman"/>
                <w:sz w:val="20"/>
              </w:rPr>
              <w:t xml:space="preserve">20 tumours (36 pseudobulk samples)</w:t>
            </w:r>
          </w:p>
        </w:tc>
        <w:tc>
          <w:tcPr/>
          <w:p>
            <w:pPr>
              <w:pStyle w:val="Compact"/>
              <w:spacing w:line="240" w:lineRule="auto" w:after="0"/>
              <w:jc w:val="left"/>
            </w:pPr>
            <w:r>
              <w:rPr>
                <w:rFonts w:ascii="Times New Roman" w:hAnsi="Times New Roman"/>
                <w:sz w:val="20"/>
              </w:rPr>
              <w:t xml:space="preserve">Minimum-cell filter</w:t>
            </w:r>
          </w:p>
        </w:tc>
        <w:tc>
          <w:tcPr/>
          <w:p>
            <w:pPr>
              <w:pStyle w:val="Compact"/>
              <w:spacing w:line="240" w:lineRule="auto" w:after="0"/>
              <w:jc w:val="left"/>
            </w:pPr>
            <w:r>
              <w:rPr>
                <w:rFonts w:ascii="Times New Roman" w:hAnsi="Times New Roman"/>
                <w:sz w:val="20"/>
              </w:rPr>
              <w:t xml:space="preserve">During analysis</w:t>
            </w:r>
          </w:p>
        </w:tc>
      </w:tr>
      <w:tr>
        <w:tc>
          <w:tcPr/>
          <w:p>
            <w:pPr>
              <w:pStyle w:val="Compact"/>
              <w:spacing w:line="240" w:lineRule="auto" w:after="0"/>
              <w:jc w:val="left"/>
            </w:pPr>
            <w:r>
              <w:rPr>
                <w:rFonts w:ascii="Times New Roman" w:hAnsi="Times New Roman"/>
                <w:sz w:val="20"/>
              </w:rPr>
              <w:t xml:space="preserve">Stage 3, Test 1: BH adjustment at the DU position</w:t>
            </w:r>
          </w:p>
        </w:tc>
        <w:tc>
          <w:tcPr/>
          <w:p>
            <w:pPr>
              <w:pStyle w:val="Compact"/>
              <w:spacing w:line="240" w:lineRule="auto" w:after="0"/>
              <w:jc w:val="left"/>
            </w:pPr>
            <w:r>
              <w:rPr>
                <w:rFonts w:ascii="Times New Roman" w:hAnsi="Times New Roman"/>
                <w:sz w:val="20"/>
              </w:rPr>
              <w:t xml:space="preserve">DU position, P multiplied by the number of pixels</w:t>
            </w:r>
          </w:p>
        </w:tc>
        <w:tc>
          <w:tcPr/>
          <w:p>
            <w:pPr>
              <w:pStyle w:val="Compact"/>
              <w:spacing w:line="240" w:lineRule="auto" w:after="0"/>
              <w:jc w:val="left"/>
            </w:pPr>
            <w:r>
              <w:rPr>
                <w:rFonts w:ascii="Times New Roman" w:hAnsi="Times New Roman"/>
                <w:sz w:val="20"/>
              </w:rPr>
              <w:t xml:space="preserve">Consistency with the original code (more conservative)</w:t>
            </w:r>
          </w:p>
        </w:tc>
        <w:tc>
          <w:tcPr/>
          <w:p>
            <w:pPr>
              <w:pStyle w:val="Compact"/>
              <w:spacing w:line="240" w:lineRule="auto" w:after="0"/>
              <w:jc w:val="left"/>
            </w:pPr>
            <w:r>
              <w:rPr>
                <w:rFonts w:ascii="Times New Roman" w:hAnsi="Times New Roman"/>
                <w:sz w:val="20"/>
              </w:rPr>
              <w:t xml:space="preserve">Before the re-analysis</w:t>
            </w:r>
          </w:p>
        </w:tc>
      </w:tr>
      <w:tr>
        <w:tc>
          <w:tcPr/>
          <w:p>
            <w:pPr>
              <w:pStyle w:val="Compact"/>
              <w:spacing w:line="240" w:lineRule="auto" w:after="0"/>
              <w:jc w:val="left"/>
            </w:pPr>
            <w:r>
              <w:rPr>
                <w:rFonts w:ascii="Times New Roman" w:hAnsi="Times New Roman"/>
                <w:sz w:val="20"/>
              </w:rPr>
              <w:t xml:space="preserve">Stage 4: bMIND</w:t>
            </w:r>
          </w:p>
        </w:tc>
        <w:tc>
          <w:tcPr/>
          <w:p>
            <w:pPr>
              <w:pStyle w:val="Compact"/>
              <w:spacing w:line="240" w:lineRule="auto" w:after="0"/>
              <w:jc w:val="left"/>
            </w:pPr>
            <w:r>
              <w:rPr>
                <w:rFonts w:ascii="Times New Roman" w:hAnsi="Times New Roman"/>
                <w:sz w:val="20"/>
              </w:rPr>
              <w:t xml:space="preserve">MuSiC with an Allen human M1 reference</w:t>
            </w:r>
          </w:p>
        </w:tc>
        <w:tc>
          <w:tcPr/>
          <w:p>
            <w:pPr>
              <w:pStyle w:val="Compact"/>
              <w:spacing w:line="240" w:lineRule="auto" w:after="0"/>
              <w:jc w:val="left"/>
            </w:pPr>
            <w:r>
              <w:rPr>
                <w:rFonts w:ascii="Times New Roman" w:hAnsi="Times New Roman"/>
                <w:sz w:val="20"/>
              </w:rPr>
              <w:t xml:space="preserve">Package availability</w:t>
            </w:r>
          </w:p>
        </w:tc>
        <w:tc>
          <w:tcPr/>
          <w:p>
            <w:pPr>
              <w:pStyle w:val="Compact"/>
              <w:spacing w:line="240" w:lineRule="auto" w:after="0"/>
              <w:jc w:val="left"/>
            </w:pPr>
            <w:r>
              <w:rPr>
                <w:rFonts w:ascii="Times New Roman" w:hAnsi="Times New Roman"/>
                <w:sz w:val="20"/>
              </w:rPr>
              <w:t xml:space="preserve">Before analysis</w:t>
            </w:r>
          </w:p>
        </w:tc>
      </w:tr>
      <w:tr>
        <w:tc>
          <w:tcPr/>
          <w:p>
            <w:pPr>
              <w:pStyle w:val="Compact"/>
              <w:spacing w:line="240" w:lineRule="auto" w:after="0"/>
              <w:jc w:val="left"/>
            </w:pPr>
            <w:r>
              <w:rPr>
                <w:rFonts w:ascii="Times New Roman" w:hAnsi="Times New Roman"/>
                <w:sz w:val="20"/>
              </w:rPr>
              <w:t xml:space="preserve">Stage 4: reference cited as Tasic et al. (2018)</w:t>
            </w:r>
          </w:p>
        </w:tc>
        <w:tc>
          <w:tcPr/>
          <w:p>
            <w:pPr>
              <w:pStyle w:val="Compact"/>
              <w:spacing w:line="240" w:lineRule="auto" w:after="0"/>
              <w:jc w:val="left"/>
            </w:pPr>
            <w:r>
              <w:rPr>
                <w:rFonts w:ascii="Times New Roman" w:hAnsi="Times New Roman"/>
                <w:sz w:val="20"/>
              </w:rPr>
              <w:t xml:space="preserve">Bakken et al. (2021)</w:t>
            </w:r>
          </w:p>
        </w:tc>
        <w:tc>
          <w:tcPr/>
          <w:p>
            <w:pPr>
              <w:pStyle w:val="Compact"/>
              <w:spacing w:line="240" w:lineRule="auto" w:after="0"/>
              <w:jc w:val="left"/>
            </w:pPr>
            <w:r>
              <w:rPr>
                <w:rFonts w:ascii="Times New Roman" w:hAnsi="Times New Roman"/>
                <w:sz w:val="20"/>
              </w:rPr>
              <w:t xml:space="preserve">The plan’s citation refers to mouse data</w:t>
            </w:r>
          </w:p>
        </w:tc>
        <w:tc>
          <w:tcPr/>
          <w:p>
            <w:pPr>
              <w:pStyle w:val="Compact"/>
              <w:spacing w:line="240" w:lineRule="auto" w:after="0"/>
              <w:jc w:val="left"/>
            </w:pPr>
            <w:r>
              <w:rPr>
                <w:rFonts w:ascii="Times New Roman" w:hAnsi="Times New Roman"/>
                <w:sz w:val="20"/>
              </w:rPr>
              <w:t xml:space="preserve">Before analysis</w:t>
            </w:r>
          </w:p>
        </w:tc>
      </w:tr>
      <w:tr>
        <w:tc>
          <w:tcPr/>
          <w:p>
            <w:pPr>
              <w:pStyle w:val="Compact"/>
              <w:spacing w:line="240" w:lineRule="auto" w:after="0"/>
              <w:jc w:val="left"/>
            </w:pPr>
            <w:r>
              <w:rPr>
                <w:rFonts w:ascii="Times New Roman" w:hAnsi="Times New Roman"/>
                <w:sz w:val="20"/>
              </w:rPr>
              <w:t xml:space="preserve">Stage 4: hippocampus and entorhinal cortex in the AD cohort</w:t>
            </w:r>
          </w:p>
        </w:tc>
        <w:tc>
          <w:tcPr/>
          <w:p>
            <w:pPr>
              <w:pStyle w:val="Compact"/>
              <w:spacing w:line="240" w:lineRule="auto" w:after="0"/>
              <w:jc w:val="left"/>
            </w:pPr>
            <w:r>
              <w:rPr>
                <w:rFonts w:ascii="Times New Roman" w:hAnsi="Times New Roman"/>
                <w:sz w:val="20"/>
              </w:rPr>
              <w:t xml:space="preserve">Hippocampus only</w:t>
            </w:r>
          </w:p>
        </w:tc>
        <w:tc>
          <w:tcPr/>
          <w:p>
            <w:pPr>
              <w:pStyle w:val="Compact"/>
              <w:spacing w:line="240" w:lineRule="auto" w:after="0"/>
              <w:jc w:val="left"/>
            </w:pPr>
            <w:r>
              <w:rPr>
                <w:rFonts w:ascii="Times New Roman" w:hAnsi="Times New Roman"/>
                <w:sz w:val="20"/>
              </w:rPr>
              <w:t xml:space="preserve">Only region shared by both platforms</w:t>
            </w:r>
          </w:p>
        </w:tc>
        <w:tc>
          <w:tcPr/>
          <w:p>
            <w:pPr>
              <w:pStyle w:val="Compact"/>
              <w:spacing w:line="240" w:lineRule="auto" w:after="0"/>
              <w:jc w:val="left"/>
            </w:pPr>
            <w:r>
              <w:rPr>
                <w:rFonts w:ascii="Times New Roman" w:hAnsi="Times New Roman"/>
                <w:sz w:val="20"/>
              </w:rPr>
              <w:t xml:space="preserve">Before analysis</w:t>
            </w:r>
          </w:p>
        </w:tc>
      </w:tr>
      <w:tr>
        <w:tc>
          <w:tcPr/>
          <w:p>
            <w:pPr>
              <w:pStyle w:val="Compact"/>
              <w:spacing w:line="240" w:lineRule="auto" w:after="0"/>
              <w:jc w:val="left"/>
            </w:pPr>
            <w:r>
              <w:rPr>
                <w:rFonts w:ascii="Times New Roman" w:hAnsi="Times New Roman"/>
                <w:sz w:val="20"/>
              </w:rPr>
              <w:t xml:space="preserve">Stage 4: GSE48350 diagnosis field</w:t>
            </w:r>
          </w:p>
        </w:tc>
        <w:tc>
          <w:tcPr/>
          <w:p>
            <w:pPr>
              <w:pStyle w:val="Compact"/>
              <w:spacing w:line="240" w:lineRule="auto" w:after="0"/>
              <w:jc w:val="left"/>
            </w:pPr>
            <w:r>
              <w:rPr>
                <w:rFonts w:ascii="Times New Roman" w:hAnsi="Times New Roman"/>
                <w:sz w:val="20"/>
              </w:rPr>
              <w:t xml:space="preserve">Braak-based AD definition</w:t>
            </w:r>
          </w:p>
        </w:tc>
        <w:tc>
          <w:tcPr/>
          <w:p>
            <w:pPr>
              <w:pStyle w:val="Compact"/>
              <w:spacing w:line="240" w:lineRule="auto" w:after="0"/>
              <w:jc w:val="left"/>
            </w:pPr>
            <w:r>
              <w:rPr>
                <w:rFonts w:ascii="Times New Roman" w:hAnsi="Times New Roman"/>
                <w:sz w:val="20"/>
              </w:rPr>
              <w:t xml:space="preserve">No diagnosis field in the metadata</w:t>
            </w:r>
          </w:p>
        </w:tc>
        <w:tc>
          <w:tcPr/>
          <w:p>
            <w:pPr>
              <w:pStyle w:val="Compact"/>
              <w:spacing w:line="240" w:lineRule="auto" w:after="0"/>
              <w:jc w:val="left"/>
            </w:pPr>
            <w:r>
              <w:rPr>
                <w:rFonts w:ascii="Times New Roman" w:hAnsi="Times New Roman"/>
                <w:sz w:val="20"/>
              </w:rPr>
              <w:t xml:space="preserve">Before analysis</w:t>
            </w:r>
          </w:p>
        </w:tc>
      </w:tr>
      <w:tr>
        <w:tc>
          <w:tcPr/>
          <w:p>
            <w:pPr>
              <w:pStyle w:val="Compact"/>
              <w:spacing w:line="240" w:lineRule="auto" w:after="0"/>
              <w:jc w:val="left"/>
            </w:pPr>
            <w:r>
              <w:rPr>
                <w:rFonts w:ascii="Times New Roman" w:hAnsi="Times New Roman"/>
                <w:sz w:val="20"/>
              </w:rPr>
              <w:t xml:space="preserve">Stage 4: ComBat preserves diagnosis and brain region</w:t>
            </w:r>
          </w:p>
        </w:tc>
        <w:tc>
          <w:tcPr/>
          <w:p>
            <w:pPr>
              <w:pStyle w:val="Compact"/>
              <w:spacing w:line="240" w:lineRule="auto" w:after="0"/>
              <w:jc w:val="left"/>
            </w:pPr>
            <w:r>
              <w:rPr>
                <w:rFonts w:ascii="Times New Roman" w:hAnsi="Times New Roman"/>
                <w:sz w:val="20"/>
              </w:rPr>
              <w:t xml:space="preserve">Diagnosis and sex preserved</w:t>
            </w:r>
          </w:p>
        </w:tc>
        <w:tc>
          <w:tcPr/>
          <w:p>
            <w:pPr>
              <w:pStyle w:val="Compact"/>
              <w:spacing w:line="240" w:lineRule="auto" w:after="0"/>
              <w:jc w:val="left"/>
            </w:pPr>
            <w:r>
              <w:rPr>
                <w:rFonts w:ascii="Times New Roman" w:hAnsi="Times New Roman"/>
                <w:sz w:val="20"/>
              </w:rPr>
              <w:t xml:space="preserve">Region has one level; sex was among the candidate covariates in the code</w:t>
            </w:r>
          </w:p>
        </w:tc>
        <w:tc>
          <w:tcPr/>
          <w:p>
            <w:pPr>
              <w:pStyle w:val="Compact"/>
              <w:spacing w:line="240" w:lineRule="auto" w:after="0"/>
              <w:jc w:val="left"/>
            </w:pPr>
            <w:r>
              <w:rPr>
                <w:rFonts w:ascii="Times New Roman" w:hAnsi="Times New Roman"/>
                <w:sz w:val="20"/>
              </w:rPr>
              <w:t xml:space="preserve">Before analysis (in code)</w:t>
            </w:r>
          </w:p>
        </w:tc>
      </w:tr>
      <w:tr>
        <w:tc>
          <w:tcPr/>
          <w:p>
            <w:pPr>
              <w:pStyle w:val="Compact"/>
              <w:spacing w:line="240" w:lineRule="auto" w:after="0"/>
              <w:jc w:val="left"/>
            </w:pPr>
            <w:r>
              <w:rPr>
                <w:rFonts w:ascii="Times New Roman" w:hAnsi="Times New Roman"/>
                <w:sz w:val="20"/>
              </w:rPr>
              <w:t xml:space="preserve">Stage 4: brain region in Model A</w:t>
            </w:r>
          </w:p>
        </w:tc>
        <w:tc>
          <w:tcPr/>
          <w:p>
            <w:pPr>
              <w:pStyle w:val="Compact"/>
              <w:spacing w:line="240" w:lineRule="auto" w:after="0"/>
              <w:jc w:val="left"/>
            </w:pPr>
            <w:r>
              <w:rPr>
                <w:rFonts w:ascii="Times New Roman" w:hAnsi="Times New Roman"/>
                <w:sz w:val="20"/>
              </w:rPr>
              <w:t xml:space="preserve">Removed</w:t>
            </w:r>
          </w:p>
        </w:tc>
        <w:tc>
          <w:tcPr/>
          <w:p>
            <w:pPr>
              <w:pStyle w:val="Compact"/>
              <w:spacing w:line="240" w:lineRule="auto" w:after="0"/>
              <w:jc w:val="left"/>
            </w:pPr>
            <w:r>
              <w:rPr>
                <w:rFonts w:ascii="Times New Roman" w:hAnsi="Times New Roman"/>
                <w:sz w:val="20"/>
              </w:rPr>
              <w:t xml:space="preserve">One level in AD; confounded with diagnosis in GBM</w:t>
            </w:r>
          </w:p>
        </w:tc>
        <w:tc>
          <w:tcPr/>
          <w:p>
            <w:pPr>
              <w:pStyle w:val="Compact"/>
              <w:spacing w:line="240" w:lineRule="auto" w:after="0"/>
              <w:jc w:val="left"/>
            </w:pPr>
            <w:r>
              <w:rPr>
                <w:rFonts w:ascii="Times New Roman" w:hAnsi="Times New Roman"/>
                <w:sz w:val="20"/>
              </w:rPr>
              <w:t xml:space="preserve">Before analysis</w:t>
            </w:r>
          </w:p>
        </w:tc>
      </w:tr>
      <w:tr>
        <w:tc>
          <w:tcPr/>
          <w:p>
            <w:pPr>
              <w:pStyle w:val="Compact"/>
              <w:spacing w:line="240" w:lineRule="auto" w:after="0"/>
              <w:jc w:val="left"/>
            </w:pPr>
            <w:r>
              <w:rPr>
                <w:rFonts w:ascii="Times New Roman" w:hAnsi="Times New Roman"/>
                <w:sz w:val="20"/>
              </w:rPr>
              <w:t xml:space="preserve">Stage 4: GTEx exclusion for RIN &lt; 6 and Hardy &gt; 3</w:t>
            </w:r>
          </w:p>
        </w:tc>
        <w:tc>
          <w:tcPr/>
          <w:p>
            <w:pPr>
              <w:pStyle w:val="Compact"/>
              <w:spacing w:line="240" w:lineRule="auto" w:after="0"/>
              <w:jc w:val="left"/>
            </w:pPr>
            <w:r>
              <w:rPr>
                <w:rFonts w:ascii="Times New Roman" w:hAnsi="Times New Roman"/>
                <w:sz w:val="20"/>
              </w:rPr>
              <w:t xml:space="preserve">Not applied</w:t>
            </w:r>
          </w:p>
        </w:tc>
        <w:tc>
          <w:tcPr/>
          <w:p>
            <w:pPr>
              <w:pStyle w:val="Compact"/>
              <w:spacing w:line="240" w:lineRule="auto" w:after="0"/>
              <w:jc w:val="left"/>
            </w:pPr>
            <w:r>
              <w:rPr>
                <w:rFonts w:ascii="Times New Roman" w:hAnsi="Times New Roman"/>
                <w:sz w:val="20"/>
              </w:rPr>
              <w:t xml:space="preserve">Fields absent from the Xena phenotype file</w:t>
            </w:r>
          </w:p>
        </w:tc>
        <w:tc>
          <w:tcPr/>
          <w:p>
            <w:pPr>
              <w:pStyle w:val="Compact"/>
              <w:spacing w:line="240" w:lineRule="auto" w:after="0"/>
              <w:jc w:val="left"/>
            </w:pPr>
            <w:r>
              <w:rPr>
                <w:rFonts w:ascii="Times New Roman" w:hAnsi="Times New Roman"/>
                <w:sz w:val="20"/>
              </w:rPr>
              <w:t xml:space="preserve">Before analysis</w:t>
            </w:r>
          </w:p>
        </w:tc>
      </w:tr>
      <w:tr>
        <w:tc>
          <w:tcPr/>
          <w:p>
            <w:pPr>
              <w:pStyle w:val="Compact"/>
              <w:spacing w:line="240" w:lineRule="auto" w:after="0"/>
              <w:jc w:val="left"/>
            </w:pPr>
            <w:r>
              <w:rPr>
                <w:rFonts w:ascii="Times New Roman" w:hAnsi="Times New Roman"/>
                <w:sz w:val="20"/>
              </w:rPr>
              <w:t xml:space="preserve">Stage 4: H1 set aside (register entry of 22 September)</w:t>
            </w:r>
          </w:p>
        </w:tc>
        <w:tc>
          <w:tcPr/>
          <w:p>
            <w:pPr>
              <w:pStyle w:val="Compact"/>
              <w:spacing w:line="240" w:lineRule="auto" w:after="0"/>
              <w:jc w:val="left"/>
            </w:pPr>
            <w:r>
              <w:rPr>
                <w:rFonts w:ascii="Times New Roman" w:hAnsi="Times New Roman"/>
                <w:sz w:val="20"/>
              </w:rPr>
              <w:t xml:space="preserve">H1 tested as planned</w:t>
            </w:r>
          </w:p>
        </w:tc>
        <w:tc>
          <w:tcPr/>
          <w:p>
            <w:pPr>
              <w:pStyle w:val="Compact"/>
              <w:spacing w:line="240" w:lineRule="auto" w:after="0"/>
              <w:jc w:val="left"/>
            </w:pPr>
            <w:r>
              <w:rPr>
                <w:rFonts w:ascii="Times New Roman" w:hAnsi="Times New Roman"/>
                <w:sz w:val="20"/>
              </w:rPr>
              <w:t xml:space="preserve">The stated reason (data access agreement) was wrong</w:t>
            </w:r>
          </w:p>
        </w:tc>
        <w:tc>
          <w:tcPr/>
          <w:p>
            <w:pPr>
              <w:pStyle w:val="Compact"/>
              <w:spacing w:line="240" w:lineRule="auto" w:after="0"/>
              <w:jc w:val="left"/>
            </w:pPr>
            <w:r>
              <w:rPr>
                <w:rFonts w:ascii="Times New Roman" w:hAnsi="Times New Roman"/>
                <w:sz w:val="20"/>
              </w:rPr>
              <w:t xml:space="preserve">Found in the audit</w:t>
            </w:r>
          </w:p>
        </w:tc>
      </w:tr>
      <w:tr>
        <w:tc>
          <w:tcPr/>
          <w:p>
            <w:pPr>
              <w:pStyle w:val="Compact"/>
              <w:spacing w:line="240" w:lineRule="auto" w:after="0"/>
              <w:jc w:val="left"/>
            </w:pPr>
            <w:r>
              <w:rPr>
                <w:rFonts w:ascii="Times New Roman" w:hAnsi="Times New Roman"/>
                <w:sz w:val="20"/>
              </w:rPr>
              <w:t xml:space="preserve">Title (plan section 12.2)</w:t>
            </w:r>
          </w:p>
        </w:tc>
        <w:tc>
          <w:tcPr/>
          <w:p>
            <w:pPr>
              <w:pStyle w:val="Compact"/>
              <w:spacing w:line="240" w:lineRule="auto" w:after="0"/>
              <w:jc w:val="left"/>
            </w:pPr>
            <w:r>
              <w:rPr>
                <w:rFonts w:ascii="Times New Roman" w:hAnsi="Times New Roman"/>
                <w:sz w:val="20"/>
              </w:rPr>
              <w:t xml:space="preserve">Shortened; H2 clause removed; operational wording (</w:t>
            </w:r>
            <w:r>
              <w:rPr>
                <w:rFonts w:ascii="Times New Roman" w:hAnsi="Times New Roman"/>
                <w:sz w:val="20"/>
              </w:rPr>
              <w:t xml:space="preserve">‘</w:t>
            </w:r>
            <w:r>
              <w:rPr>
                <w:rFonts w:ascii="Times New Roman" w:hAnsi="Times New Roman"/>
                <w:sz w:val="20"/>
              </w:rPr>
              <w:t xml:space="preserve">adjustment for estimated cell composition</w:t>
            </w:r>
            <w:r>
              <w:rPr>
                <w:rFonts w:ascii="Times New Roman" w:hAnsi="Times New Roman"/>
                <w:sz w:val="20"/>
              </w:rPr>
              <w:t xml:space="preserve">’</w:t>
            </w:r>
            <w:r>
              <w:rPr>
                <w:rFonts w:ascii="Times New Roman" w:hAnsi="Times New Roman"/>
                <w:sz w:val="20"/>
              </w:rPr>
              <w:t xml:space="preserve">)</w:t>
            </w:r>
          </w:p>
        </w:tc>
        <w:tc>
          <w:tcPr/>
          <w:p>
            <w:pPr>
              <w:pStyle w:val="Compact"/>
              <w:spacing w:line="240" w:lineRule="auto" w:after="0"/>
              <w:jc w:val="left"/>
            </w:pPr>
            <w:r>
              <w:rPr>
                <w:rFonts w:ascii="Times New Roman" w:hAnsi="Times New Roman"/>
                <w:sz w:val="20"/>
              </w:rPr>
              <w:t xml:space="preserve">Length; the H2 clause claimed more than a 6-donor analysis can support; composition specificity not shown</w:t>
            </w:r>
          </w:p>
        </w:tc>
        <w:tc>
          <w:tcPr/>
          <w:p>
            <w:pPr>
              <w:pStyle w:val="Compact"/>
              <w:spacing w:line="240" w:lineRule="auto" w:after="0"/>
              <w:jc w:val="left"/>
            </w:pPr>
            <w:r>
              <w:rPr>
                <w:rFonts w:ascii="Times New Roman" w:hAnsi="Times New Roman"/>
                <w:sz w:val="20"/>
              </w:rPr>
              <w:t xml:space="preserve">After results</w:t>
            </w:r>
          </w:p>
        </w:tc>
      </w:tr>
      <w:tr>
        <w:tc>
          <w:tcPr/>
          <w:p>
            <w:pPr>
              <w:pStyle w:val="Compact"/>
              <w:spacing w:line="240" w:lineRule="auto" w:after="0"/>
              <w:jc w:val="left"/>
            </w:pPr>
            <w:r>
              <w:rPr>
                <w:rFonts w:ascii="Times New Roman" w:hAnsi="Times New Roman"/>
                <w:sz w:val="20"/>
              </w:rPr>
              <w:t xml:space="preserve">Not in the plan</w:t>
            </w:r>
          </w:p>
        </w:tc>
        <w:tc>
          <w:tcPr/>
          <w:p>
            <w:pPr>
              <w:pStyle w:val="Compact"/>
              <w:spacing w:line="240" w:lineRule="auto" w:after="0"/>
              <w:jc w:val="left"/>
            </w:pPr>
            <w:r>
              <w:rPr>
                <w:rFonts w:ascii="Times New Roman" w:hAnsi="Times New Roman"/>
                <w:sz w:val="20"/>
              </w:rPr>
              <w:t xml:space="preserve">H1 replication in GSE125583; 2 × 2 DD decomposition; GBM limma-trend sensitivity</w:t>
            </w:r>
          </w:p>
        </w:tc>
        <w:tc>
          <w:tcPr/>
          <w:p>
            <w:pPr>
              <w:pStyle w:val="Compact"/>
              <w:spacing w:line="240" w:lineRule="auto" w:after="0"/>
              <w:jc w:val="left"/>
            </w:pPr>
            <w:r>
              <w:rPr>
                <w:rFonts w:ascii="Times New Roman" w:hAnsi="Times New Roman"/>
                <w:sz w:val="20"/>
              </w:rPr>
              <w:t xml:space="preserve">External review</w:t>
            </w:r>
          </w:p>
        </w:tc>
        <w:tc>
          <w:tcPr/>
          <w:p>
            <w:pPr>
              <w:pStyle w:val="Compact"/>
              <w:spacing w:line="240" w:lineRule="auto" w:after="0"/>
              <w:jc w:val="left"/>
            </w:pPr>
            <w:r>
              <w:rPr>
                <w:rFonts w:ascii="Times New Roman" w:hAnsi="Times New Roman"/>
                <w:sz w:val="20"/>
              </w:rPr>
              <w:t xml:space="preserve">Pre-declared before running</w:t>
            </w:r>
          </w:p>
        </w:tc>
      </w:tr>
      <w:tr>
        <w:tc>
          <w:tcPr/>
          <w:p>
            <w:pPr>
              <w:pStyle w:val="Compact"/>
              <w:spacing w:line="240" w:lineRule="auto" w:after="0"/>
              <w:jc w:val="left"/>
            </w:pPr>
            <w:r>
              <w:rPr>
                <w:rFonts w:ascii="Times New Roman" w:hAnsi="Times New Roman"/>
                <w:sz w:val="20"/>
              </w:rPr>
              <w:t xml:space="preserve">Not in the plan</w:t>
            </w:r>
          </w:p>
        </w:tc>
        <w:tc>
          <w:tcPr/>
          <w:p>
            <w:pPr>
              <w:pStyle w:val="Compact"/>
              <w:spacing w:line="240" w:lineRule="auto" w:after="0"/>
              <w:jc w:val="left"/>
            </w:pPr>
            <w:r>
              <w:rPr>
                <w:rFonts w:ascii="Times New Roman" w:hAnsi="Times New Roman"/>
                <w:sz w:val="20"/>
              </w:rPr>
              <w:t xml:space="preserve">GSE125583 cohort</w:t>
            </w:r>
          </w:p>
        </w:tc>
        <w:tc>
          <w:tcPr/>
          <w:p>
            <w:pPr>
              <w:pStyle w:val="Compact"/>
              <w:spacing w:line="240" w:lineRule="auto" w:after="0"/>
              <w:jc w:val="left"/>
            </w:pPr>
            <w:r>
              <w:rPr>
                <w:rFonts w:ascii="Times New Roman" w:hAnsi="Times New Roman"/>
                <w:sz w:val="20"/>
              </w:rPr>
              <w:t xml:space="preserve">Exploratory only</w:t>
            </w:r>
          </w:p>
        </w:tc>
        <w:tc>
          <w:tcPr/>
          <w:p>
            <w:pPr>
              <w:pStyle w:val="Compact"/>
              <w:spacing w:line="240" w:lineRule="auto" w:after="0"/>
              <w:jc w:val="left"/>
            </w:pPr>
            <w:r>
              <w:rPr>
                <w:rFonts w:ascii="Times New Roman" w:hAnsi="Times New Roman"/>
                <w:sz w:val="20"/>
              </w:rPr>
              <w:t xml:space="preserve">Labelled as exploratory</w:t>
            </w:r>
          </w:p>
        </w:tc>
      </w:tr>
    </w:tbl>
    <w:bookmarkEnd w:id="29"/>
    <w:bookmarkEnd w:id="30"/>
    <w:bookmarkStart w:id="37" w:name="results"/>
    <w:p>
      <w:pPr>
        <w:pStyle w:val="Heading2"/>
      </w:pPr>
      <w:r>
        <w:t xml:space="preserve">3. Results</w:t>
      </w:r>
    </w:p>
    <w:p>
      <w:pPr>
        <w:pStyle w:val="FirstParagraph"/>
      </w:pPr>
      <w:r>
        <w:t xml:space="preserve">I first report the tests of the two pre-specified hypotheses (Sections 3.1–3.3) and then the exploratory analyses, which do not enter the hypothesis decisions (Sections 3.4–3.6). All numbers come from the facts sheet generated from the locked result files.</w:t>
      </w:r>
    </w:p>
    <w:bookmarkStart w:id="31" w:name="X96ac4f94a06840510e0fc7641785cffc51362ba"/>
    <w:p>
      <w:pPr>
        <w:pStyle w:val="Heading3"/>
      </w:pPr>
      <w:r>
        <w:t xml:space="preserve">3.1 H1: shared DEGs disappear under cell-composition control</w:t>
      </w:r>
    </w:p>
    <w:p>
      <w:pPr>
        <w:pStyle w:val="FirstParagraph"/>
      </w:pPr>
      <w:r>
        <w:t xml:space="preserve">In the hippocampal AD meta-cohort (n = 51; 18 AD, 33 controls) and the TCGA-GBM/GTEx cohort (n = 338; 152 tumours, 186 controls), Model A without composition control gave 4,449 DEGs for AD and 14,811 for GBM at FDR &lt; 0.05 (Figure 2A). Of these, 1,458 genes changed in the same direction in both cohorts (Table 3).</w:t>
      </w:r>
    </w:p>
    <w:p>
      <w:pPr>
        <w:pStyle w:val="BodyText"/>
      </w:pPr>
      <w:r>
        <w:t xml:space="preserve">Adding composition covariates reduced the number of shared DEGs to zero with both deconvolution methods (Model B, BRETIGEA: 0; Model C, MuSiC: 0; Figure 2C). Both ratios to Model A were 0.000, below the pre-specified threshold of 0.20, so H1 was supported under the plan’s decision rule. The result did not change in any of the pre-specified sensitivity analyses. With the fold-change threshold (413 shared DEGs under Model A), with controls restricted to BA9 (1,587) or to the hippocampus (1,240), and with the fold-change threshold applied to single-region controls (BA9: 485; hippocampus: 340), Models B and C gave zero shared DEGs in every case (Figure 2C). The exploratory Model D, with both sets of covariates, also gave none.</w:t>
      </w:r>
    </w:p>
    <w:p>
      <w:pPr>
        <w:pStyle w:val="BodyText"/>
      </w:pPr>
      <w:r>
        <w:rPr>
          <w:bCs/>
          <w:b/>
        </w:rPr>
        <w:t xml:space="preserve">Table 3.</w:t>
      </w:r>
      <w:r>
        <w:t xml:space="preserve"> </w:t>
      </w:r>
      <w:r>
        <w:t xml:space="preserve">H1: DEGs and shared DEGs by model (FDR &lt; 0.05).</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584"/>
        <w:gridCol w:w="1584"/>
        <w:gridCol w:w="1584"/>
        <w:gridCol w:w="1584"/>
        <w:gridCol w:w="1584"/>
      </w:tblGrid>
      <w:tr>
        <w:trPr>
          <w:tblHeader w:val="true"/>
        </w:trPr>
        <w:tc>
          <w:tcPr/>
          <w:p>
            <w:pPr>
              <w:pStyle w:val="Compact"/>
              <w:spacing w:line="240" w:lineRule="auto" w:after="0"/>
              <w:jc w:val="left"/>
            </w:pPr>
            <w:r>
              <w:rPr>
                <w:rFonts w:ascii="Times New Roman" w:hAnsi="Times New Roman"/>
                <w:b/>
                <w:sz w:val="20"/>
              </w:rPr>
              <w:t xml:space="preserve">Model</w:t>
            </w:r>
          </w:p>
        </w:tc>
        <w:tc>
          <w:tcPr/>
          <w:p>
            <w:pPr>
              <w:pStyle w:val="Compact"/>
              <w:spacing w:line="240" w:lineRule="auto" w:after="0"/>
              <w:jc w:val="left"/>
            </w:pPr>
            <w:r>
              <w:rPr>
                <w:rFonts w:ascii="Times New Roman" w:hAnsi="Times New Roman"/>
                <w:b/>
                <w:sz w:val="20"/>
              </w:rPr>
              <w:t xml:space="preserve">AD DEGs</w:t>
            </w:r>
          </w:p>
        </w:tc>
        <w:tc>
          <w:tcPr/>
          <w:p>
            <w:pPr>
              <w:pStyle w:val="Compact"/>
              <w:spacing w:line="240" w:lineRule="auto" w:after="0"/>
              <w:jc w:val="left"/>
            </w:pPr>
            <w:r>
              <w:rPr>
                <w:rFonts w:ascii="Times New Roman" w:hAnsi="Times New Roman"/>
                <w:b/>
                <w:sz w:val="20"/>
              </w:rPr>
              <w:t xml:space="preserve">GBM DEGs</w:t>
            </w:r>
          </w:p>
        </w:tc>
        <w:tc>
          <w:tcPr/>
          <w:p>
            <w:pPr>
              <w:pStyle w:val="Compact"/>
              <w:spacing w:line="240" w:lineRule="auto" w:after="0"/>
              <w:jc w:val="left"/>
            </w:pPr>
            <w:r>
              <w:rPr>
                <w:rFonts w:ascii="Times New Roman" w:hAnsi="Times New Roman"/>
                <w:b/>
                <w:sz w:val="20"/>
              </w:rPr>
              <w:t xml:space="preserve">Shared DEGs</w:t>
            </w:r>
          </w:p>
        </w:tc>
        <w:tc>
          <w:tcPr/>
          <w:p>
            <w:pPr>
              <w:pStyle w:val="Compact"/>
              <w:spacing w:line="240" w:lineRule="auto" w:after="0"/>
              <w:jc w:val="left"/>
            </w:pPr>
            <w:r>
              <w:rPr>
                <w:rFonts w:ascii="Times New Roman" w:hAnsi="Times New Roman"/>
                <w:b/>
                <w:sz w:val="20"/>
              </w:rPr>
              <w:t xml:space="preserve">Ratio to Model A</w:t>
            </w:r>
          </w:p>
        </w:tc>
      </w:tr>
      <w:tr>
        <w:tc>
          <w:tcPr/>
          <w:p>
            <w:pPr>
              <w:pStyle w:val="Compact"/>
              <w:spacing w:line="240" w:lineRule="auto" w:after="0"/>
              <w:jc w:val="left"/>
            </w:pPr>
            <w:r>
              <w:rPr>
                <w:rFonts w:ascii="Times New Roman" w:hAnsi="Times New Roman"/>
                <w:sz w:val="20"/>
              </w:rPr>
              <w:t xml:space="preserve">A: unadjusted</w:t>
            </w:r>
          </w:p>
        </w:tc>
        <w:tc>
          <w:tcPr/>
          <w:p>
            <w:pPr>
              <w:pStyle w:val="Compact"/>
              <w:spacing w:line="240" w:lineRule="auto" w:after="0"/>
              <w:jc w:val="left"/>
            </w:pPr>
            <w:r>
              <w:rPr>
                <w:rFonts w:ascii="Times New Roman" w:hAnsi="Times New Roman"/>
                <w:sz w:val="20"/>
              </w:rPr>
              <w:t xml:space="preserve">4,449</w:t>
            </w:r>
          </w:p>
        </w:tc>
        <w:tc>
          <w:tcPr/>
          <w:p>
            <w:pPr>
              <w:pStyle w:val="Compact"/>
              <w:spacing w:line="240" w:lineRule="auto" w:after="0"/>
              <w:jc w:val="left"/>
            </w:pPr>
            <w:r>
              <w:rPr>
                <w:rFonts w:ascii="Times New Roman" w:hAnsi="Times New Roman"/>
                <w:sz w:val="20"/>
              </w:rPr>
              <w:t xml:space="preserve">14,811</w:t>
            </w:r>
          </w:p>
        </w:tc>
        <w:tc>
          <w:tcPr/>
          <w:p>
            <w:pPr>
              <w:pStyle w:val="Compact"/>
              <w:spacing w:line="240" w:lineRule="auto" w:after="0"/>
              <w:jc w:val="left"/>
            </w:pPr>
            <w:r>
              <w:rPr>
                <w:rFonts w:ascii="Times New Roman" w:hAnsi="Times New Roman"/>
                <w:sz w:val="20"/>
              </w:rPr>
              <w:t xml:space="preserve">1,458</w:t>
            </w:r>
          </w:p>
        </w:tc>
        <w:tc>
          <w:tcPr/>
          <w:p>
            <w:pPr>
              <w:pStyle w:val="Compact"/>
              <w:spacing w:line="240" w:lineRule="auto" w:after="0"/>
              <w:jc w:val="left"/>
            </w:pPr>
            <w:r>
              <w:rPr>
                <w:rFonts w:ascii="Times New Roman" w:hAnsi="Times New Roman"/>
                <w:sz w:val="20"/>
              </w:rPr>
              <w:t xml:space="preserve">—</w:t>
            </w:r>
          </w:p>
        </w:tc>
      </w:tr>
      <w:tr>
        <w:tc>
          <w:tcPr/>
          <w:p>
            <w:pPr>
              <w:pStyle w:val="Compact"/>
              <w:spacing w:line="240" w:lineRule="auto" w:after="0"/>
              <w:jc w:val="left"/>
            </w:pPr>
            <w:r>
              <w:rPr>
                <w:rFonts w:ascii="Times New Roman" w:hAnsi="Times New Roman"/>
                <w:sz w:val="20"/>
              </w:rPr>
              <w:t xml:space="preserve">B: + BRETIGEA</w:t>
            </w:r>
          </w:p>
        </w:tc>
        <w:tc>
          <w:tcPr/>
          <w:p>
            <w:pPr>
              <w:pStyle w:val="Compact"/>
              <w:spacing w:line="240" w:lineRule="auto" w:after="0"/>
              <w:jc w:val="left"/>
            </w:pPr>
            <w:r>
              <w:rPr>
                <w:rFonts w:ascii="Times New Roman" w:hAnsi="Times New Roman"/>
                <w:sz w:val="20"/>
              </w:rPr>
              <w:t xml:space="preserve">0</w:t>
            </w:r>
          </w:p>
        </w:tc>
        <w:tc>
          <w:tcPr/>
          <w:p>
            <w:pPr>
              <w:pStyle w:val="Compact"/>
              <w:spacing w:line="240" w:lineRule="auto" w:after="0"/>
              <w:jc w:val="left"/>
            </w:pPr>
            <w:r>
              <w:rPr>
                <w:rFonts w:ascii="Times New Roman" w:hAnsi="Times New Roman"/>
                <w:sz w:val="20"/>
              </w:rPr>
              <w:t xml:space="preserve">7,787</w:t>
            </w:r>
          </w:p>
        </w:tc>
        <w:tc>
          <w:tcPr/>
          <w:p>
            <w:pPr>
              <w:pStyle w:val="Compact"/>
              <w:spacing w:line="240" w:lineRule="auto" w:after="0"/>
              <w:jc w:val="left"/>
            </w:pPr>
            <w:r>
              <w:rPr>
                <w:rFonts w:ascii="Times New Roman" w:hAnsi="Times New Roman"/>
                <w:sz w:val="20"/>
              </w:rPr>
              <w:t xml:space="preserve">0</w:t>
            </w:r>
          </w:p>
        </w:tc>
        <w:tc>
          <w:tcPr/>
          <w:p>
            <w:pPr>
              <w:pStyle w:val="Compact"/>
              <w:spacing w:line="240" w:lineRule="auto" w:after="0"/>
              <w:jc w:val="left"/>
            </w:pPr>
            <w:r>
              <w:rPr>
                <w:rFonts w:ascii="Times New Roman" w:hAnsi="Times New Roman"/>
                <w:sz w:val="20"/>
              </w:rPr>
              <w:t xml:space="preserve">0.000</w:t>
            </w:r>
          </w:p>
        </w:tc>
      </w:tr>
      <w:tr>
        <w:tc>
          <w:tcPr/>
          <w:p>
            <w:pPr>
              <w:pStyle w:val="Compact"/>
              <w:spacing w:line="240" w:lineRule="auto" w:after="0"/>
              <w:jc w:val="left"/>
            </w:pPr>
            <w:r>
              <w:rPr>
                <w:rFonts w:ascii="Times New Roman" w:hAnsi="Times New Roman"/>
                <w:sz w:val="20"/>
              </w:rPr>
              <w:t xml:space="preserve">C: + MuSiC</w:t>
            </w:r>
          </w:p>
        </w:tc>
        <w:tc>
          <w:tcPr/>
          <w:p>
            <w:pPr>
              <w:pStyle w:val="Compact"/>
              <w:spacing w:line="240" w:lineRule="auto" w:after="0"/>
              <w:jc w:val="left"/>
            </w:pPr>
            <w:r>
              <w:rPr>
                <w:rFonts w:ascii="Times New Roman" w:hAnsi="Times New Roman"/>
                <w:sz w:val="20"/>
              </w:rPr>
              <w:t xml:space="preserve">0</w:t>
            </w:r>
          </w:p>
        </w:tc>
        <w:tc>
          <w:tcPr/>
          <w:p>
            <w:pPr>
              <w:pStyle w:val="Compact"/>
              <w:spacing w:line="240" w:lineRule="auto" w:after="0"/>
              <w:jc w:val="left"/>
            </w:pPr>
            <w:r>
              <w:rPr>
                <w:rFonts w:ascii="Times New Roman" w:hAnsi="Times New Roman"/>
                <w:sz w:val="20"/>
              </w:rPr>
              <w:t xml:space="preserve">14,853</w:t>
            </w:r>
          </w:p>
        </w:tc>
        <w:tc>
          <w:tcPr/>
          <w:p>
            <w:pPr>
              <w:pStyle w:val="Compact"/>
              <w:spacing w:line="240" w:lineRule="auto" w:after="0"/>
              <w:jc w:val="left"/>
            </w:pPr>
            <w:r>
              <w:rPr>
                <w:rFonts w:ascii="Times New Roman" w:hAnsi="Times New Roman"/>
                <w:sz w:val="20"/>
              </w:rPr>
              <w:t xml:space="preserve">0</w:t>
            </w:r>
          </w:p>
        </w:tc>
        <w:tc>
          <w:tcPr/>
          <w:p>
            <w:pPr>
              <w:pStyle w:val="Compact"/>
              <w:spacing w:line="240" w:lineRule="auto" w:after="0"/>
              <w:jc w:val="left"/>
            </w:pPr>
            <w:r>
              <w:rPr>
                <w:rFonts w:ascii="Times New Roman" w:hAnsi="Times New Roman"/>
                <w:sz w:val="20"/>
              </w:rPr>
              <w:t xml:space="preserve">0.000</w:t>
            </w:r>
          </w:p>
        </w:tc>
      </w:tr>
      <w:tr>
        <w:tc>
          <w:tcPr/>
          <w:p>
            <w:pPr>
              <w:pStyle w:val="Compact"/>
              <w:spacing w:line="240" w:lineRule="auto" w:after="0"/>
              <w:jc w:val="left"/>
            </w:pPr>
            <w:r>
              <w:rPr>
                <w:rFonts w:ascii="Times New Roman" w:hAnsi="Times New Roman"/>
                <w:sz w:val="20"/>
              </w:rPr>
              <w:t xml:space="preserve">D: + both (exploratory)</w:t>
            </w:r>
          </w:p>
        </w:tc>
        <w:tc>
          <w:tcPr/>
          <w:p>
            <w:pPr>
              <w:pStyle w:val="Compact"/>
              <w:spacing w:line="240" w:lineRule="auto" w:after="0"/>
              <w:jc w:val="left"/>
            </w:pPr>
            <w:r>
              <w:rPr>
                <w:rFonts w:ascii="Times New Roman" w:hAnsi="Times New Roman"/>
                <w:sz w:val="20"/>
              </w:rPr>
              <w:t xml:space="preserve">0</w:t>
            </w:r>
          </w:p>
        </w:tc>
        <w:tc>
          <w:tcPr/>
          <w:p>
            <w:pPr>
              <w:pStyle w:val="Compact"/>
              <w:spacing w:line="240" w:lineRule="auto" w:after="0"/>
              <w:jc w:val="left"/>
            </w:pPr>
            <w:r>
              <w:rPr>
                <w:rFonts w:ascii="Times New Roman" w:hAnsi="Times New Roman"/>
                <w:sz w:val="20"/>
              </w:rPr>
              <w:t xml:space="preserve">6,873</w:t>
            </w:r>
          </w:p>
        </w:tc>
        <w:tc>
          <w:tcPr/>
          <w:p>
            <w:pPr>
              <w:pStyle w:val="Compact"/>
              <w:spacing w:line="240" w:lineRule="auto" w:after="0"/>
              <w:jc w:val="left"/>
            </w:pPr>
            <w:r>
              <w:rPr>
                <w:rFonts w:ascii="Times New Roman" w:hAnsi="Times New Roman"/>
                <w:sz w:val="20"/>
              </w:rPr>
              <w:t xml:space="preserve">0</w:t>
            </w:r>
          </w:p>
        </w:tc>
        <w:tc>
          <w:tcPr/>
          <w:p>
            <w:pPr>
              <w:pStyle w:val="Compact"/>
              <w:spacing w:line="240" w:lineRule="auto" w:after="0"/>
              <w:jc w:val="left"/>
            </w:pPr>
            <w:r>
              <w:rPr>
                <w:rFonts w:ascii="Times New Roman" w:hAnsi="Times New Roman"/>
                <w:sz w:val="20"/>
              </w:rPr>
              <w:t xml:space="preserve">—</w:t>
            </w:r>
          </w:p>
        </w:tc>
      </w:tr>
    </w:tbl>
    <w:p>
      <w:pPr>
        <w:pStyle w:val="BodyText"/>
      </w:pPr>
      <w:r>
        <w:t xml:space="preserve">The whole decline comes from the AD side. With composition covariates in the model, no gene in the AD cohort remained significant anywhere in the genome, even though the VIF of the diagnosis coefficient in Model B was only 2.2, so the loss cannot be put down to collinearity between diagnosis and the composition covariates. On the GBM side, BRETIGEA adjustment reduced the number of DEGs from 14,811 to 7,787 (diagnosis VIF 13.4), while MuSiC adjustment left it almost unchanged (14,853).</w:t>
      </w:r>
    </w:p>
    <w:p>
      <w:pPr>
        <w:pStyle w:val="BodyText"/>
      </w:pPr>
      <w:r>
        <w:t xml:space="preserve">The two methods have their own problems here. The MuSiC proportions are not biologically plausible in either cohort (Figure 2B). In control hippocampus, neurons made up 0.9% of the estimated composition, endothelial cells 43% and microglia 31%; in GTEx control cortex the figures were 0.7%, 46% and 16%; and in GBM tumours, neurons were estimated at 0.0% and endothelial cells at 60%. The markers behind the BRETIGEA astrocyte score behaved inconsistently in the GBM cohort (for example, correlations with the score of −0.22 for AQP4, −0.27 for GFAP and +0.87 for ETNPPL), which fits with malignant AC-like cells expressing astrocyte markers. The composition adjustment on the GBM side may therefore only partly reflect the proportions of normal glial cells. Given how implausible the MuSiC estimates are, I report Model C because the decision rule requires a second method, not as independent confirmation; the evidence for H1 rests mainly on BRETIGEA and on the replication in Section 3.4.</w:t>
      </w:r>
    </w:p>
    <w:bookmarkEnd w:id="31"/>
    <w:bookmarkStart w:id="32" w:name="Xcc280955954448ed138960cbde2b4af277359f7"/>
    <w:p>
      <w:pPr>
        <w:pStyle w:val="Heading3"/>
      </w:pPr>
      <w:r>
        <w:t xml:space="preserve">3.2 H2: no convergence between AD vulnerable-neuron identity and GBM neural-mimicry states</w:t>
      </w:r>
    </w:p>
    <w:p>
      <w:pPr>
        <w:pStyle w:val="FirstParagraph"/>
      </w:pPr>
      <w:r>
        <w:t xml:space="preserve">The plan-conformant Stage 1 analysis (Braak VI versus Braak 0, donor level, adjusted for age) had three donors per group and three residual degrees of freedom. No gene reached FDR &lt; 0.05, and the AD vulnerable-neuron signature defined by the plan’s criteria (FDR &lt; 0.05 and log2FC &lt; −0.5) was empty. In the secondary contrast (Braak II versus Braak 0; three versus four donors, four residual degrees of freedom), one gene was significant and the signature was again empty. The sensitivity analysis that keeps subcluster information and treats donor as a block gave 336 genes for the Braak VI contrast (within-donor correlation 0.41), but I had decided in advance not to use it for decisions, because with few donors it can be anti-conservative.</w:t>
      </w:r>
    </w:p>
    <w:p>
      <w:pPr>
        <w:pStyle w:val="BodyText"/>
      </w:pPr>
      <w:r>
        <w:t xml:space="preserve">Because the signature was empty, Stage 3 was run as the plan describes: on the full ranked gene lists (RRHO2) and on the top 200 genes of the ranking (hypergeometric and permutation tests). Running the implementation on the original Stage 1 input reproduced the original result exactly (highest value on the RRHO2 map: 6.54, row 35, column 38). Table 4 summarises the results and Figure 3 shows the RRHO2 maps.</w:t>
      </w:r>
    </w:p>
    <w:p>
      <w:pPr>
        <w:pStyle w:val="BodyText"/>
      </w:pPr>
      <w:r>
        <w:rPr>
          <w:bCs/>
          <w:b/>
        </w:rPr>
        <w:t xml:space="preserve">Table 4.</w:t>
      </w:r>
      <w:r>
        <w:t xml:space="preserve"> </w:t>
      </w:r>
      <w:r>
        <w:t xml:space="preserve">H2: results of the three pre-specified tests. RRHO2 values are the highest −log10(P) in each quadrant; quadrant boundaries are set where the ranking statistic changes sign in each list. Adjusted P values are capped at 1.</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tblHeader w:val="true"/>
        </w:trPr>
        <w:tc>
          <w:tcPr/>
          <w:p>
            <w:pPr>
              <w:pStyle w:val="Compact"/>
              <w:spacing w:line="240" w:lineRule="auto" w:after="0"/>
              <w:jc w:val="left"/>
            </w:pPr>
            <w:r>
              <w:rPr>
                <w:rFonts w:ascii="Times New Roman" w:hAnsi="Times New Roman"/>
                <w:b/>
                <w:sz w:val="20"/>
              </w:rPr>
              <w:t xml:space="preserve">Analysis</w:t>
            </w:r>
          </w:p>
        </w:tc>
        <w:tc>
          <w:tcPr/>
          <w:p>
            <w:pPr>
              <w:pStyle w:val="Compact"/>
              <w:spacing w:line="240" w:lineRule="auto" w:after="0"/>
              <w:jc w:val="left"/>
            </w:pPr>
            <w:r>
              <w:rPr>
                <w:rFonts w:ascii="Times New Roman" w:hAnsi="Times New Roman"/>
                <w:b/>
                <w:sz w:val="20"/>
              </w:rPr>
              <w:t xml:space="preserve">Test 1: RRHO2, DU quadrant</w:t>
            </w:r>
          </w:p>
        </w:tc>
        <w:tc>
          <w:tcPr/>
          <w:p>
            <w:pPr>
              <w:pStyle w:val="Compact"/>
              <w:spacing w:line="240" w:lineRule="auto" w:after="0"/>
              <w:jc w:val="left"/>
            </w:pPr>
            <w:r>
              <w:rPr>
                <w:rFonts w:ascii="Times New Roman" w:hAnsi="Times New Roman"/>
                <w:b/>
                <w:sz w:val="20"/>
              </w:rPr>
              <w:t xml:space="preserve">RRHO2, DD quadrant (comparison)</w:t>
            </w:r>
          </w:p>
        </w:tc>
        <w:tc>
          <w:tcPr/>
          <w:p>
            <w:pPr>
              <w:pStyle w:val="Compact"/>
              <w:spacing w:line="240" w:lineRule="auto" w:after="0"/>
              <w:jc w:val="left"/>
            </w:pPr>
            <w:r>
              <w:rPr>
                <w:rFonts w:ascii="Times New Roman" w:hAnsi="Times New Roman"/>
                <w:b/>
                <w:sz w:val="20"/>
              </w:rPr>
              <w:t xml:space="preserve">Test 2: hypergeometric</w:t>
            </w:r>
          </w:p>
        </w:tc>
        <w:tc>
          <w:tcPr/>
          <w:p>
            <w:pPr>
              <w:pStyle w:val="Compact"/>
              <w:spacing w:line="240" w:lineRule="auto" w:after="0"/>
              <w:jc w:val="left"/>
            </w:pPr>
            <w:r>
              <w:rPr>
                <w:rFonts w:ascii="Times New Roman" w:hAnsi="Times New Roman"/>
                <w:b/>
                <w:sz w:val="20"/>
              </w:rPr>
              <w:t xml:space="preserve">Test 3: permutation</w:t>
            </w:r>
          </w:p>
        </w:tc>
        <w:tc>
          <w:tcPr/>
          <w:p>
            <w:pPr>
              <w:pStyle w:val="Compact"/>
              <w:spacing w:line="240" w:lineRule="auto" w:after="0"/>
              <w:jc w:val="left"/>
            </w:pPr>
            <w:r>
              <w:rPr>
                <w:rFonts w:ascii="Times New Roman" w:hAnsi="Times New Roman"/>
                <w:b/>
                <w:sz w:val="20"/>
              </w:rPr>
              <w:t xml:space="preserve">Decision</w:t>
            </w:r>
          </w:p>
        </w:tc>
      </w:tr>
      <w:tr>
        <w:tc>
          <w:tcPr/>
          <w:p>
            <w:pPr>
              <w:pStyle w:val="Compact"/>
              <w:spacing w:line="240" w:lineRule="auto" w:after="0"/>
              <w:jc w:val="left"/>
            </w:pPr>
            <w:r>
              <w:rPr>
                <w:rFonts w:ascii="Times New Roman" w:hAnsi="Times New Roman"/>
                <w:sz w:val="20"/>
              </w:rPr>
              <w:t xml:space="preserve">Plan: Braak VI vs 0, donor level, age</w:t>
            </w:r>
          </w:p>
        </w:tc>
        <w:tc>
          <w:tcPr/>
          <w:p>
            <w:pPr>
              <w:pStyle w:val="Compact"/>
              <w:spacing w:line="240" w:lineRule="auto" w:after="0"/>
              <w:jc w:val="left"/>
            </w:pPr>
            <w:r>
              <w:rPr>
                <w:rFonts w:ascii="Times New Roman" w:hAnsi="Times New Roman"/>
                <w:sz w:val="20"/>
              </w:rPr>
              <w:t xml:space="preserve">1.28 (adj. P = 1)</w:t>
            </w:r>
          </w:p>
        </w:tc>
        <w:tc>
          <w:tcPr/>
          <w:p>
            <w:pPr>
              <w:pStyle w:val="Compact"/>
              <w:spacing w:line="240" w:lineRule="auto" w:after="0"/>
              <w:jc w:val="left"/>
            </w:pPr>
            <w:r>
              <w:rPr>
                <w:rFonts w:ascii="Times New Roman" w:hAnsi="Times New Roman"/>
                <w:sz w:val="20"/>
              </w:rPr>
              <w:t xml:space="preserve">2.06 (adj. P = 1)</w:t>
            </w:r>
          </w:p>
        </w:tc>
        <w:tc>
          <w:tcPr/>
          <w:p>
            <w:pPr>
              <w:pStyle w:val="Compact"/>
              <w:spacing w:line="240" w:lineRule="auto" w:after="0"/>
              <w:jc w:val="left"/>
            </w:pPr>
            <w:r>
              <w:rPr>
                <w:rFonts w:ascii="Times New Roman" w:hAnsi="Times New Roman"/>
                <w:sz w:val="20"/>
              </w:rPr>
              <w:t xml:space="preserve">OR 1.40; adj. P = 0.458</w:t>
            </w:r>
          </w:p>
        </w:tc>
        <w:tc>
          <w:tcPr/>
          <w:p>
            <w:pPr>
              <w:pStyle w:val="Compact"/>
              <w:spacing w:line="240" w:lineRule="auto" w:after="0"/>
              <w:jc w:val="left"/>
            </w:pPr>
            <w:r>
              <w:rPr>
                <w:rFonts w:ascii="Times New Roman" w:hAnsi="Times New Roman"/>
                <w:sz w:val="20"/>
              </w:rPr>
              <w:t xml:space="preserve">P = 0.157</w:t>
            </w:r>
          </w:p>
        </w:tc>
        <w:tc>
          <w:tcPr/>
          <w:p>
            <w:pPr>
              <w:pStyle w:val="Compact"/>
              <w:spacing w:line="240" w:lineRule="auto" w:after="0"/>
              <w:jc w:val="left"/>
            </w:pPr>
            <w:r>
              <w:rPr>
                <w:rFonts w:ascii="Times New Roman" w:hAnsi="Times New Roman"/>
                <w:sz w:val="20"/>
              </w:rPr>
              <w:t xml:space="preserve">Rejected (0/3)</w:t>
            </w:r>
          </w:p>
        </w:tc>
      </w:tr>
      <w:tr>
        <w:tc>
          <w:tcPr/>
          <w:p>
            <w:pPr>
              <w:pStyle w:val="Compact"/>
              <w:spacing w:line="240" w:lineRule="auto" w:after="0"/>
              <w:jc w:val="left"/>
            </w:pPr>
            <w:r>
              <w:rPr>
                <w:rFonts w:ascii="Times New Roman" w:hAnsi="Times New Roman"/>
                <w:sz w:val="20"/>
              </w:rPr>
              <w:t xml:space="preserve">Deviation: Braak II vs 0, donor level, age</w:t>
            </w:r>
          </w:p>
        </w:tc>
        <w:tc>
          <w:tcPr/>
          <w:p>
            <w:pPr>
              <w:pStyle w:val="Compact"/>
              <w:spacing w:line="240" w:lineRule="auto" w:after="0"/>
              <w:jc w:val="left"/>
            </w:pPr>
            <w:r>
              <w:rPr>
                <w:rFonts w:ascii="Times New Roman" w:hAnsi="Times New Roman"/>
                <w:sz w:val="20"/>
              </w:rPr>
              <w:t xml:space="preserve">3.37 (adj. P = 0.796)</w:t>
            </w:r>
          </w:p>
        </w:tc>
        <w:tc>
          <w:tcPr/>
          <w:p>
            <w:pPr>
              <w:pStyle w:val="Compact"/>
              <w:spacing w:line="240" w:lineRule="auto" w:after="0"/>
              <w:jc w:val="left"/>
            </w:pPr>
            <w:r>
              <w:rPr>
                <w:rFonts w:ascii="Times New Roman" w:hAnsi="Times New Roman"/>
                <w:sz w:val="20"/>
              </w:rPr>
              <w:t xml:space="preserve">1.48 (adj. P = 1)</w:t>
            </w:r>
          </w:p>
        </w:tc>
        <w:tc>
          <w:tcPr/>
          <w:p>
            <w:pPr>
              <w:pStyle w:val="Compact"/>
              <w:spacing w:line="240" w:lineRule="auto" w:after="0"/>
              <w:jc w:val="left"/>
            </w:pPr>
            <w:r>
              <w:rPr>
                <w:rFonts w:ascii="Times New Roman" w:hAnsi="Times New Roman"/>
                <w:sz w:val="20"/>
              </w:rPr>
              <w:t xml:space="preserve">OR 1.40; adj. P = 0.458</w:t>
            </w:r>
          </w:p>
        </w:tc>
        <w:tc>
          <w:tcPr/>
          <w:p>
            <w:pPr>
              <w:pStyle w:val="Compact"/>
              <w:spacing w:line="240" w:lineRule="auto" w:after="0"/>
              <w:jc w:val="left"/>
            </w:pPr>
            <w:r>
              <w:rPr>
                <w:rFonts w:ascii="Times New Roman" w:hAnsi="Times New Roman"/>
                <w:sz w:val="20"/>
              </w:rPr>
              <w:t xml:space="preserve">P = 0.157</w:t>
            </w:r>
          </w:p>
        </w:tc>
        <w:tc>
          <w:tcPr/>
          <w:p>
            <w:pPr>
              <w:pStyle w:val="Compact"/>
              <w:spacing w:line="240" w:lineRule="auto" w:after="0"/>
              <w:jc w:val="left"/>
            </w:pPr>
            <w:r>
              <w:rPr>
                <w:rFonts w:ascii="Times New Roman" w:hAnsi="Times New Roman"/>
                <w:sz w:val="20"/>
              </w:rPr>
              <w:t xml:space="preserve">Rejected (0/3)</w:t>
            </w:r>
          </w:p>
        </w:tc>
      </w:tr>
      <w:tr>
        <w:tc>
          <w:tcPr/>
          <w:p>
            <w:pPr>
              <w:pStyle w:val="Compact"/>
              <w:spacing w:line="240" w:lineRule="auto" w:after="0"/>
              <w:jc w:val="left"/>
            </w:pPr>
            <w:r>
              <w:rPr>
                <w:rFonts w:ascii="Times New Roman" w:hAnsi="Times New Roman"/>
                <w:sz w:val="20"/>
              </w:rPr>
              <w:t xml:space="preserve">Original implementation (pseudoreplicated, no age, Braak II)</w:t>
            </w:r>
          </w:p>
        </w:tc>
        <w:tc>
          <w:tcPr/>
          <w:p>
            <w:pPr>
              <w:pStyle w:val="Compact"/>
              <w:spacing w:line="240" w:lineRule="auto" w:after="0"/>
              <w:jc w:val="left"/>
            </w:pPr>
            <w:r>
              <w:rPr>
                <w:rFonts w:ascii="Times New Roman" w:hAnsi="Times New Roman"/>
                <w:sz w:val="20"/>
              </w:rPr>
              <w:t xml:space="preserve">4.21 (adj. P = 0.114)</w:t>
            </w:r>
          </w:p>
        </w:tc>
        <w:tc>
          <w:tcPr/>
          <w:p>
            <w:pPr>
              <w:pStyle w:val="Compact"/>
              <w:spacing w:line="240" w:lineRule="auto" w:after="0"/>
              <w:jc w:val="left"/>
            </w:pPr>
            <w:r>
              <w:rPr>
                <w:rFonts w:ascii="Times New Roman" w:hAnsi="Times New Roman"/>
                <w:sz w:val="20"/>
              </w:rPr>
              <w:t xml:space="preserve">6.54 (adj. P = 5.3 × 10⁻⁴)</w:t>
            </w:r>
          </w:p>
        </w:tc>
        <w:tc>
          <w:tcPr/>
          <w:p>
            <w:pPr>
              <w:pStyle w:val="Compact"/>
              <w:spacing w:line="240" w:lineRule="auto" w:after="0"/>
              <w:jc w:val="left"/>
            </w:pPr>
            <w:r>
              <w:rPr>
                <w:rFonts w:ascii="Times New Roman" w:hAnsi="Times New Roman"/>
                <w:sz w:val="20"/>
              </w:rPr>
              <w:t xml:space="preserve">OR 1.52; adj. P = 0.278</w:t>
            </w:r>
          </w:p>
        </w:tc>
        <w:tc>
          <w:tcPr/>
          <w:p>
            <w:pPr>
              <w:pStyle w:val="Compact"/>
              <w:spacing w:line="240" w:lineRule="auto" w:after="0"/>
              <w:jc w:val="left"/>
            </w:pPr>
            <w:r>
              <w:rPr>
                <w:rFonts w:ascii="Times New Roman" w:hAnsi="Times New Roman"/>
                <w:sz w:val="20"/>
              </w:rPr>
              <w:t xml:space="preserve">P = 0.098</w:t>
            </w:r>
          </w:p>
        </w:tc>
        <w:tc>
          <w:tcPr/>
          <w:p>
            <w:pPr>
              <w:pStyle w:val="Compact"/>
              <w:spacing w:line="240" w:lineRule="auto" w:after="0"/>
              <w:jc w:val="left"/>
            </w:pPr>
            <w:r>
              <w:rPr>
                <w:rFonts w:ascii="Times New Roman" w:hAnsi="Times New Roman"/>
                <w:sz w:val="20"/>
              </w:rPr>
              <w:t xml:space="preserve">Rejected (0/3)</w:t>
            </w:r>
          </w:p>
        </w:tc>
      </w:tr>
    </w:tbl>
    <w:p>
      <w:pPr>
        <w:pStyle w:val="BodyText"/>
      </w:pPr>
      <w:r>
        <w:t xml:space="preserve">None of the three tests passed in the plan-conformant analysis, and H2 was rejected. The documented Braak II deviation and the original implementation give the same answer. In the original implementation, the strong signal on the RRHO2 map (adjusted P = 5.3 × 10⁻⁴) sits not in the DU quadrant required by the plan but in the quadrant of genes down in both diseases (DD; Figure 3, left panel). Since the plan requires Test 1 to be judged in the DU quadrant, the original H2 evaluation also passed none of the three tests, not one of three as an earlier register entry stated.</w:t>
      </w:r>
    </w:p>
    <w:p>
      <w:pPr>
        <w:pStyle w:val="BodyText"/>
      </w:pPr>
      <w:r>
        <w:t xml:space="preserve">The identical Test 2 and Test 3 results in the plan and deviation rows are a coincidence. The top 200 AD genes of the two contrasts share only 30 genes, and the overlapping sets differ; only the overlap counts (14) are equal. The top 200 genes selected for the hypergeometric test have a slightly lower median expression than all genes (logCPM 4.19 versus 4.57).</w:t>
      </w:r>
    </w:p>
    <w:p>
      <w:pPr>
        <w:pStyle w:val="BodyText"/>
      </w:pPr>
      <w:r>
        <w:t xml:space="preserve">The rejection does not depend on how the GBM signature was estimated. With limma-trend on log-scaled TPM instead of edgeR on rounded TPM, the GBM log2FC values correlated at r = 0.879 with the original ones, and H2 was again rejected in both the plan analysis (DU maximum 2.50, adjusted P = 1; odds ratio 1.52; permutation P = 0.098) and the deviation analysis (DU maximum 3.37, adjusted P = 0.788; odds ratio 1.40; permutation P = 0.157).</w:t>
      </w:r>
    </w:p>
    <w:bookmarkEnd w:id="32"/>
    <w:bookmarkStart w:id="33" w:name="X86e4b00608a0ba286f9dbfeae0b65df96fda2a1"/>
    <w:p>
      <w:pPr>
        <w:pStyle w:val="Heading3"/>
      </w:pPr>
      <w:r>
        <w:t xml:space="preserve">3.3 Robustness of the H1 result: negative control</w:t>
      </w:r>
    </w:p>
    <w:p>
      <w:pPr>
        <w:pStyle w:val="FirstParagraph"/>
      </w:pPr>
      <w:r>
        <w:t xml:space="preserve">To see whether the decline in H1 came from the degrees of freedom used by the added covariates, or from the effect of any data-derived covariate, I ran a two-arm negative control (Figure 4).</w:t>
      </w:r>
    </w:p>
    <w:p>
      <w:pPr>
        <w:pStyle w:val="BodyText"/>
      </w:pPr>
      <w:r>
        <w:t xml:space="preserve">With six independent noise variables added to Model A (arm 1; 1,000 iterations), the median number of AD DEGs was 3,784, so 85.1% of the DEGs were retained (Figure 4A). The median number of shared DEGs was 1,279 (Model A: 1,458). Under the pre-specified rule (retention ≥ 0.80), power loss does not explain the decline.</w:t>
      </w:r>
    </w:p>
    <w:p>
      <w:pPr>
        <w:pStyle w:val="BodyText"/>
      </w:pPr>
      <w:r>
        <w:t xml:space="preserve">With six principal component scores from random gene sets added to Model A (arm 2; 1,000 iterations), the median number of AD DEGs fell to zero (Figure 4B). These random components, however, also explained a large share of the variance in the BRETIGEA cell-type scores (median mean R² = 0.501; minimum 0.249; Figure 4C). Under the pre-specified rule (median R² ≥ 0.25), this arm cannot discriminate. Put simply, in bulk brain tissue even randomly chosen genes pick up the composition axis.</w:t>
      </w:r>
    </w:p>
    <w:p>
      <w:pPr>
        <w:pStyle w:val="BodyText"/>
      </w:pPr>
      <w:r>
        <w:t xml:space="preserve">Taken together, the two arms show that the AD bulk DEGs are carried by a dominant expression axis that the composition scores and the random-gene components share. The decline in H1 is not explained by lost power, but these data cannot show that this axis reflects cell composition alone.</w:t>
      </w:r>
    </w:p>
    <w:bookmarkEnd w:id="33"/>
    <w:bookmarkStart w:id="34" w:name="X2541854ce5690d0da2d51d826a2a2859799f730"/>
    <w:p>
      <w:pPr>
        <w:pStyle w:val="Heading3"/>
      </w:pPr>
      <w:r>
        <w:t xml:space="preserve">3.4 Exploratory: H1 replicates in an independent AD cohort</w:t>
      </w:r>
    </w:p>
    <w:p>
      <w:pPr>
        <w:pStyle w:val="FirstParagraph"/>
      </w:pPr>
      <w:r>
        <w:t xml:space="preserve">In GSE125583 (125 advanced AD, 70 controls), Model A gave 9,306 AD DEGs, of which 3,912 were shared with GBM. With the BRETIGEA scores added, 4,242 AD DEGs remained (retention 0.456; diagnosis VIF 1.4), but only 288 shared DEGs did. The shared-DEG ratio was 0.074, below the pre-declared threshold of 0.20, so H1 replicated. With the fold-change thresholds, shared DEGs fell from 1,105 to 3 (ratio 0.003).</w:t>
      </w:r>
    </w:p>
    <w:p>
      <w:pPr>
        <w:pStyle w:val="BodyText"/>
      </w:pPr>
      <w:r>
        <w:t xml:space="preserve">Two things stand out. In this larger RNA-seq cohort, composition adjustment did not wipe out the disease signal: almost half of the AD DEGs survived. The complete loss seen in the 51-sample meta-cohort was therefore probably a feature of that small, ComBat-merged cohort. The shared genes, on the other hand, were lost far more often than DEGs in general. If they were a random subset, one would expect roughly a quarter of them to survive (0.456 in AD × 0.526 in GBM ≈ 0.24); in fact 7.4% did. This comparison was not pre-declared, but it suggests that the genes shared by AD and GBM lean on the composition axis much more heavily than the AD signal as a whole.</w:t>
      </w:r>
    </w:p>
    <w:bookmarkEnd w:id="34"/>
    <w:bookmarkStart w:id="35" w:name="X66ac2047e287e9b1a8ad10a2e80d7f370079ec4"/>
    <w:p>
      <w:pPr>
        <w:pStyle w:val="Heading3"/>
      </w:pPr>
      <w:r>
        <w:t xml:space="preserve">3.5 Exploratory: the DD signal in the original analysis does not survive adjustment for age</w:t>
      </w:r>
    </w:p>
    <w:p>
      <w:pPr>
        <w:pStyle w:val="FirstParagraph"/>
      </w:pPr>
      <w:r>
        <w:t xml:space="preserve">The original Stage 1 implementation departed from the plan in three ways: it treated three subclusters from the same donor as independent samples (21 samples from seven donors), it left out the age covariate required by the plan, and it used Braak II versus Braak 0 as the primary contrast. It produced 486 significant genes and a visible signal in the DD quadrant in Stage 3 (Table 4, last row). I examined how this signal and the gene counts depend on those analytic choices (Figure 5).</w:t>
      </w:r>
    </w:p>
    <w:p>
      <w:pPr>
        <w:pStyle w:val="BodyText"/>
      </w:pPr>
      <w:r>
        <w:rPr>
          <w:iCs/>
          <w:i/>
        </w:rPr>
        <w:t xml:space="preserve">Pseudoreplication.</w:t>
      </w:r>
      <w:r>
        <w:t xml:space="preserve"> </w:t>
      </w:r>
      <w:r>
        <w:t xml:space="preserve">The correlation between subclusters from the same donor was estimated at 0.346. Once donor was modelled, the number of significant genes fell from 486 to 27 (limma-voom with a donor block) or to zero (donor-summed edgeR) (Figure 5A). The effect estimates, by contrast, were largely preserved: the correlation between the original and donor-level log2FC values was 0.981 (Figure 5B), the Spearman correlation between the gene rankings was 0.970, and 153 of the 200 most down-regulated genes were shared by the two rankings. Pseudoreplication changed the statistical certainty attached to the effects, not their direction.</w:t>
      </w:r>
    </w:p>
    <w:p>
      <w:pPr>
        <w:pStyle w:val="BodyText"/>
      </w:pPr>
      <w:r>
        <w:rPr>
          <w:iCs/>
          <w:i/>
        </w:rPr>
        <w:t xml:space="preserve">Threshold profile.</w:t>
      </w:r>
      <w:r>
        <w:t xml:space="preserve"> </w:t>
      </w:r>
      <w:r>
        <w:t xml:space="preserve">I repeated the four-quadrant overlap test at four thresholds fixed in advance (top 100, 200, 300 and 500 genes), using both the original ranking and a donor-level ranking from limma-voom with a donor block (Table 5; Figure 5C). With the original ranking, the DD quadrant was significant at three of the four thresholds (BH-adjusted P &lt; 0.05); with the donor-block ranking, it was significant at only one (top 300 genes). The DU quadrant was significant at three thresholds with the donor-level ranking, but its highest odds ratio (2.42 for the top 200 genes) stayed below the pre-specified H2 threshold of 3. That the DD and DU quadrants are enriched at the same time suggests that genes down in AD are over-represented at both ends of the GBM ranking. This pattern may reflect genes that tend to take extreme values in both datasets, not a directional convergence.</w:t>
      </w:r>
    </w:p>
    <w:p>
      <w:pPr>
        <w:pStyle w:val="BodyText"/>
      </w:pPr>
      <w:r>
        <w:rPr>
          <w:bCs/>
          <w:b/>
        </w:rPr>
        <w:t xml:space="preserve">Table 5.</w:t>
      </w:r>
      <w:r>
        <w:t xml:space="preserve"> </w:t>
      </w:r>
      <w:r>
        <w:t xml:space="preserve">Threshold profile of the four-quadrant overlap test (observed / expected overlap; BH-adjusted P across the four quadrants).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584"/>
        <w:gridCol w:w="1584"/>
        <w:gridCol w:w="1584"/>
        <w:gridCol w:w="1584"/>
        <w:gridCol w:w="1584"/>
      </w:tblGrid>
      <w:tr>
        <w:trPr>
          <w:tblHeader w:val="true"/>
        </w:trPr>
        <w:tc>
          <w:tcPr/>
          <w:p>
            <w:pPr>
              <w:pStyle w:val="Compact"/>
              <w:spacing w:line="240" w:lineRule="auto" w:after="0"/>
              <w:jc w:val="left"/>
            </w:pPr>
            <w:r>
              <w:rPr>
                <w:rFonts w:ascii="Times New Roman" w:hAnsi="Times New Roman"/>
                <w:b/>
                <w:sz w:val="20"/>
              </w:rPr>
              <w:t xml:space="preserve">Top N genes</w:t>
            </w:r>
          </w:p>
        </w:tc>
        <w:tc>
          <w:tcPr/>
          <w:p>
            <w:pPr>
              <w:pStyle w:val="Compact"/>
              <w:spacing w:line="240" w:lineRule="auto" w:after="0"/>
              <w:jc w:val="left"/>
            </w:pPr>
            <w:r>
              <w:rPr>
                <w:rFonts w:ascii="Times New Roman" w:hAnsi="Times New Roman"/>
                <w:b/>
                <w:sz w:val="20"/>
              </w:rPr>
              <w:t xml:space="preserve">DD, original</w:t>
            </w:r>
          </w:p>
        </w:tc>
        <w:tc>
          <w:tcPr/>
          <w:p>
            <w:pPr>
              <w:pStyle w:val="Compact"/>
              <w:spacing w:line="240" w:lineRule="auto" w:after="0"/>
              <w:jc w:val="left"/>
            </w:pPr>
            <w:r>
              <w:rPr>
                <w:rFonts w:ascii="Times New Roman" w:hAnsi="Times New Roman"/>
                <w:b/>
                <w:sz w:val="20"/>
              </w:rPr>
              <w:t xml:space="preserve">DD, donor level</w:t>
            </w:r>
          </w:p>
        </w:tc>
        <w:tc>
          <w:tcPr/>
          <w:p>
            <w:pPr>
              <w:pStyle w:val="Compact"/>
              <w:spacing w:line="240" w:lineRule="auto" w:after="0"/>
              <w:jc w:val="left"/>
            </w:pPr>
            <w:r>
              <w:rPr>
                <w:rFonts w:ascii="Times New Roman" w:hAnsi="Times New Roman"/>
                <w:b/>
                <w:sz w:val="20"/>
              </w:rPr>
              <w:t xml:space="preserve">DU, original</w:t>
            </w:r>
          </w:p>
        </w:tc>
        <w:tc>
          <w:tcPr/>
          <w:p>
            <w:pPr>
              <w:pStyle w:val="Compact"/>
              <w:spacing w:line="240" w:lineRule="auto" w:after="0"/>
              <w:jc w:val="left"/>
            </w:pPr>
            <w:r>
              <w:rPr>
                <w:rFonts w:ascii="Times New Roman" w:hAnsi="Times New Roman"/>
                <w:b/>
                <w:sz w:val="20"/>
              </w:rPr>
              <w:t xml:space="preserve">DU, donor level</w:t>
            </w:r>
          </w:p>
        </w:tc>
      </w:tr>
      <w:tr>
        <w:tc>
          <w:tcPr/>
          <w:p>
            <w:pPr>
              <w:pStyle w:val="Compact"/>
              <w:spacing w:line="240" w:lineRule="auto" w:after="0"/>
              <w:jc w:val="left"/>
            </w:pPr>
            <w:r>
              <w:rPr>
                <w:rFonts w:ascii="Times New Roman" w:hAnsi="Times New Roman"/>
                <w:sz w:val="20"/>
              </w:rPr>
              <w:t xml:space="preserve">100</w:t>
            </w:r>
          </w:p>
        </w:tc>
        <w:tc>
          <w:tcPr/>
          <w:p>
            <w:pPr>
              <w:pStyle w:val="Compact"/>
              <w:spacing w:line="240" w:lineRule="auto" w:after="0"/>
              <w:jc w:val="left"/>
            </w:pPr>
            <w:r>
              <w:rPr>
                <w:rFonts w:ascii="Times New Roman" w:hAnsi="Times New Roman"/>
                <w:sz w:val="20"/>
              </w:rPr>
              <w:t xml:space="preserve">4 / 2.6; P = 0.520</w:t>
            </w:r>
          </w:p>
        </w:tc>
        <w:tc>
          <w:tcPr/>
          <w:p>
            <w:pPr>
              <w:pStyle w:val="Compact"/>
              <w:spacing w:line="240" w:lineRule="auto" w:after="0"/>
              <w:jc w:val="left"/>
            </w:pPr>
            <w:r>
              <w:rPr>
                <w:rFonts w:ascii="Times New Roman" w:hAnsi="Times New Roman"/>
                <w:sz w:val="20"/>
              </w:rPr>
              <w:t xml:space="preserve">3 / 2.6; P = 0.930</w:t>
            </w:r>
          </w:p>
        </w:tc>
        <w:tc>
          <w:tcPr/>
          <w:p>
            <w:pPr>
              <w:pStyle w:val="Compact"/>
              <w:spacing w:line="240" w:lineRule="auto" w:after="0"/>
              <w:jc w:val="left"/>
            </w:pPr>
            <w:r>
              <w:rPr>
                <w:rFonts w:ascii="Times New Roman" w:hAnsi="Times New Roman"/>
                <w:sz w:val="20"/>
              </w:rPr>
              <w:t xml:space="preserve">6 / 2.6; P = 0.176</w:t>
            </w:r>
          </w:p>
        </w:tc>
        <w:tc>
          <w:tcPr/>
          <w:p>
            <w:pPr>
              <w:pStyle w:val="Compact"/>
              <w:spacing w:line="240" w:lineRule="auto" w:after="0"/>
              <w:jc w:val="left"/>
            </w:pPr>
            <w:r>
              <w:rPr>
                <w:rFonts w:ascii="Times New Roman" w:hAnsi="Times New Roman"/>
                <w:sz w:val="20"/>
              </w:rPr>
              <w:t xml:space="preserve">4 / 2.6; P = 0.930</w:t>
            </w:r>
          </w:p>
        </w:tc>
      </w:tr>
      <w:tr>
        <w:tc>
          <w:tcPr/>
          <w:p>
            <w:pPr>
              <w:pStyle w:val="Compact"/>
              <w:spacing w:line="240" w:lineRule="auto" w:after="0"/>
              <w:jc w:val="left"/>
            </w:pPr>
            <w:r>
              <w:rPr>
                <w:rFonts w:ascii="Times New Roman" w:hAnsi="Times New Roman"/>
                <w:sz w:val="20"/>
              </w:rPr>
              <w:t xml:space="preserve">200</w:t>
            </w:r>
          </w:p>
        </w:tc>
        <w:tc>
          <w:tcPr/>
          <w:p>
            <w:pPr>
              <w:pStyle w:val="Compact"/>
              <w:spacing w:line="240" w:lineRule="auto" w:after="0"/>
              <w:jc w:val="left"/>
            </w:pPr>
            <w:r>
              <w:rPr>
                <w:rFonts w:ascii="Times New Roman" w:hAnsi="Times New Roman"/>
                <w:sz w:val="20"/>
              </w:rPr>
              <w:t xml:space="preserve">20 / 10.4; P = 0.012</w:t>
            </w:r>
          </w:p>
        </w:tc>
        <w:tc>
          <w:tcPr/>
          <w:p>
            <w:pPr>
              <w:pStyle w:val="Compact"/>
              <w:spacing w:line="240" w:lineRule="auto" w:after="0"/>
              <w:jc w:val="left"/>
            </w:pPr>
            <w:r>
              <w:rPr>
                <w:rFonts w:ascii="Times New Roman" w:hAnsi="Times New Roman"/>
                <w:sz w:val="20"/>
              </w:rPr>
              <w:t xml:space="preserve">16 / 10.4; P = 0.106</w:t>
            </w:r>
          </w:p>
        </w:tc>
        <w:tc>
          <w:tcPr/>
          <w:p>
            <w:pPr>
              <w:pStyle w:val="Compact"/>
              <w:spacing w:line="240" w:lineRule="auto" w:after="0"/>
              <w:jc w:val="left"/>
            </w:pPr>
            <w:r>
              <w:rPr>
                <w:rFonts w:ascii="Times New Roman" w:hAnsi="Times New Roman"/>
                <w:sz w:val="20"/>
              </w:rPr>
              <w:t xml:space="preserve">18 / 10.4; P = 0.029</w:t>
            </w:r>
          </w:p>
        </w:tc>
        <w:tc>
          <w:tcPr/>
          <w:p>
            <w:pPr>
              <w:pStyle w:val="Compact"/>
              <w:spacing w:line="240" w:lineRule="auto" w:after="0"/>
              <w:jc w:val="left"/>
            </w:pPr>
            <w:r>
              <w:rPr>
                <w:rFonts w:ascii="Times New Roman" w:hAnsi="Times New Roman"/>
                <w:sz w:val="20"/>
              </w:rPr>
              <w:t xml:space="preserve">22 / 10.4; P = 0.002</w:t>
            </w:r>
          </w:p>
        </w:tc>
      </w:tr>
      <w:tr>
        <w:tc>
          <w:tcPr/>
          <w:p>
            <w:pPr>
              <w:pStyle w:val="Compact"/>
              <w:spacing w:line="240" w:lineRule="auto" w:after="0"/>
              <w:jc w:val="left"/>
            </w:pPr>
            <w:r>
              <w:rPr>
                <w:rFonts w:ascii="Times New Roman" w:hAnsi="Times New Roman"/>
                <w:sz w:val="20"/>
              </w:rPr>
              <w:t xml:space="preserve">300</w:t>
            </w:r>
          </w:p>
        </w:tc>
        <w:tc>
          <w:tcPr/>
          <w:p>
            <w:pPr>
              <w:pStyle w:val="Compact"/>
              <w:spacing w:line="240" w:lineRule="auto" w:after="0"/>
              <w:jc w:val="left"/>
            </w:pPr>
            <w:r>
              <w:rPr>
                <w:rFonts w:ascii="Times New Roman" w:hAnsi="Times New Roman"/>
                <w:sz w:val="20"/>
              </w:rPr>
              <w:t xml:space="preserve">38 / 23.3; P = 0.005</w:t>
            </w:r>
          </w:p>
        </w:tc>
        <w:tc>
          <w:tcPr/>
          <w:p>
            <w:pPr>
              <w:pStyle w:val="Compact"/>
              <w:spacing w:line="240" w:lineRule="auto" w:after="0"/>
              <w:jc w:val="left"/>
            </w:pPr>
            <w:r>
              <w:rPr>
                <w:rFonts w:ascii="Times New Roman" w:hAnsi="Times New Roman"/>
                <w:sz w:val="20"/>
              </w:rPr>
              <w:t xml:space="preserve">34 / 23.3; P = 0.029</w:t>
            </w:r>
          </w:p>
        </w:tc>
        <w:tc>
          <w:tcPr/>
          <w:p>
            <w:pPr>
              <w:pStyle w:val="Compact"/>
              <w:spacing w:line="240" w:lineRule="auto" w:after="0"/>
              <w:jc w:val="left"/>
            </w:pPr>
            <w:r>
              <w:rPr>
                <w:rFonts w:ascii="Times New Roman" w:hAnsi="Times New Roman"/>
                <w:sz w:val="20"/>
              </w:rPr>
              <w:t xml:space="preserve">37 / 23.3; P = 0.005</w:t>
            </w:r>
          </w:p>
        </w:tc>
        <w:tc>
          <w:tcPr/>
          <w:p>
            <w:pPr>
              <w:pStyle w:val="Compact"/>
              <w:spacing w:line="240" w:lineRule="auto" w:after="0"/>
              <w:jc w:val="left"/>
            </w:pPr>
            <w:r>
              <w:rPr>
                <w:rFonts w:ascii="Times New Roman" w:hAnsi="Times New Roman"/>
                <w:sz w:val="20"/>
              </w:rPr>
              <w:t xml:space="preserve">39 / 23.3; P = 0.003</w:t>
            </w:r>
          </w:p>
        </w:tc>
      </w:tr>
      <w:tr>
        <w:tc>
          <w:tcPr/>
          <w:p>
            <w:pPr>
              <w:pStyle w:val="Compact"/>
              <w:spacing w:line="240" w:lineRule="auto" w:after="0"/>
              <w:jc w:val="left"/>
            </w:pPr>
            <w:r>
              <w:rPr>
                <w:rFonts w:ascii="Times New Roman" w:hAnsi="Times New Roman"/>
                <w:sz w:val="20"/>
              </w:rPr>
              <w:t xml:space="preserve">500</w:t>
            </w:r>
          </w:p>
        </w:tc>
        <w:tc>
          <w:tcPr/>
          <w:p>
            <w:pPr>
              <w:pStyle w:val="Compact"/>
              <w:spacing w:line="240" w:lineRule="auto" w:after="0"/>
              <w:jc w:val="left"/>
            </w:pPr>
            <w:r>
              <w:rPr>
                <w:rFonts w:ascii="Times New Roman" w:hAnsi="Times New Roman"/>
                <w:sz w:val="20"/>
              </w:rPr>
              <w:t xml:space="preserve">88 / 64.8; P = 0.003</w:t>
            </w:r>
          </w:p>
        </w:tc>
        <w:tc>
          <w:tcPr/>
          <w:p>
            <w:pPr>
              <w:pStyle w:val="Compact"/>
              <w:spacing w:line="240" w:lineRule="auto" w:after="0"/>
              <w:jc w:val="left"/>
            </w:pPr>
            <w:r>
              <w:rPr>
                <w:rFonts w:ascii="Times New Roman" w:hAnsi="Times New Roman"/>
                <w:sz w:val="20"/>
              </w:rPr>
              <w:t xml:space="preserve">79 / 64.8; P = 0.055</w:t>
            </w:r>
          </w:p>
        </w:tc>
        <w:tc>
          <w:tcPr/>
          <w:p>
            <w:pPr>
              <w:pStyle w:val="Compact"/>
              <w:spacing w:line="240" w:lineRule="auto" w:after="0"/>
              <w:jc w:val="left"/>
            </w:pPr>
            <w:r>
              <w:rPr>
                <w:rFonts w:ascii="Times New Roman" w:hAnsi="Times New Roman"/>
                <w:sz w:val="20"/>
              </w:rPr>
              <w:t xml:space="preserve">79 / 64.8; P = 0.055</w:t>
            </w:r>
          </w:p>
        </w:tc>
        <w:tc>
          <w:tcPr/>
          <w:p>
            <w:pPr>
              <w:pStyle w:val="Compact"/>
              <w:spacing w:line="240" w:lineRule="auto" w:after="0"/>
              <w:jc w:val="left"/>
            </w:pPr>
            <w:r>
              <w:rPr>
                <w:rFonts w:ascii="Times New Roman" w:hAnsi="Times New Roman"/>
                <w:sz w:val="20"/>
              </w:rPr>
              <w:t xml:space="preserve">82 / 64.8; P = 0.040</w:t>
            </w:r>
          </w:p>
        </w:tc>
      </w:tr>
    </w:tbl>
    <w:p>
      <w:pPr>
        <w:pStyle w:val="BodyText"/>
      </w:pPr>
      <w:r>
        <w:rPr>
          <w:iCs/>
          <w:i/>
        </w:rPr>
        <w:t xml:space="preserve">Donor modelling versus age.</w:t>
      </w:r>
      <w:r>
        <w:t xml:space="preserve"> </w:t>
      </w:r>
      <w:r>
        <w:t xml:space="preserve">To separate the two corrections, I held the Braak II versus Braak 0 contrast fixed and varied donor modelling and age independently (Table 6). Modelling donor on its own did not remove the DD signal; with donor-summed counts it was, if anything, slightly stronger (RRHO2 DD maximum 7.25; top-200 overlap 21 against 10.4 expected, P = 0.001). Adding age removed it whether or not donor was modelled (DD maximum 1.29 and 1.48; overlaps 9 and 8). The weakening seen with the donor-block ranking in Table 5 is therefore specific to that method. What removes the DD signal is the age term.</w:t>
      </w:r>
    </w:p>
    <w:p>
      <w:pPr>
        <w:pStyle w:val="BodyText"/>
      </w:pPr>
      <w:r>
        <w:rPr>
          <w:bCs/>
          <w:b/>
        </w:rPr>
        <w:t xml:space="preserve">Table 6.</w:t>
      </w:r>
      <w:r>
        <w:t xml:space="preserve"> </w:t>
      </w:r>
      <w:r>
        <w:t xml:space="preserve">DD signal under donor modelling and age adjustment (Braak II versus Braak 0 fixed).</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584"/>
        <w:gridCol w:w="1584"/>
        <w:gridCol w:w="1584"/>
        <w:gridCol w:w="1584"/>
        <w:gridCol w:w="1584"/>
      </w:tblGrid>
      <w:tr>
        <w:trPr>
          <w:tblHeader w:val="true"/>
        </w:trPr>
        <w:tc>
          <w:tcPr/>
          <w:p>
            <w:pPr>
              <w:pStyle w:val="Compact"/>
              <w:spacing w:line="240" w:lineRule="auto" w:after="0"/>
              <w:jc w:val="left"/>
            </w:pPr>
            <w:r>
              <w:rPr>
                <w:rFonts w:ascii="Times New Roman" w:hAnsi="Times New Roman"/>
                <w:b/>
                <w:sz w:val="20"/>
              </w:rPr>
              <w:t xml:space="preserve">Model</w:t>
            </w:r>
          </w:p>
        </w:tc>
        <w:tc>
          <w:tcPr/>
          <w:p>
            <w:pPr>
              <w:pStyle w:val="Compact"/>
              <w:spacing w:line="240" w:lineRule="auto" w:after="0"/>
              <w:jc w:val="left"/>
            </w:pPr>
            <w:r>
              <w:rPr>
                <w:rFonts w:ascii="Times New Roman" w:hAnsi="Times New Roman"/>
                <w:b/>
                <w:sz w:val="20"/>
              </w:rPr>
              <w:t xml:space="preserve">RRHO2 DD maximum</w:t>
            </w:r>
          </w:p>
        </w:tc>
        <w:tc>
          <w:tcPr/>
          <w:p>
            <w:pPr>
              <w:pStyle w:val="Compact"/>
              <w:spacing w:line="240" w:lineRule="auto" w:after="0"/>
              <w:jc w:val="left"/>
            </w:pPr>
            <w:r>
              <w:rPr>
                <w:rFonts w:ascii="Times New Roman" w:hAnsi="Times New Roman"/>
                <w:b/>
                <w:sz w:val="20"/>
              </w:rPr>
              <w:t xml:space="preserve">RRHO2 DU maximum</w:t>
            </w:r>
          </w:p>
        </w:tc>
        <w:tc>
          <w:tcPr/>
          <w:p>
            <w:pPr>
              <w:pStyle w:val="Compact"/>
              <w:spacing w:line="240" w:lineRule="auto" w:after="0"/>
              <w:jc w:val="left"/>
            </w:pPr>
            <w:r>
              <w:rPr>
                <w:rFonts w:ascii="Times New Roman" w:hAnsi="Times New Roman"/>
                <w:b/>
                <w:sz w:val="20"/>
              </w:rPr>
              <w:t xml:space="preserve">Top-200 DD overlap (expected 10.4)</w:t>
            </w:r>
          </w:p>
        </w:tc>
        <w:tc>
          <w:tcPr/>
          <w:p>
            <w:pPr>
              <w:pStyle w:val="Compact"/>
              <w:spacing w:line="240" w:lineRule="auto" w:after="0"/>
              <w:jc w:val="left"/>
            </w:pPr>
            <w:r>
              <w:rPr>
                <w:rFonts w:ascii="Times New Roman" w:hAnsi="Times New Roman"/>
                <w:b/>
                <w:sz w:val="20"/>
              </w:rPr>
              <w:t xml:space="preserve">P</w:t>
            </w:r>
          </w:p>
        </w:tc>
      </w:tr>
      <w:tr>
        <w:tc>
          <w:tcPr/>
          <w:p>
            <w:pPr>
              <w:pStyle w:val="Compact"/>
              <w:spacing w:line="240" w:lineRule="auto" w:after="0"/>
              <w:jc w:val="left"/>
            </w:pPr>
            <w:r>
              <w:rPr>
                <w:rFonts w:ascii="Times New Roman" w:hAnsi="Times New Roman"/>
                <w:sz w:val="20"/>
              </w:rPr>
              <w:t xml:space="preserve">No donor, no age (original)</w:t>
            </w:r>
          </w:p>
        </w:tc>
        <w:tc>
          <w:tcPr/>
          <w:p>
            <w:pPr>
              <w:pStyle w:val="Compact"/>
              <w:spacing w:line="240" w:lineRule="auto" w:after="0"/>
              <w:jc w:val="left"/>
            </w:pPr>
            <w:r>
              <w:rPr>
                <w:rFonts w:ascii="Times New Roman" w:hAnsi="Times New Roman"/>
                <w:sz w:val="20"/>
              </w:rPr>
              <w:t xml:space="preserve">6.54</w:t>
            </w:r>
          </w:p>
        </w:tc>
        <w:tc>
          <w:tcPr/>
          <w:p>
            <w:pPr>
              <w:pStyle w:val="Compact"/>
              <w:spacing w:line="240" w:lineRule="auto" w:after="0"/>
              <w:jc w:val="left"/>
            </w:pPr>
            <w:r>
              <w:rPr>
                <w:rFonts w:ascii="Times New Roman" w:hAnsi="Times New Roman"/>
                <w:sz w:val="20"/>
              </w:rPr>
              <w:t xml:space="preserve">4.21</w:t>
            </w:r>
          </w:p>
        </w:tc>
        <w:tc>
          <w:tcPr/>
          <w:p>
            <w:pPr>
              <w:pStyle w:val="Compact"/>
              <w:spacing w:line="240" w:lineRule="auto" w:after="0"/>
              <w:jc w:val="left"/>
            </w:pPr>
            <w:r>
              <w:rPr>
                <w:rFonts w:ascii="Times New Roman" w:hAnsi="Times New Roman"/>
                <w:sz w:val="20"/>
              </w:rPr>
              <w:t xml:space="preserve">20</w:t>
            </w:r>
          </w:p>
        </w:tc>
        <w:tc>
          <w:tcPr/>
          <w:p>
            <w:pPr>
              <w:pStyle w:val="Compact"/>
              <w:spacing w:line="240" w:lineRule="auto" w:after="0"/>
              <w:jc w:val="left"/>
            </w:pPr>
            <w:r>
              <w:rPr>
                <w:rFonts w:ascii="Times New Roman" w:hAnsi="Times New Roman"/>
                <w:sz w:val="20"/>
              </w:rPr>
              <w:t xml:space="preserve">0.003</w:t>
            </w:r>
          </w:p>
        </w:tc>
      </w:tr>
      <w:tr>
        <w:tc>
          <w:tcPr/>
          <w:p>
            <w:pPr>
              <w:pStyle w:val="Compact"/>
              <w:spacing w:line="240" w:lineRule="auto" w:after="0"/>
              <w:jc w:val="left"/>
            </w:pPr>
            <w:r>
              <w:rPr>
                <w:rFonts w:ascii="Times New Roman" w:hAnsi="Times New Roman"/>
                <w:sz w:val="20"/>
              </w:rPr>
              <w:t xml:space="preserve">No donor, age</w:t>
            </w:r>
          </w:p>
        </w:tc>
        <w:tc>
          <w:tcPr/>
          <w:p>
            <w:pPr>
              <w:pStyle w:val="Compact"/>
              <w:spacing w:line="240" w:lineRule="auto" w:after="0"/>
              <w:jc w:val="left"/>
            </w:pPr>
            <w:r>
              <w:rPr>
                <w:rFonts w:ascii="Times New Roman" w:hAnsi="Times New Roman"/>
                <w:sz w:val="20"/>
              </w:rPr>
              <w:t xml:space="preserve">1.29</w:t>
            </w:r>
          </w:p>
        </w:tc>
        <w:tc>
          <w:tcPr/>
          <w:p>
            <w:pPr>
              <w:pStyle w:val="Compact"/>
              <w:spacing w:line="240" w:lineRule="auto" w:after="0"/>
              <w:jc w:val="left"/>
            </w:pPr>
            <w:r>
              <w:rPr>
                <w:rFonts w:ascii="Times New Roman" w:hAnsi="Times New Roman"/>
                <w:sz w:val="20"/>
              </w:rPr>
              <w:t xml:space="preserve">3.75</w:t>
            </w:r>
          </w:p>
        </w:tc>
        <w:tc>
          <w:tcPr/>
          <w:p>
            <w:pPr>
              <w:pStyle w:val="Compact"/>
              <w:spacing w:line="240" w:lineRule="auto" w:after="0"/>
              <w:jc w:val="left"/>
            </w:pPr>
            <w:r>
              <w:rPr>
                <w:rFonts w:ascii="Times New Roman" w:hAnsi="Times New Roman"/>
                <w:sz w:val="20"/>
              </w:rPr>
              <w:t xml:space="preserve">9</w:t>
            </w:r>
          </w:p>
        </w:tc>
        <w:tc>
          <w:tcPr/>
          <w:p>
            <w:pPr>
              <w:pStyle w:val="Compact"/>
              <w:spacing w:line="240" w:lineRule="auto" w:after="0"/>
              <w:jc w:val="left"/>
            </w:pPr>
            <w:r>
              <w:rPr>
                <w:rFonts w:ascii="Times New Roman" w:hAnsi="Times New Roman"/>
                <w:sz w:val="20"/>
              </w:rPr>
              <w:t xml:space="preserve">0.721</w:t>
            </w:r>
          </w:p>
        </w:tc>
      </w:tr>
      <w:tr>
        <w:tc>
          <w:tcPr/>
          <w:p>
            <w:pPr>
              <w:pStyle w:val="Compact"/>
              <w:spacing w:line="240" w:lineRule="auto" w:after="0"/>
              <w:jc w:val="left"/>
            </w:pPr>
            <w:r>
              <w:rPr>
                <w:rFonts w:ascii="Times New Roman" w:hAnsi="Times New Roman"/>
                <w:sz w:val="20"/>
              </w:rPr>
              <w:t xml:space="preserve">Donor-summed, no age</w:t>
            </w:r>
          </w:p>
        </w:tc>
        <w:tc>
          <w:tcPr/>
          <w:p>
            <w:pPr>
              <w:pStyle w:val="Compact"/>
              <w:spacing w:line="240" w:lineRule="auto" w:after="0"/>
              <w:jc w:val="left"/>
            </w:pPr>
            <w:r>
              <w:rPr>
                <w:rFonts w:ascii="Times New Roman" w:hAnsi="Times New Roman"/>
                <w:sz w:val="20"/>
              </w:rPr>
              <w:t xml:space="preserve">7.25</w:t>
            </w:r>
          </w:p>
        </w:tc>
        <w:tc>
          <w:tcPr/>
          <w:p>
            <w:pPr>
              <w:pStyle w:val="Compact"/>
              <w:spacing w:line="240" w:lineRule="auto" w:after="0"/>
              <w:jc w:val="left"/>
            </w:pPr>
            <w:r>
              <w:rPr>
                <w:rFonts w:ascii="Times New Roman" w:hAnsi="Times New Roman"/>
                <w:sz w:val="20"/>
              </w:rPr>
              <w:t xml:space="preserve">4.12</w:t>
            </w:r>
          </w:p>
        </w:tc>
        <w:tc>
          <w:tcPr/>
          <w:p>
            <w:pPr>
              <w:pStyle w:val="Compact"/>
              <w:spacing w:line="240" w:lineRule="auto" w:after="0"/>
              <w:jc w:val="left"/>
            </w:pPr>
            <w:r>
              <w:rPr>
                <w:rFonts w:ascii="Times New Roman" w:hAnsi="Times New Roman"/>
                <w:sz w:val="20"/>
              </w:rPr>
              <w:t xml:space="preserve">21</w:t>
            </w:r>
          </w:p>
        </w:tc>
        <w:tc>
          <w:tcPr/>
          <w:p>
            <w:pPr>
              <w:pStyle w:val="Compact"/>
              <w:spacing w:line="240" w:lineRule="auto" w:after="0"/>
              <w:jc w:val="left"/>
            </w:pPr>
            <w:r>
              <w:rPr>
                <w:rFonts w:ascii="Times New Roman" w:hAnsi="Times New Roman"/>
                <w:sz w:val="20"/>
              </w:rPr>
              <w:t xml:space="preserve">0.001</w:t>
            </w:r>
          </w:p>
        </w:tc>
      </w:tr>
      <w:tr>
        <w:tc>
          <w:tcPr/>
          <w:p>
            <w:pPr>
              <w:pStyle w:val="Compact"/>
              <w:spacing w:line="240" w:lineRule="auto" w:after="0"/>
              <w:jc w:val="left"/>
            </w:pPr>
            <w:r>
              <w:rPr>
                <w:rFonts w:ascii="Times New Roman" w:hAnsi="Times New Roman"/>
                <w:sz w:val="20"/>
              </w:rPr>
              <w:t xml:space="preserve">Donor-summed, age (deviation analysis)</w:t>
            </w:r>
          </w:p>
        </w:tc>
        <w:tc>
          <w:tcPr/>
          <w:p>
            <w:pPr>
              <w:pStyle w:val="Compact"/>
              <w:spacing w:line="240" w:lineRule="auto" w:after="0"/>
              <w:jc w:val="left"/>
            </w:pPr>
            <w:r>
              <w:rPr>
                <w:rFonts w:ascii="Times New Roman" w:hAnsi="Times New Roman"/>
                <w:sz w:val="20"/>
              </w:rPr>
              <w:t xml:space="preserve">1.48</w:t>
            </w:r>
          </w:p>
        </w:tc>
        <w:tc>
          <w:tcPr/>
          <w:p>
            <w:pPr>
              <w:pStyle w:val="Compact"/>
              <w:spacing w:line="240" w:lineRule="auto" w:after="0"/>
              <w:jc w:val="left"/>
            </w:pPr>
            <w:r>
              <w:rPr>
                <w:rFonts w:ascii="Times New Roman" w:hAnsi="Times New Roman"/>
                <w:sz w:val="20"/>
              </w:rPr>
              <w:t xml:space="preserve">3.37</w:t>
            </w:r>
          </w:p>
        </w:tc>
        <w:tc>
          <w:tcPr/>
          <w:p>
            <w:pPr>
              <w:pStyle w:val="Compact"/>
              <w:spacing w:line="240" w:lineRule="auto" w:after="0"/>
              <w:jc w:val="left"/>
            </w:pPr>
            <w:r>
              <w:rPr>
                <w:rFonts w:ascii="Times New Roman" w:hAnsi="Times New Roman"/>
                <w:sz w:val="20"/>
              </w:rPr>
              <w:t xml:space="preserve">8</w:t>
            </w:r>
          </w:p>
        </w:tc>
        <w:tc>
          <w:tcPr/>
          <w:p>
            <w:pPr>
              <w:pStyle w:val="Compact"/>
              <w:spacing w:line="240" w:lineRule="auto" w:after="0"/>
              <w:jc w:val="left"/>
            </w:pPr>
            <w:r>
              <w:rPr>
                <w:rFonts w:ascii="Times New Roman" w:hAnsi="Times New Roman"/>
                <w:sz w:val="20"/>
              </w:rPr>
              <w:t xml:space="preserve">0.826</w:t>
            </w:r>
          </w:p>
        </w:tc>
      </w:tr>
    </w:tbl>
    <w:p>
      <w:pPr>
        <w:pStyle w:val="BodyText"/>
      </w:pPr>
      <w:r>
        <w:t xml:space="preserve">This does not mean the DD signal is an ageing effect. In the Leng cohort the age ranges of the Braak II and Braak 0 groups do not overlap (Braak 0: 50–71; Braak II: 72–91; r = 0.80; VIF = 2.74), so any term for age also absorbs much of the Braak contrast. The honest reading is narrower: the DD signal cannot be identified as a disease-stage effect in this cohort. The plan-conformant Braak VI ranking, which includes age, correlated with the original ranking at a Spearman r of only 0.584 (Figure 5D shows the DD maxima).</w:t>
      </w:r>
    </w:p>
    <w:p>
      <w:pPr>
        <w:pStyle w:val="BodyText"/>
      </w:pPr>
      <w:r>
        <w:t xml:space="preserve">Pseudoreplication matters for a different reason. It inflated the number of significant genes from 0–27 to 486, and as recorded in the register, adding age to the pseudoreplicated design brought that number down to 3. The raw condition number reported for that model (951) was inflated by the unscaled age variable; the standardised condition number is 3. The problem in the Leng cohort is not numerical singularity but the lack of age overlap combined with the small number of donors.</w:t>
      </w:r>
    </w:p>
    <w:bookmarkEnd w:id="35"/>
    <w:bookmarkStart w:id="36" w:name="X2162210b22bc55ea5609849fd12b1bc8d4b868a"/>
    <w:p>
      <w:pPr>
        <w:pStyle w:val="Heading3"/>
      </w:pPr>
      <w:r>
        <w:t xml:space="preserve">3.6 Exploratory: stress genes rise independently of composition in an independent AD cohort</w:t>
      </w:r>
    </w:p>
    <w:p>
      <w:pPr>
        <w:pStyle w:val="FirstParagraph"/>
      </w:pPr>
      <w:r>
        <w:t xml:space="preserve">I examined six stress genes taken from the original DD quadrant (CEBPD, FLNA, JUNB, PER1, PFKFB3 and ZFP36L1) in an AD cohort that is not part of the plan (GSE125583, fusiform cortex; 125 advanced AD, 70 controls). Age is balanced between the groups in this cohort (correlation between group and age r = 0.071; Wilcoxon P = 0.373).</w:t>
      </w:r>
    </w:p>
    <w:p>
      <w:pPr>
        <w:pStyle w:val="BodyText"/>
      </w:pPr>
      <w:r>
        <w:t xml:space="preserve">In the model adjusted for age and sex, all 20 genes of the DD signature kept the direction they had in the unadjusted model (log2FC correlation 1.000). All six stress genes were higher in advanced AD, and five reached FDR &lt; 0.05 (JUNB: FDR = 0.083). With neuron, astrocyte and microglia marker scores added, all six stayed up and five remained significant (log2FC between 0.27 and 0.44; JUNB: FDR = 0.087). Composition adjustment reduced the number of significant genes across the genome from 9,313 to 4,514. Most of the genes in the neuronal category lost significance after this adjustment; only NRN1 remained down (log2FC from −1.30 to −0.45), and BAIAP2 changed direction. This fits with the bulk decline of these genes being largely a consequence of neuron loss (correlation between neuron score and group r = −0.42). None of the eight genes in the divergent, tumour-specific category remained significant. The astrocyte score did not differ between groups (r = −0.05).</w:t>
      </w:r>
    </w:p>
    <w:p>
      <w:pPr>
        <w:pStyle w:val="BodyText"/>
      </w:pPr>
      <w:r>
        <w:t xml:space="preserve">Two points matter for interpreting this. First, in the original Leng analysis these six genes were lower in vulnerable neurons; their rise in bulk tissue runs the other way and cannot be read as a directional convergence. Second, the DD quadrant from which the genes were chosen does not survive adjustment for age, as Section 3.5 shows. The finding is therefore a descriptive observation of a composition-independent rise in stress genes in advanced AD tissue, not evidence for a shared AD-GBM axis. Bulk data cannot tell us which cell type drives the increase.</w:t>
      </w:r>
    </w:p>
    <w:bookmarkEnd w:id="36"/>
    <w:bookmarkEnd w:id="37"/>
    <w:bookmarkStart w:id="45" w:name="discussion"/>
    <w:p>
      <w:pPr>
        <w:pStyle w:val="Heading2"/>
      </w:pPr>
      <w:r>
        <w:t xml:space="preserve">4. Discussion</w:t>
      </w:r>
    </w:p>
    <w:bookmarkStart w:id="38" w:name="principal-findings"/>
    <w:p>
      <w:pPr>
        <w:pStyle w:val="Heading3"/>
      </w:pPr>
      <w:r>
        <w:t xml:space="preserve">4.1 Principal findings</w:t>
      </w:r>
    </w:p>
    <w:p>
      <w:pPr>
        <w:pStyle w:val="FirstParagraph"/>
      </w:pPr>
      <w:r>
        <w:t xml:space="preserve">This study asked, under a plan fixed before any analysis, how much of the transcriptomic convergence reported between AD and GBM survives control for cell composition, and whether any remaining signal corresponds to a shared neural identity at cell-type resolution. The primary hypothesis (H1) was supported. The 1,458 shared DEGs found without composition control fell to zero after adjustment with two different deconvolution approaches. The secondary hypothesis (H2) was rejected, because none of the three pre-specified tests passed in the plan-conformant analysis, in the documented deviation or in the original implementation. Among the publication scenarios defined in the plan, this pattern corresponds to the one in which bulk AD-GBM convergence mostly reflects differences in composition and no detectable overlap exists between the identity of vulnerable AD neurons and the neural-mimicry states of GBM.</w:t>
      </w:r>
    </w:p>
    <w:p>
      <w:pPr>
        <w:pStyle w:val="BodyText"/>
      </w:pPr>
      <w:r>
        <w:t xml:space="preserve">The two results do not carry the same weight. The H1 result holds across all pre-specified sensitivity analyses, survives a negative control that rules out loss of statistical power, and replicates in an independent AD cohort. Of the two deconvolution methods, only BRETIGEA gave plausible composition estimates, so the weight of the evidence rests on it and on the replication, not on MuSiC. The rejection of H2 has to be read alongside the limited power of the discovery cohort, which I discuss in Section 4.3.</w:t>
      </w:r>
    </w:p>
    <w:bookmarkEnd w:id="38"/>
    <w:bookmarkStart w:id="39" w:name="X3aa0dd0a4337ae42c4e435850bfa764482c8740"/>
    <w:p>
      <w:pPr>
        <w:pStyle w:val="Heading3"/>
      </w:pPr>
      <w:r>
        <w:t xml:space="preserve">4.2 What this means for the AD-cancer transcriptomic literature</w:t>
      </w:r>
    </w:p>
    <w:p>
      <w:pPr>
        <w:pStyle w:val="FirstParagraph"/>
      </w:pPr>
      <w:r>
        <w:t xml:space="preserve">The inverse comorbidity between AD and cancer is supported by prospective cohort and population-based incidence studies [1, 2]. It has encouraged transcriptomic work that looks for shared molecular processes regulated in opposite directions in the two disease groups [3]. For AD and GBM specifically, studies have proposed oppositely regulated signalling pathways from bulk microarray data [4], candidate genes from integrated analyses of bulk and single-cell data [5] and mitochondrial markers from single-cell data [6].</w:t>
      </w:r>
    </w:p>
    <w:p>
      <w:pPr>
        <w:pStyle w:val="BodyText"/>
      </w:pPr>
      <w:r>
        <w:t xml:space="preserve">My results suggest that shared expression changes detected in bulk tissue should not be interpreted without first separating them from differences in cell composition. Neuronal loss and the glial response in AD, and the replacement of normal brain tissue by malignant cells in GBM, both reshape the cellular make-up of the tissue. Variation in cell composition drives much of the gene-expression covariation in intact brain samples [7], and modelling composition estimates as confounders reduces false associations between AD phenotypes and gene expression [8]. The present results suggest that this applies to cross-disease comparisons as well: genes that change in the same direction relative to controls in two diseases may simply mirror similar shifts in cell-type proportions in both tissues.</w:t>
      </w:r>
    </w:p>
    <w:p>
      <w:pPr>
        <w:pStyle w:val="BodyText"/>
      </w:pPr>
      <w:r>
        <w:t xml:space="preserve">This study did not, however, test the specific genes or pathways reported in earlier work. Those studies had different designs, and some included single-cell data or functional experiments [5, 6]. My findings do not invalidate their conclusions. What they do show is that convergence claims resting on the number of shared bulk DEGs are weak evidence unless composition has been controlled.</w:t>
      </w:r>
    </w:p>
    <w:bookmarkEnd w:id="39"/>
    <w:bookmarkStart w:id="40" w:name="X67f0d94e3738bf970b2c4d52fc1d9ef174afb14"/>
    <w:p>
      <w:pPr>
        <w:pStyle w:val="Heading3"/>
      </w:pPr>
      <w:r>
        <w:t xml:space="preserve">4.3 No convergence at cell-type level: evidence of absence, or lack of power?</w:t>
      </w:r>
    </w:p>
    <w:p>
      <w:pPr>
        <w:pStyle w:val="FirstParagraph"/>
      </w:pPr>
      <w:r>
        <w:t xml:space="preserve">H2 predicted that genes lost in vulnerable RORB+ entorhinal neurons would be gained in the neural-mimicry states of GBM. The plan-conformant Stage 1 analysis had only six donors (three per group) and three residual degrees of freedom. It found no gene at FDR &lt; 0.05, and the AD signature defined by the plan’s criteria was empty. Because the Stage 3 tests rely on gene rankings, the empty signature did not stop them from running, but the ranking itself rested on a weak signal.</w:t>
      </w:r>
    </w:p>
    <w:p>
      <w:pPr>
        <w:pStyle w:val="BodyText"/>
      </w:pPr>
      <w:r>
        <w:t xml:space="preserve">For this reason the rejection of H2 should be read as</w:t>
      </w:r>
      <w:r>
        <w:t xml:space="preserve"> </w:t>
      </w:r>
      <w:r>
        <w:t xml:space="preserve">“</w:t>
      </w:r>
      <w:r>
        <w:t xml:space="preserve">no detectable overlap could be shown with these data</w:t>
      </w:r>
      <w:r>
        <w:t xml:space="preserve">”</w:t>
      </w:r>
      <w:r>
        <w:t xml:space="preserve">, not as</w:t>
      </w:r>
      <w:r>
        <w:t xml:space="preserve"> </w:t>
      </w:r>
      <w:r>
        <w:t xml:space="preserve">“</w:t>
      </w:r>
      <w:r>
        <w:t xml:space="preserve">the two cell populations do not overlap</w:t>
      </w:r>
      <w:r>
        <w:t xml:space="preserve">”</w:t>
      </w:r>
      <w:r>
        <w:t xml:space="preserve">. The plan anticipated this possibility and asked whether the earlier bulk signal had a counterpart at the level of cell types. The answer here is that any such counterpart is too weak to be demonstrated with this cohort. Single-nucleus atlases with more donors would allow a stronger test.</w:t>
      </w:r>
    </w:p>
    <w:bookmarkEnd w:id="40"/>
    <w:bookmarkStart w:id="41" w:name="Xc239ada5b05346f465992cce3fdd367b9787de6"/>
    <w:p>
      <w:pPr>
        <w:pStyle w:val="Heading3"/>
      </w:pPr>
      <w:r>
        <w:t xml:space="preserve">4.4 Methodological lessons: how an apparent convergence signal arose</w:t>
      </w:r>
    </w:p>
    <w:p>
      <w:pPr>
        <w:pStyle w:val="FirstParagraph"/>
      </w:pPr>
      <w:r>
        <w:t xml:space="preserve">Perhaps the most general contribution of this work is that the</w:t>
      </w:r>
      <w:r>
        <w:t xml:space="preserve"> </w:t>
      </w:r>
      <w:r>
        <w:t xml:space="preserve">“</w:t>
      </w:r>
      <w:r>
        <w:t xml:space="preserve">down in both diseases</w:t>
      </w:r>
      <w:r>
        <w:t xml:space="preserve">”</w:t>
      </w:r>
      <w:r>
        <w:t xml:space="preserve"> </w:t>
      </w:r>
      <w:r>
        <w:t xml:space="preserve">(DD) signal of the original analysis could be traced back to specific analytic choices. The original Stage 1 code made two of them. It treated three subcluster profiles from the same donor as independent samples, and it left out the age covariate required by the plan. The two errors did different things.</w:t>
      </w:r>
    </w:p>
    <w:p>
      <w:pPr>
        <w:pStyle w:val="BodyText"/>
      </w:pPr>
      <w:r>
        <w:t xml:space="preserve">Treating correlated observations as independent (within-donor correlation 0.35) inflated the number of significant genes to 486; donor-level models gave 0 to 27. Between-donor comparisons in single-cell data are known to produce many false positives when cells or subclusters are treated as independent, and donor-level pseudobulk methods are among those that control this best [14, 31, 40]. My data fit that literature. But when I separated the two corrections, modelling donor did not remove the DD signal. Adding age did. I had first written that pseudoreplication and the missing age term together produced the signal; the 2 × 2 decomposition, prompted by an external review, showed that this was wrong, and I have corrected it.</w:t>
      </w:r>
    </w:p>
    <w:p>
      <w:pPr>
        <w:pStyle w:val="BodyText"/>
      </w:pPr>
      <w:r>
        <w:t xml:space="preserve">Age matters here because of how the cohort was built. The Braak 0 and Braak II donors do not overlap in age (50–71 and 72–91), so an age term cannot be estimated separately from the disease contrast without extrapolating into an age range that was never observed. Adding it removes the DD signal, but that does not show the signal was caused by ageing. It shows only that, in this cohort, the signal cannot be attributed to Braak stage.</w:t>
      </w:r>
    </w:p>
    <w:p>
      <w:pPr>
        <w:pStyle w:val="BodyText"/>
      </w:pPr>
      <w:r>
        <w:t xml:space="preserve">The pre-specified plan is what made these errors visible. Analysis decisions taken after seeing the data raise the false-positive rate [12], and preregistration lowers that risk by separating hypothesis generation from hypothesis testing [13]. Here the plan did three concrete things. Its definitions of donor-level pseudobulk and of age as a covariate made it possible to see where the implementation had strayed. Its fixed H2 thresholds (for example, an odds ratio of at least 3) stopped the DU quadrant, which strengthened in the corrected analysis, from being presented after the fact as a finding. And its rule against reformulating hypotheses kept the exploratory DD signal from becoming the main claim of the paper. The experience also taught me that a plan works only if the implementation is checked against it regularly, and that outside readers catch things the author does not: the replication and the decomposition in this paper came from an external review. The audit and the re-analyses were run in an order in which every decision was committed before its results were produced.</w:t>
      </w:r>
    </w:p>
    <w:bookmarkEnd w:id="41"/>
    <w:bookmarkStart w:id="42" w:name="Xa3984f58f9e93122e713ee91649f291fb57b22a"/>
    <w:p>
      <w:pPr>
        <w:pStyle w:val="Heading3"/>
      </w:pPr>
      <w:r>
        <w:t xml:space="preserve">4.5 Interpreting the exploratory stress-gene finding</w:t>
      </w:r>
    </w:p>
    <w:p>
      <w:pPr>
        <w:pStyle w:val="FirstParagraph"/>
      </w:pPr>
      <w:r>
        <w:t xml:space="preserve">Six stress genes taken from the original DD quadrant were higher in advanced AD in an independent cohort, even after adjustment for age, sex and marker-based composition. There are three reasons to be cautious about this. First, the DD signal that led to these genes being chosen does not survive analytic correction. Second, their rise in bulk tissue is the opposite of the decrease seen in vulnerable neurons in the discovery cohort, so it cannot be read as a directional convergence. Third, gene expression profiles of post-mortem brain can be strongly affected by agonal conditions before death [41]. Immediate-early genes, the family to which JUNB belongs, can also be induced ex vivo during tissue dissociation in single-cell studies [42], and a similar artefactual signal, most prominent in microglia, has been found in post-mortem human single-nucleus data [43]. With bulk data it is not possible to tell whether the increase reflects the molecular remodelling of reactive astrocytes [44] or technical and agonal factors of this kind. The observation is best treated as descriptive, with its cellular source still to be established with single-cell data, and not as evidence for a shared AD-GBM axis.</w:t>
      </w:r>
    </w:p>
    <w:bookmarkEnd w:id="42"/>
    <w:bookmarkStart w:id="43" w:name="limitations"/>
    <w:p>
      <w:pPr>
        <w:pStyle w:val="Heading3"/>
      </w:pPr>
      <w:r>
        <w:t xml:space="preserve">4.6 Limitations</w:t>
      </w:r>
    </w:p>
    <w:p>
      <w:pPr>
        <w:pStyle w:val="FirstParagraph"/>
      </w:pPr>
      <w:r>
        <w:t xml:space="preserve">The primary Stage 1 analysis rests on six donors, all of them male. The age ranges of the Braak groups do not overlap, which limits how well age and disease effects can be separated. The vulnerable subclusters defined in the original study also differ from the plan’s definition based on an RORB expression threshold.</w:t>
      </w:r>
    </w:p>
    <w:p>
      <w:pPr>
        <w:pStyle w:val="BodyText"/>
      </w:pPr>
      <w:r>
        <w:t xml:space="preserve">The deconvolution methods have their own weaknesses. The MuSiC proportions are not biologically plausible in either cohort (for example, fewer than 1% neurons in control tissue), which is why I do not treat Model C as independent confirmation. There are several possible reasons. The reference is a single-nucleus dataset [21], and a matched comparison in mouse visual cortex found that the nuclear share of total cellular mRNA ranges from about 20% to over 50% depending on the size of the pyramidal neuron [45], which could create a systematic mismatch between a nuclear reference and whole-cell RNA from bulk tissue. The reference is also enriched for neurons, and its glial profiles come from few nuclei. Deconvolution works better on a linear scale, and cell types present in the mixture but missing from the reference degrade results substantially [46]. For MuSiC, the main weaknesses here are the scale conversion of microarray data in the AD cohort and the absence of a malignant cell type from the reference for GBM tissue. The accuracy of brain deconvolution also depends strongly on factors such as brain region and the properties of the cell-type signatures used [47]. The marker-based BRETIGEA method [37] runs into a different problem in tumour tissue: astrocyte-like malignant cells express astrocyte markers [10], so in tumours the astrocyte score partly mixes normal astrocytes with malignant states. GBM tissue also contains variable proportions of immune cells such as macrophages and microglia [48]. The composition adjustment on the GBM side of H1 should therefore be seen as approximate.</w:t>
      </w:r>
    </w:p>
    <w:p>
      <w:pPr>
        <w:pStyle w:val="BodyText"/>
      </w:pPr>
      <w:r>
        <w:t xml:space="preserve">The negative control showed that the H1 decline is not explained by lost degrees of freedom. It also showed that components built from random gene sets explained about half of the variance in the composition scores and removed the AD DEGs just as completely. AD bulk DEGs are carried by a dominant expression axis, but these data cannot tell whether that axis reflects cell composition alone or also includes factors that move with composition, such as RNA quality or agonal conditions [41]. And because neuron loss is itself a consequence of the disease, adding composition covariates may remove part of the real disease effect as well.</w:t>
      </w:r>
    </w:p>
    <w:p>
      <w:pPr>
        <w:pStyle w:val="BodyText"/>
      </w:pPr>
      <w:r>
        <w:t xml:space="preserve">The AD meta-cohort is small (n = 51) and relies on merging two microarray platforms with ComBat. The complete loss of AD DEGs in this cohort did not recur in the larger GSE125583 cohort, where about half survived adjustment, so the size of the effect in the meta-cohort should not be generalised; preserving diagnosis as a covariate can inflate significance in later tests when groups are unevenly spread across datasets [36]. The plan’s exclusion criteria for RNA quality and manner of death could not be applied to the GTEx samples. The Neftel data are publicly available only as TPM values, which are not ideal for negative binomial models; a limma-trend analysis on log-scaled TPM gave the same H2 decision. Finally, although the analysis plan was committed to a local git repository before any data were analysed, the public upload that the plan promised did not happen before the analysis. The timestamps were generated by the author and cannot be verified independently, so the study rests on a time-stamped, pre-specified plan and not on a formal preregistration. Every point where the implementation departed from the plan is recorded in the deviation register, together with the date on which it was found.</w:t>
      </w:r>
    </w:p>
    <w:bookmarkEnd w:id="43"/>
    <w:bookmarkStart w:id="44" w:name="conclusion"/>
    <w:p>
      <w:pPr>
        <w:pStyle w:val="Heading3"/>
      </w:pPr>
      <w:r>
        <w:t xml:space="preserve">4.7 Conclusion</w:t>
      </w:r>
    </w:p>
    <w:p>
      <w:pPr>
        <w:pStyle w:val="FirstParagraph"/>
      </w:pPr>
      <w:r>
        <w:t xml:space="preserve">In two AD cohorts, the transcriptomic signature shared by AD and GBM in bulk tissue did not survive adjustment for estimated cell composition, and the shared genes were lost far more often than disease-associated genes in general. At cell-type resolution, no overlap between vulnerable-neuron identity and the neural-mimicry states of the tumour could be detected with the donors available. A convergence-like signal in the discovery analysis disappeared once age was modelled, while pseudoreplication separately inflated the number of significant genes. Claims of shared biology from cross-disease transcriptomic comparisons are only as reliable as the composition control, donor-level inference and pre-specified analysis behind them.</w:t>
      </w:r>
    </w:p>
    <w:bookmarkEnd w:id="44"/>
    <w:bookmarkEnd w:id="45"/>
    <w:bookmarkStart w:id="46" w:name="data-and-code-availability"/>
    <w:p>
      <w:pPr>
        <w:pStyle w:val="Heading2"/>
      </w:pPr>
      <w:r>
        <w:t xml:space="preserve">Data and code availability</w:t>
      </w:r>
    </w:p>
    <w:p>
      <w:pPr>
        <w:pStyle w:val="FirstParagraph"/>
      </w:pPr>
      <w:r>
        <w:t xml:space="preserve">All datasets are public (Table 1). The analysis plan, analysis scripts, deviation register, intermediate results and the facts-sheet script are available in the project repository </w:t>
      </w:r>
      <w:r>
        <w:rPr>
          <w:highlight w:val="yellow"/>
        </w:rPr>
        <w:t>[CHECK: repository URL and Zenodo DOI]</w:t>
      </w:r>
      <w:r>
        <w:rPr/>
        <w:t>.</w:t>
      </w:r>
    </w:p>
    <w:bookmarkEnd w:id="46"/>
    <w:bookmarkStart w:id="47" w:name="funding"/>
    <w:p>
      <w:pPr>
        <w:pStyle w:val="Heading2"/>
      </w:pPr>
      <w:r>
        <w:t xml:space="preserve">Funding</w:t>
      </w:r>
    </w:p>
    <w:p>
      <w:pPr>
        <w:pStyle w:val="FirstParagraph"/>
      </w:pPr>
      <w:r/>
      <w:r>
        <w:rPr>
          <w:highlight w:val="yellow"/>
        </w:rPr>
        <w:t>[CHECK: funding statement]</w:t>
      </w:r>
    </w:p>
    <w:bookmarkEnd w:id="47"/>
    <w:bookmarkStart w:id="48" w:name="competing-interests"/>
    <w:p>
      <w:pPr>
        <w:pStyle w:val="Heading2"/>
      </w:pPr>
      <w:r>
        <w:t xml:space="preserve">Competing interests</w:t>
      </w:r>
    </w:p>
    <w:p>
      <w:pPr>
        <w:pStyle w:val="FirstParagraph"/>
      </w:pPr>
      <w:r/>
      <w:r>
        <w:rPr>
          <w:highlight w:val="yellow"/>
        </w:rPr>
        <w:t>[CHECK: competing interests statement]</w:t>
      </w:r>
    </w:p>
    <w:bookmarkEnd w:id="48"/>
    <w:bookmarkStart w:id="49" w:name="references"/>
    <w:p>
      <w:pPr>
        <w:pStyle w:val="Heading2"/>
      </w:pPr>
      <w:r>
        <w:t xml:space="preserve">References</w:t>
      </w:r>
    </w:p>
    <w:p>
      <w:pPr>
        <w:numPr>
          <w:ilvl w:val="0"/>
          <w:numId w:val="1001"/>
        </w:numPr>
        <w:pStyle w:val="Compact"/>
      </w:pPr>
      <w:r>
        <w:t xml:space="preserve">Driver JA, Beiser A, Au R, et al. Inverse association between cancer and Alzheimer’s disease: results from the Framingham Heart Study. BMJ. 2012;344:e1442. doi:10.1136/bmj.e1442</w:t>
      </w:r>
    </w:p>
    <w:p>
      <w:pPr>
        <w:numPr>
          <w:ilvl w:val="0"/>
          <w:numId w:val="1001"/>
        </w:numPr>
        <w:pStyle w:val="Compact"/>
      </w:pPr>
      <w:r>
        <w:t xml:space="preserve">Musicco M, Adorni F, Di Santo S, et al. Inverse occurrence of cancer and Alzheimer disease: a population-based incidence study. Neurology. 2013;81(4):322-328. doi:10.1212/WNL.0b013e31829c5ec1</w:t>
      </w:r>
    </w:p>
    <w:p>
      <w:pPr>
        <w:numPr>
          <w:ilvl w:val="0"/>
          <w:numId w:val="1001"/>
        </w:numPr>
        <w:pStyle w:val="Compact"/>
      </w:pPr>
      <w:r>
        <w:t xml:space="preserve">Ibáñez K, Boullosa C, Tabarés-Seisdedos R, Baudot A, Valencia A. Molecular evidence for the inverse comorbidity between central nervous system disorders and cancers detected by transcriptomic meta-analyses. PLoS Genet. 2014;10(2):e1004173. doi:10.1371/journal.pgen.1004173</w:t>
      </w:r>
    </w:p>
    <w:p>
      <w:pPr>
        <w:numPr>
          <w:ilvl w:val="0"/>
          <w:numId w:val="1001"/>
        </w:numPr>
        <w:pStyle w:val="Compact"/>
      </w:pPr>
      <w:r>
        <w:t xml:space="preserve">Liu T, Ren D, Zhu X, et al. Transcriptional signaling pathways inversely regulated in Alzheimer’s disease and glioblastoma multiform. Sci Rep. 2013;3:3467. doi:10.1038/srep03467</w:t>
      </w:r>
    </w:p>
    <w:p>
      <w:pPr>
        <w:numPr>
          <w:ilvl w:val="0"/>
          <w:numId w:val="1001"/>
        </w:numPr>
        <w:pStyle w:val="Compact"/>
      </w:pPr>
      <w:r>
        <w:t xml:space="preserve">Liu T, Pu J, Theil S, et al. Potential role of TNFRSF12A in linking glioblastoma and Alzheimer’s disease via shared tumour suppressor pathways. Sci Rep. 2025;15(1):21535. doi:10.1038/s41598-025-08000-7</w:t>
      </w:r>
    </w:p>
    <w:p>
      <w:pPr>
        <w:numPr>
          <w:ilvl w:val="0"/>
          <w:numId w:val="1001"/>
        </w:numPr>
        <w:pStyle w:val="Compact"/>
      </w:pPr>
      <w:r>
        <w:t xml:space="preserve">Xu X, Wang J, Chen T, et al. Deciphering novel mitochondrial signatures: multi-omics analysis uncovers cross-disease markers and oligodendrocyte pathways in Alzheimer’s disease and glioblastoma. Front Aging Neurosci. 2025;17:1536142. doi:10.3389/fnagi.2025.1536142</w:t>
      </w:r>
    </w:p>
    <w:p>
      <w:pPr>
        <w:numPr>
          <w:ilvl w:val="0"/>
          <w:numId w:val="1001"/>
        </w:numPr>
        <w:pStyle w:val="Compact"/>
      </w:pPr>
      <w:r>
        <w:t xml:space="preserve">Kelley KW, Nakao-Inoue H, Molofsky AV, Oldham MC. Variation among intact tissue samples reveals the core transcriptional features of human CNS cell classes. Nat Neurosci. 2018;21(9):1171-1184. doi:10.1038/s41593-018-0216-z</w:t>
      </w:r>
    </w:p>
    <w:p>
      <w:pPr>
        <w:numPr>
          <w:ilvl w:val="0"/>
          <w:numId w:val="1001"/>
        </w:numPr>
        <w:pStyle w:val="Compact"/>
      </w:pPr>
      <w:r>
        <w:t xml:space="preserve">Patrick E, Taga M, Ergun A, et al. Deconvolving the contributions of cell-type heterogeneity on cortical gene expression. PLoS Comput Biol. 2020;16(8):e1008120. doi:10.1371/journal.pcbi.1008120</w:t>
      </w:r>
    </w:p>
    <w:p>
      <w:pPr>
        <w:numPr>
          <w:ilvl w:val="0"/>
          <w:numId w:val="1001"/>
        </w:numPr>
        <w:pStyle w:val="Compact"/>
      </w:pPr>
      <w:r>
        <w:t xml:space="preserve">Leng K, Li E, Eser R, et al. Molecular characterization of selectively vulnerable neurons in Alzheimer’s disease. Nat Neurosci. 2021;24(2):276-287. doi:10.1038/s41593-020-00764-7</w:t>
      </w:r>
    </w:p>
    <w:p>
      <w:pPr>
        <w:numPr>
          <w:ilvl w:val="0"/>
          <w:numId w:val="1001"/>
        </w:numPr>
        <w:pStyle w:val="Compact"/>
      </w:pPr>
      <w:r>
        <w:t xml:space="preserve">Neftel C, Laffy J, Filbin MG, et al. An integrative model of cellular states, plasticity, and genetics for glioblastoma. Cell. 2019;178(4):835-849.e21. doi:10.1016/j.cell.2019.06.024</w:t>
      </w:r>
    </w:p>
    <w:p>
      <w:pPr>
        <w:numPr>
          <w:ilvl w:val="0"/>
          <w:numId w:val="1001"/>
        </w:numPr>
        <w:pStyle w:val="Compact"/>
      </w:pPr>
      <w:r>
        <w:t xml:space="preserve">Venkatesh HS, Morishita W, Geraghty AC, et al. Electrical and synaptic integration of glioma into neural circuits. Nature. 2019;573(7775):539-545. doi:10.1038/s41586-019-1563-y</w:t>
      </w:r>
    </w:p>
    <w:p>
      <w:pPr>
        <w:numPr>
          <w:ilvl w:val="0"/>
          <w:numId w:val="1001"/>
        </w:numPr>
        <w:pStyle w:val="Compact"/>
      </w:pPr>
      <w:r>
        <w:t xml:space="preserve">Simmons JP, Nelson LD, Simonsohn U. False-positive psychology: undisclosed flexibility in data collection and analysis allows presenting anything as significant. Psychol Sci. 2011;22(11):1359-1366. doi:10.1177/0956797611417632</w:t>
      </w:r>
    </w:p>
    <w:p>
      <w:pPr>
        <w:numPr>
          <w:ilvl w:val="0"/>
          <w:numId w:val="1001"/>
        </w:numPr>
        <w:pStyle w:val="Compact"/>
      </w:pPr>
      <w:r>
        <w:t xml:space="preserve">Nosek BA, Ebersole CR, DeHaven AC, Mellor DT. The preregistration revolution. Proc Natl Acad Sci U S A. 2018;115(11):2600-2606. doi:10.1073/pnas.1708274114</w:t>
      </w:r>
    </w:p>
    <w:p>
      <w:pPr>
        <w:numPr>
          <w:ilvl w:val="0"/>
          <w:numId w:val="1001"/>
        </w:numPr>
        <w:pStyle w:val="Compact"/>
      </w:pPr>
      <w:r>
        <w:t xml:space="preserve">Squair JW, Gautier M, Kathe C, et al. Confronting false discoveries in single-cell differential expression. Nat Commun. 2021;12(1):5692. doi:10.1038/s41467-021-25960-2</w:t>
      </w:r>
    </w:p>
    <w:p>
      <w:pPr>
        <w:numPr>
          <w:ilvl w:val="0"/>
          <w:numId w:val="1001"/>
        </w:numPr>
        <w:pStyle w:val="Compact"/>
      </w:pPr>
      <w:r>
        <w:t xml:space="preserve">Berchtold NC, Coleman PD, Cribbs DH, et al. Synaptic genes are extensively downregulated across multiple brain regions in normal human aging and Alzheimer’s disease. Neurobiol Aging. 2013;34(6):1653-1661. doi:10.1016/j.neurobiolaging.2012.11.024</w:t>
      </w:r>
    </w:p>
    <w:p>
      <w:pPr>
        <w:numPr>
          <w:ilvl w:val="0"/>
          <w:numId w:val="1001"/>
        </w:numPr>
        <w:pStyle w:val="Compact"/>
      </w:pPr>
      <w:r>
        <w:t xml:space="preserve">Hokama M, Oka S, Leon J, et al. Altered expression of diabetes-related genes in Alzheimer’s disease brains: the Hisayama study. Cereb Cortex. 2014;24(9):2476-2488. doi:10.1093/cercor/bht101</w:t>
      </w:r>
    </w:p>
    <w:p>
      <w:pPr>
        <w:numPr>
          <w:ilvl w:val="0"/>
          <w:numId w:val="1001"/>
        </w:numPr>
        <w:pStyle w:val="Compact"/>
      </w:pPr>
      <w:r>
        <w:t xml:space="preserve">Brennan CW, Verhaak RGW, McKenna A, et al. The somatic genomic landscape of glioblastoma. Cell. 2013;155(2):462-477. doi:10.1016/j.cell.2013.09.034</w:t>
      </w:r>
    </w:p>
    <w:p>
      <w:pPr>
        <w:numPr>
          <w:ilvl w:val="0"/>
          <w:numId w:val="1001"/>
        </w:numPr>
        <w:pStyle w:val="Compact"/>
      </w:pPr>
      <w:r>
        <w:t xml:space="preserve">GTEx Consortium. The GTEx Consortium atlas of genetic regulatory effects across human tissues. Science. 2020;369(6509):1318-1330. doi:10.1126/science.aaz1776</w:t>
      </w:r>
    </w:p>
    <w:p>
      <w:pPr>
        <w:numPr>
          <w:ilvl w:val="0"/>
          <w:numId w:val="1001"/>
        </w:numPr>
        <w:pStyle w:val="Compact"/>
      </w:pPr>
      <w:r>
        <w:t xml:space="preserve">Goldman MJ, Craft B, Hastie M, et al. Visualizing and interpreting cancer genomics data via the Xena platform. Nat Biotechnol. 2020;38(6):675-678. doi:10.1038/s41587-020-0546-8</w:t>
      </w:r>
    </w:p>
    <w:p>
      <w:pPr>
        <w:numPr>
          <w:ilvl w:val="0"/>
          <w:numId w:val="1001"/>
        </w:numPr>
        <w:pStyle w:val="Compact"/>
      </w:pPr>
      <w:r>
        <w:t xml:space="preserve">Vivian J, Rao AA, Nothaft FA, et al. Toil enables reproducible, open source, big biomedical data analyses. Nat Biotechnol. 2017;35(4):314-316. doi:10.1038/nbt.3772</w:t>
      </w:r>
    </w:p>
    <w:p>
      <w:pPr>
        <w:numPr>
          <w:ilvl w:val="0"/>
          <w:numId w:val="1001"/>
        </w:numPr>
        <w:pStyle w:val="Compact"/>
      </w:pPr>
      <w:r>
        <w:t xml:space="preserve">Bakken TE, Jorstad NL, Hu Q, et al. Comparative cellular analysis of motor cortex in human, marmoset and mouse. Nature. 2021;598(7879):111-119. doi:10.1038/s41586-021-03465-8</w:t>
      </w:r>
    </w:p>
    <w:p>
      <w:pPr>
        <w:numPr>
          <w:ilvl w:val="0"/>
          <w:numId w:val="1001"/>
        </w:numPr>
        <w:pStyle w:val="Compact"/>
      </w:pPr>
      <w:r>
        <w:t xml:space="preserve">Wilks C, Zheng SC, Chen FY, et al. recount3: summaries and queries for large-scale RNA-seq expression and splicing. Genome Biol. 2021;22(1):323. doi:10.1186/s13059-021-02533-6</w:t>
      </w:r>
    </w:p>
    <w:p>
      <w:pPr>
        <w:numPr>
          <w:ilvl w:val="0"/>
          <w:numId w:val="1001"/>
        </w:numPr>
        <w:pStyle w:val="Compact"/>
      </w:pPr>
      <w:r>
        <w:t xml:space="preserve">Johansen N, Quon G. scAlign: a tool for alignment, integration, and rare cell identification from scRNA-seq data. Genome Biol. 2019;20(1):166. doi:10.1186/s13059-019-1766-4</w:t>
      </w:r>
    </w:p>
    <w:p>
      <w:pPr>
        <w:numPr>
          <w:ilvl w:val="0"/>
          <w:numId w:val="1001"/>
        </w:numPr>
        <w:pStyle w:val="Compact"/>
      </w:pPr>
      <w:r>
        <w:t xml:space="preserve">Robinson MD, McCarthy DJ, Smyth GK. edgeR: a Bioconductor package for differential expression analysis of digital gene expression data. Bioinformatics. 2010;26(1):139-140. doi:10.1093/bioinformatics/btp616</w:t>
      </w:r>
    </w:p>
    <w:p>
      <w:pPr>
        <w:numPr>
          <w:ilvl w:val="0"/>
          <w:numId w:val="1001"/>
        </w:numPr>
        <w:pStyle w:val="Compact"/>
      </w:pPr>
      <w:r>
        <w:t xml:space="preserve">Chen Y, Lun ATL, Smyth GK. From reads to genes to pathways: differential expression analysis of RNA-Seq experiments using Rsubread and the edgeR quasi-likelihood pipeline. F1000Res. 2016;5:1438. doi:10.12688/f1000research.8987.2</w:t>
      </w:r>
    </w:p>
    <w:p>
      <w:pPr>
        <w:numPr>
          <w:ilvl w:val="0"/>
          <w:numId w:val="1001"/>
        </w:numPr>
        <w:pStyle w:val="Compact"/>
      </w:pPr>
      <w:r>
        <w:t xml:space="preserve">Robinson MD, Oshlack A. A scaling normalization method for differential expression analysis of RNA-seq data. Genome Biol. 2010;11(3):R25. doi:10.1186/gb-2010-11-3-r25</w:t>
      </w:r>
    </w:p>
    <w:p>
      <w:pPr>
        <w:numPr>
          <w:ilvl w:val="0"/>
          <w:numId w:val="1001"/>
        </w:numPr>
        <w:pStyle w:val="Compact"/>
      </w:pPr>
      <w:r>
        <w:t xml:space="preserve">Benjamini Y, Hochberg Y. Controlling the false discovery rate: a practical and powerful approach to multiple testing. J R Stat Soc Series B Stat Methodol. 1995;57(1):289-300. doi:10.1111/j.2517-6161.1995.tb02031.x</w:t>
      </w:r>
    </w:p>
    <w:p>
      <w:pPr>
        <w:numPr>
          <w:ilvl w:val="0"/>
          <w:numId w:val="1001"/>
        </w:numPr>
        <w:pStyle w:val="Compact"/>
      </w:pPr>
      <w:r>
        <w:t xml:space="preserve">Ritchie ME, Phipson B, Wu D, et al. limma powers differential expression analyses for RNA-sequencing and microarray studies. Nucleic Acids Res. 2015;43(7):e47. doi:10.1093/nar/gkv007</w:t>
      </w:r>
    </w:p>
    <w:p>
      <w:pPr>
        <w:numPr>
          <w:ilvl w:val="0"/>
          <w:numId w:val="1001"/>
        </w:numPr>
        <w:pStyle w:val="Compact"/>
      </w:pPr>
      <w:r>
        <w:t xml:space="preserve">Law CW, Chen Y, Shi W, Smyth GK. voom: precision weights unlock linear model analysis tools for RNA-seq read counts. Genome Biol. 2014;15(2):R29. doi:10.1186/gb-2014-15-2-r29</w:t>
      </w:r>
    </w:p>
    <w:p>
      <w:pPr>
        <w:numPr>
          <w:ilvl w:val="0"/>
          <w:numId w:val="1001"/>
        </w:numPr>
        <w:pStyle w:val="Compact"/>
      </w:pPr>
      <w:r>
        <w:t xml:space="preserve">Smyth GK, Michaud J, Scott HS. Use of within-array replicate spots for assessing differential expression in microarray experiments. Bioinformatics. 2005;21(9):2067-2075. doi:10.1093/bioinformatics/bti270</w:t>
      </w:r>
    </w:p>
    <w:p>
      <w:pPr>
        <w:numPr>
          <w:ilvl w:val="0"/>
          <w:numId w:val="1001"/>
        </w:numPr>
        <w:pStyle w:val="Compact"/>
      </w:pPr>
      <w:r>
        <w:t xml:space="preserve">Zimmerman KD, Espeland MA, Langefeld CD. A practical solution to pseudoreplication bias in single-cell studies. Nat Commun. 2021;12(1):738. doi:10.1038/s41467-021-21038-1</w:t>
      </w:r>
    </w:p>
    <w:p>
      <w:pPr>
        <w:numPr>
          <w:ilvl w:val="0"/>
          <w:numId w:val="1001"/>
        </w:numPr>
        <w:pStyle w:val="Compact"/>
      </w:pPr>
      <w:r>
        <w:t xml:space="preserve">Cahill KM, Huo Z, Tseng GC, Logan RW, Seney ML. Improved identification of concordant and discordant gene expression signatures using an updated rank-rank hypergeometric overlap approach. Sci Rep. 2018;8(1):9588. doi:10.1038/s41598-018-27903-2</w:t>
      </w:r>
    </w:p>
    <w:p>
      <w:pPr>
        <w:numPr>
          <w:ilvl w:val="0"/>
          <w:numId w:val="1001"/>
        </w:numPr>
        <w:pStyle w:val="Compact"/>
      </w:pPr>
      <w:r>
        <w:t xml:space="preserve">Irizarry RA, Hobbs B, Collin F, et al. Exploration, normalization, and summaries of high density oligonucleotide array probe level data. Biostatistics. 2003;4(2):249-264. doi:10.1093/biostatistics/4.2.249</w:t>
      </w:r>
    </w:p>
    <w:p>
      <w:pPr>
        <w:numPr>
          <w:ilvl w:val="0"/>
          <w:numId w:val="1001"/>
        </w:numPr>
        <w:pStyle w:val="Compact"/>
      </w:pPr>
      <w:r>
        <w:t xml:space="preserve">Johnson WE, Li C, Rabinovic A. Adjusting batch effects in microarray expression data using empirical Bayes methods. Biostatistics. 2007;8(1):118-127. doi:10.1093/biostatistics/kxj037</w:t>
      </w:r>
    </w:p>
    <w:p>
      <w:pPr>
        <w:numPr>
          <w:ilvl w:val="0"/>
          <w:numId w:val="1001"/>
        </w:numPr>
        <w:pStyle w:val="Compact"/>
      </w:pPr>
      <w:r>
        <w:t xml:space="preserve">Leek JT, Johnson WE, Parker HS, Jaffe AE, Storey JD. The sva package for removing batch effects and other unwanted variation in high-throughput experiments. Bioinformatics. 2012;28(6):882-883. doi:10.1093/bioinformatics/bts034</w:t>
      </w:r>
    </w:p>
    <w:p>
      <w:pPr>
        <w:numPr>
          <w:ilvl w:val="0"/>
          <w:numId w:val="1001"/>
        </w:numPr>
        <w:pStyle w:val="Compact"/>
      </w:pPr>
      <w:r>
        <w:t xml:space="preserve">Nygaard V, Rødland EA, Hovig E. Methods that remove batch effects while retaining group differences may lead to exaggerated confidence in downstream analyses. Biostatistics. 2016;17(1):29-39. doi:10.1093/biostatistics/kxv027</w:t>
      </w:r>
    </w:p>
    <w:p>
      <w:pPr>
        <w:numPr>
          <w:ilvl w:val="0"/>
          <w:numId w:val="1001"/>
        </w:numPr>
        <w:pStyle w:val="Compact"/>
      </w:pPr>
      <w:r>
        <w:t xml:space="preserve">McKenzie AT, Wang M, Hauberg ME, et al. Brain cell type specific gene expression and co-expression network architectures. Sci Rep. 2018;8(1):8868. doi:10.1038/s41598-018-27293-5</w:t>
      </w:r>
    </w:p>
    <w:p>
      <w:pPr>
        <w:numPr>
          <w:ilvl w:val="0"/>
          <w:numId w:val="1001"/>
        </w:numPr>
        <w:pStyle w:val="Compact"/>
      </w:pPr>
      <w:r>
        <w:t xml:space="preserve">Wang J, Roeder K, Devlin B. Bayesian estimation of cell type-specific gene expression with prior derived from single-cell data. Genome Res. 2021. doi:10.1101/gr.268722.120 </w:t>
      </w:r>
      <w:r>
        <w:rPr>
          <w:highlight w:val="yellow"/>
        </w:rPr>
        <w:t>[CHECK: volume and pages]</w:t>
      </w:r>
    </w:p>
    <w:p>
      <w:pPr>
        <w:numPr>
          <w:ilvl w:val="0"/>
          <w:numId w:val="1001"/>
        </w:numPr>
        <w:pStyle w:val="Compact"/>
      </w:pPr>
      <w:r>
        <w:t xml:space="preserve">Wang X, Park J, Susztak K, Zhang NR, Li M. Bulk tissue cell type deconvolution with multi-subject single-cell expression reference. Nat Commun. 2019;10(1):380. doi:10.1038/s41467-018-08023-x</w:t>
      </w:r>
    </w:p>
    <w:p>
      <w:pPr>
        <w:numPr>
          <w:ilvl w:val="0"/>
          <w:numId w:val="1001"/>
        </w:numPr>
        <w:pStyle w:val="Compact"/>
      </w:pPr>
      <w:r>
        <w:t xml:space="preserve">Crowell HL, Soneson C, Germain PL, et al. muscat detects subpopulation-specific state transitions from multi-sample multi-condition single-cell transcriptomics data. Nat Commun. 2020;11(1):6077. doi:10.1038/s41467-020-19894-4</w:t>
      </w:r>
    </w:p>
    <w:p>
      <w:pPr>
        <w:numPr>
          <w:ilvl w:val="0"/>
          <w:numId w:val="1001"/>
        </w:numPr>
        <w:pStyle w:val="Compact"/>
      </w:pPr>
      <w:r>
        <w:t xml:space="preserve">Tomita H, Vawter MP, Walsh DM, et al. Effect of agonal and postmortem factors on gene expression profile: quality control in microarray analyses of postmortem human brain. Biol Psychiatry. 2004;55(4):346-352. doi:10.1016/j.biopsych.2003.10.013</w:t>
      </w:r>
    </w:p>
    <w:p>
      <w:pPr>
        <w:numPr>
          <w:ilvl w:val="0"/>
          <w:numId w:val="1001"/>
        </w:numPr>
        <w:pStyle w:val="Compact"/>
      </w:pPr>
      <w:r>
        <w:t xml:space="preserve">van den Brink SC, Sage F, Vértesy Á, et al. Single-cell sequencing reveals dissociation-induced gene expression in tissue subpopulations. Nat Methods. 2017;14(10):935-936. doi:10.1038/nmeth.4437</w:t>
      </w:r>
    </w:p>
    <w:p>
      <w:pPr>
        <w:numPr>
          <w:ilvl w:val="0"/>
          <w:numId w:val="1001"/>
        </w:numPr>
        <w:pStyle w:val="Compact"/>
      </w:pPr>
      <w:r>
        <w:t xml:space="preserve">Marsh SE, Walker AJ, Kamath T, et al. Dissection of artifactual and confounding glial signatures by single-cell sequencing of mouse and human brain. Nat Neurosci. 2022;25(3):306-316. doi:10.1038/s41593-022-01022-8</w:t>
      </w:r>
    </w:p>
    <w:p>
      <w:pPr>
        <w:numPr>
          <w:ilvl w:val="0"/>
          <w:numId w:val="1001"/>
        </w:numPr>
        <w:pStyle w:val="Compact"/>
      </w:pPr>
      <w:r>
        <w:t xml:space="preserve">Escartin C, Galea E, Lakatos A, et al. Reactive astrocyte nomenclature, definitions, and future directions. Nat Neurosci. 2021;24(3):312-325. doi:10.1038/s41593-020-00783-4</w:t>
      </w:r>
    </w:p>
    <w:p>
      <w:pPr>
        <w:numPr>
          <w:ilvl w:val="0"/>
          <w:numId w:val="1001"/>
        </w:numPr>
        <w:pStyle w:val="Compact"/>
      </w:pPr>
      <w:r>
        <w:t xml:space="preserve">Bakken TE, Hodge RD, Miller JA, et al. Single-nucleus and single-cell transcriptomes compared in matched cortical cell types. PLoS One. 2018;13(12):e0209648. doi:10.1371/journal.pone.0209648</w:t>
      </w:r>
    </w:p>
    <w:p>
      <w:pPr>
        <w:numPr>
          <w:ilvl w:val="0"/>
          <w:numId w:val="1001"/>
        </w:numPr>
        <w:pStyle w:val="Compact"/>
      </w:pPr>
      <w:r>
        <w:t xml:space="preserve">Avila Cobos F, Alquicira-Hernandez J, Powell JE, Mestdagh P, De Preter K. Benchmarking of cell type deconvolution pipelines for transcriptomics data. Nat Commun. 2020;11(1):5650. doi:10.1038/s41467-020-19015-1</w:t>
      </w:r>
    </w:p>
    <w:p>
      <w:pPr>
        <w:numPr>
          <w:ilvl w:val="0"/>
          <w:numId w:val="1001"/>
        </w:numPr>
        <w:pStyle w:val="Compact"/>
      </w:pPr>
      <w:r>
        <w:t xml:space="preserve">Sutton GJ, Poppe D, Simmons RK, et al. Comprehensive evaluation of deconvolution methods for human brain gene expression. Nat Commun. 2022;13(1):1358. doi:10.1038/s41467-022-28655-4</w:t>
      </w:r>
    </w:p>
    <w:p>
      <w:pPr>
        <w:numPr>
          <w:ilvl w:val="0"/>
          <w:numId w:val="1001"/>
        </w:numPr>
        <w:pStyle w:val="Compact"/>
      </w:pPr>
      <w:r>
        <w:t xml:space="preserve">Wang Q, Hu B, Hu X, et al. Tumor evolution of glioma-intrinsic gene expression subtypes associates with immunological changes in the microenvironment. Cancer Cell. 2017;32(1):42-56.e6. doi:10.1016/j.ccell.2017.06.003</w:t>
      </w:r>
    </w:p>
    <w:bookmarkEnd w:id="49"/>
    <w:bookmarkStart w:id="50" w:name="figure-legends"/>
    <w:p>
      <w:pPr>
        <w:pStyle w:val="Heading2"/>
      </w:pPr>
      <w:r>
        <w:t xml:space="preserve">Figure legends</w:t>
      </w:r>
    </w:p>
    <w:p>
      <w:pPr>
        <w:pStyle w:val="FirstParagraph"/>
      </w:pPr>
      <w:r>
        <w:rPr>
          <w:bCs/>
          <w:b/>
        </w:rPr>
        <w:t xml:space="preserve">Figure 1.</w:t>
      </w:r>
      <w:r>
        <w:t xml:space="preserve"> </w:t>
      </w:r>
      <w:r>
        <w:t xml:space="preserve">Study design and decision flow. The analysis plan was committed before any data analysis. H2 (left) was tested with a donor-level AD vulnerable-neuron signature (Stage 1) and a tumour-blocked GBM neural-mimicry signature (Stage 2) using three pre-specified convergence tests (Stage 3). H1 (right) compared shared DEGs between the AD meta-cohort and the TCGA-GBM/GTEx cohort with and without composition covariates from two deconvolution methods (Stage 4). Exploratory analyses (dashed box) did not enter the decisions.</w:t>
      </w:r>
    </w:p>
    <w:p>
      <w:pPr>
        <w:pStyle w:val="BodyText"/>
      </w:pPr>
      <w:r>
        <w:rPr>
          <w:bCs/>
          <w:b/>
        </w:rPr>
        <w:t xml:space="preserve">Figure 2.</w:t>
      </w:r>
      <w:r>
        <w:t xml:space="preserve"> </w:t>
      </w:r>
      <w:r>
        <w:t xml:space="preserve">H1: shared DEGs under cell-composition control. (A) Number of DEGs (FDR &lt; 0.05) in each cohort under Model A (unadjusted), Model B (BRETIGEA) and Model C (MuSiC). (B) Mean MuSiC proportions by group in the AD and GBM cohorts; these estimates are not biologically plausible (see Section 3.1). (C) Shared DEGs in the primary analysis (all controls) and in the five pre-specified sensitivity analyses.</w:t>
      </w:r>
    </w:p>
    <w:p>
      <w:pPr>
        <w:pStyle w:val="BodyText"/>
      </w:pPr>
      <w:r>
        <w:rPr>
          <w:bCs/>
          <w:b/>
        </w:rPr>
        <w:t xml:space="preserve">Figure 3.</w:t>
      </w:r>
      <w:r>
        <w:t xml:space="preserve"> </w:t>
      </w:r>
      <w:r>
        <w:t xml:space="preserve">H2: RRHO2 maps for the original implementation, the documented deviation (Braak II vs 0, donor level, age) and the plan-conformant analysis (Braak VI vs 0, donor level, age). Colour shows −log10(P) on a common scale. Dashed lines mark where each ranking changes sign, which defines the quadrant boundaries; grey bands are undefined cells at the sign change. The pre-specified test is evaluated in the DU quadrant (down in AD, up in GBM), with a threshold of −log10(P) &gt; 6.27.</w:t>
      </w:r>
    </w:p>
    <w:p>
      <w:pPr>
        <w:pStyle w:val="BodyText"/>
      </w:pPr>
      <w:r>
        <w:rPr>
          <w:bCs/>
          <w:b/>
        </w:rPr>
        <w:t xml:space="preserve">Figure 4.</w:t>
      </w:r>
      <w:r>
        <w:t xml:space="preserve"> </w:t>
      </w:r>
      <w:r>
        <w:t xml:space="preserve">Negative control for H1. (A) Distribution of AD DEGs over 1,000 iterations with six noise covariates added to Model A. (B) The same with six principal components from random gene sets. (C) Mean R² with which the random components explain the six BRETIGEA scores. Blue lines: AD DEGs under Model A (4,449). Dashed lines: pre-specified thresholds (retention of 0.80 in A; R² of 0.25 in C).</w:t>
      </w:r>
    </w:p>
    <w:p>
      <w:pPr>
        <w:pStyle w:val="BodyText"/>
      </w:pPr>
      <w:r>
        <w:rPr>
          <w:bCs/>
          <w:b/>
        </w:rPr>
        <w:t xml:space="preserve">Figure 5.</w:t>
      </w:r>
      <w:r>
        <w:t xml:space="preserve"> </w:t>
      </w:r>
      <w:r>
        <w:t xml:space="preserve">Exploratory: sensitivity of the original DD signal to analytic corrections. (A) Genes at FDR &lt; 0.05 in the original pseudoreplicated analysis, with a donor block (limma-voom) and with donor-summed counts (edgeR). (B) log2FC in the original versus the donor-summed analysis; orange points are the 20 genes of the original DD quadrant. (C) Threshold profile of the four-quadrant overlap test for the DD and DU quadrants with the original ranking and a donor-block (limma-voom) ranking; the dotted line marks BH-adjusted P = 0.05. (D) Highest −log10(P) in the RRHO2 DD quadrant for the original analysis, the deviation analysis (donor-summed, age-adjusted) and the plan analysis; the dashed line marks adjusted P = 0.001. The full donor × age decomposition is given in Table 6.</w:t>
      </w:r>
    </w:p>
    <w:bookmarkEnd w:id="50"/>
    <w:bookmarkEnd w:id="51"/>
    <w:sectPr>
      <w:footerReference w:type="default" r:id="rId9"/>
      <w:pgSz w:w="11906" w:h="16838"/>
      <w:pgMar w:left="1417" w:right="1417" w:top="1417" w:bottom="1417"/>
      <w:lnNumType w:countBy="1" w:restart="continuous" w:distan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after="120"/>
    </w:pPr>
    <w:rPr>
      <w:rFonts w:ascii="Times New Roman" w:hAnsi="Times New Roman" w:cs="Times New Roman" w:eastAsia="Times New Roman"/>
      <w:color w:val="000000"/>
      <w:sz w:val="24"/>
    </w:rPr>
  </w:style>
  <w:style w:styleId="BodyText" w:type="paragraph">
    <w:name w:val="Body Text"/>
    <w:basedOn w:val="Normal"/>
    <w:link w:val="BodyTextChar"/>
    <w:pPr>
      <w:spacing w:after="120" w:before="180" w:line="360" w:lineRule="auto"/>
    </w:pPr>
    <w:qFormat/>
    <w:rPr>
      <w:rFonts w:ascii="Times New Roman" w:hAnsi="Times New Roman" w:cs="Times New Roman" w:eastAsia="Times New Roman"/>
      <w:color w:val="000000"/>
      <w:sz w:val="24"/>
    </w:rPr>
  </w:style>
  <w:style w:customStyle="1" w:styleId="FirstParagraph" w:type="paragraph">
    <w:name w:val="First Paragraph"/>
    <w:basedOn w:val="BodyText"/>
    <w:next w:val="BodyText"/>
    <w:qFormat/>
    <w:pPr>
      <w:spacing w:line="360" w:lineRule="auto" w:after="120"/>
    </w:pPr>
    <w:rPr>
      <w:rFonts w:ascii="Times New Roman" w:hAnsi="Times New Roman" w:cs="Times New Roman" w:eastAsia="Times New Roman"/>
      <w:color w:val="000000"/>
      <w:sz w:val="24"/>
    </w:rPr>
  </w:style>
  <w:style w:customStyle="1" w:styleId="Compact" w:type="paragraph">
    <w:name w:val="Compact"/>
    <w:basedOn w:val="BodyText"/>
    <w:qFormat/>
    <w:pPr>
      <w:spacing w:after="120" w:before="36" w:line="360" w:lineRule="auto"/>
    </w:pPr>
    <w:rPr>
      <w:rFonts w:ascii="Times New Roman" w:hAnsi="Times New Roman" w:cs="Times New Roman" w:eastAsia="Times New Roman"/>
      <w:color w:val="000000"/>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line="276" w:lineRule="auto"/>
      <w:outlineLvl w:val="0"/>
    </w:pPr>
    <w:rPr>
      <w:rFonts w:ascii="Times New Roman" w:hAnsi="Times New Roman" w:cs="Times New Roman" w:eastAsia="Times New Roman"/>
      <w:b/>
      <w:bCs/>
      <w:color w:val="000000"/>
      <w:sz w:val="28"/>
      <w:szCs w:val="32"/>
    </w:rPr>
  </w:style>
  <w:style w:styleId="Heading2" w:type="paragraph">
    <w:name w:val="Heading 2"/>
    <w:basedOn w:val="Normal"/>
    <w:next w:val="BodyText"/>
    <w:uiPriority w:val="9"/>
    <w:unhideWhenUsed/>
    <w:qFormat/>
    <w:pPr>
      <w:keepNext/>
      <w:keepLines/>
      <w:spacing w:after="120" w:before="240" w:line="276" w:lineRule="auto"/>
      <w:outlineLvl w:val="1"/>
    </w:pPr>
    <w:rPr>
      <w:rFonts w:ascii="Times New Roman" w:hAnsi="Times New Roman" w:cs="Times New Roman" w:eastAsia="Times New Roman"/>
      <w:b/>
      <w:bCs/>
      <w:color w:val="000000"/>
      <w:sz w:val="24"/>
      <w:szCs w:val="28"/>
    </w:rPr>
  </w:style>
  <w:style w:styleId="Heading3" w:type="paragraph">
    <w:name w:val="Heading 3"/>
    <w:basedOn w:val="Normal"/>
    <w:next w:val="BodyText"/>
    <w:uiPriority w:val="9"/>
    <w:unhideWhenUsed/>
    <w:qFormat/>
    <w:pPr>
      <w:keepNext/>
      <w:keepLines/>
      <w:spacing w:after="120" w:before="240" w:line="276" w:lineRule="auto"/>
      <w:outlineLvl w:val="2"/>
    </w:pPr>
    <w:rPr>
      <w:rFonts w:ascii="Times New Roman" w:hAnsi="Times New Roman" w:cs="Times New Roman" w:eastAsia="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2026-09-28T09:52:46Z</dcterms:created>
  <dcterms:modified xsi:type="dcterms:W3CDTF">2026-09-28T09:52:46Z</dcterms:modified>
</cp:coreProperties>
</file>

<file path=docProps/custom.xml><?xml version="1.0" encoding="utf-8"?>
<Properties xmlns="http://schemas.openxmlformats.org/officeDocument/2006/custom-properties" xmlns:vt="http://schemas.openxmlformats.org/officeDocument/2006/docPropsVTypes"/>
</file>