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Ahmet Karakuş</w:t>
      </w:r>
      <w:r>
        <w:br/>
      </w:r>
      <w:r>
        <w:t xml:space="preserve">Department of Biotechnology, Faculty of Science, Bartın University, </w:t>
      </w:r>
      <w:r>
        <w:rPr>
          <w:highlight w:val="yellow"/>
        </w:rPr>
        <w:t>[CHECK: postal code]</w:t>
      </w:r>
      <w:r>
        <w:rPr/>
        <w:t>, Bartın, Türkiye</w:t>
      </w:r>
      <w:r>
        <w:br/>
      </w:r>
      <w:r>
        <w:t xml:space="preserve">akarakus@bartin.edu.tr</w:t>
      </w:r>
    </w:p>
    <w:p>
      <w:pPr>
        <w:pStyle w:val="BodyText"/>
      </w:pPr>
      <w:r/>
      <w:r>
        <w:rPr>
          <w:highlight w:val="yellow"/>
        </w:rPr>
        <w:t>[CHECK: date of submission]</w:t>
      </w:r>
    </w:p>
    <w:p>
      <w:pPr>
        <w:pStyle w:val="BodyText"/>
      </w:pPr>
      <w:r>
        <w:t xml:space="preserve">The Editor</w:t>
      </w:r>
      <w:r>
        <w:br/>
      </w:r>
      <w:r>
        <w:rPr>
          <w:iCs/>
          <w:i/>
        </w:rPr>
        <w:t xml:space="preserve">Neurobiology of Aging</w:t>
      </w:r>
    </w:p>
    <w:p>
      <w:pPr>
        <w:pStyle w:val="BodyText"/>
      </w:pPr>
      <w:r>
        <w:t xml:space="preserve">Dear Editor,</w:t>
      </w:r>
    </w:p>
    <w:p>
      <w:pPr>
        <w:pStyle w:val="BodyText"/>
      </w:pPr>
      <w:r>
        <w:t xml:space="preserve">I am submitting the manuscript</w:t>
      </w:r>
      <w:r>
        <w:t xml:space="preserve"> </w:t>
      </w:r>
      <w:r>
        <w:t xml:space="preserve">“</w:t>
      </w:r>
      <w:r>
        <w:t xml:space="preserve">Alzheimer’s disease–glioblastoma transcriptomic overlap is markedly reduced after adjustment for estimated cell composition: a pre-specified re-evaluation</w:t>
      </w:r>
      <w:r>
        <w:t xml:space="preserve">”</w:t>
      </w:r>
      <w:r>
        <w:t xml:space="preserve"> </w:t>
      </w:r>
      <w:r>
        <w:t xml:space="preserve">for consideration as a Regular Article in</w:t>
      </w:r>
      <w:r>
        <w:t xml:space="preserve"> </w:t>
      </w:r>
      <w:r>
        <w:rPr>
          <w:iCs/>
          <w:i/>
        </w:rPr>
        <w:t xml:space="preserve">Neurobiology of Aging</w:t>
      </w:r>
      <w:r>
        <w:t xml:space="preserve">.</w:t>
      </w:r>
    </w:p>
    <w:p>
      <w:pPr>
        <w:pStyle w:val="BodyText"/>
      </w:pPr>
      <w:r>
        <w:t xml:space="preserve">The inverse association between Alzheimer’s disease (AD) and cancer has led several groups to report transcriptomic signatures shared by AD and glioblastoma. Most of this work compares genes that differ from controls in bulk brain tissue. Both diseases, however, alter the cellular composition of that tissue, and cohorts of post-mortem brain often differ in age between groups. I asked whether the reported overlap survives these two problems.</w:t>
      </w:r>
    </w:p>
    <w:p>
      <w:pPr>
        <w:pStyle w:val="BodyText"/>
      </w:pPr>
      <w:r>
        <w:t xml:space="preserve">The study is hypothesis-driven. Two hypotheses, their thresholds and their decision rules were written into an analysis plan and committed to a version-controlled repository before any data were analysed, and every later departure from the plan is recorded with its date in a deviation register that accompanies the submission. The main findings are:</w:t>
      </w:r>
    </w:p>
    <w:p>
      <w:pPr>
        <w:numPr>
          <w:ilvl w:val="0"/>
          <w:numId w:val="1001"/>
        </w:numPr>
        <w:pStyle w:val="Compact"/>
      </w:pPr>
      <w:r>
        <w:t xml:space="preserve">Shared differentially expressed genes between a neuropathologically defined AD meta-cohort and TCGA-GBM/GTEx fell from 1,458 to zero after adjustment for estimated cell composition. In an independent AD cohort of 195 donors, about 31% of AD-associated genes remained significant after adjustment, but only 3.7% of the genes shared with GBM remained shared.</w:t>
      </w:r>
    </w:p>
    <w:p>
      <w:pPr>
        <w:numPr>
          <w:ilvl w:val="0"/>
          <w:numId w:val="1001"/>
        </w:numPr>
        <w:pStyle w:val="Compact"/>
      </w:pPr>
      <w:r>
        <w:t xml:space="preserve">At cell-type resolution, no overlap was detected between vulnerable RORB+ entorhinal neurons and the neural-like states of glioblastoma, with three donors per group; the manuscript is explicit that this is a limit of detection, not evidence of absence.</w:t>
      </w:r>
    </w:p>
    <w:p>
      <w:pPr>
        <w:numPr>
          <w:ilvl w:val="0"/>
          <w:numId w:val="1001"/>
        </w:numPr>
        <w:pStyle w:val="Compact"/>
      </w:pPr>
      <w:r>
        <w:t xml:space="preserve">A convergence-like signal in the discovery analysis disappeared when age was modelled, but not when donor was modelled. Because age and Braak stage did not overlap in that cohort, the signal could not be attributed to disease stage.</w:t>
      </w:r>
    </w:p>
    <w:p>
      <w:pPr>
        <w:pStyle w:val="FirstParagraph"/>
      </w:pPr>
      <w:r>
        <w:t xml:space="preserve">I think the work fits the journal for three reasons. Age is a variable in every model and sits at the centre of one of the main results, which bears directly on how cross-sectional post-mortem transcriptomic studies of AD should be designed and read. AD status in all cohorts is defined neuropathologically, by Braak staging or neuropathological diagnosis, not by clinical symptoms. And the paper engages with work in the journal that frames the AD–cancer relationship in terms of hypoxia (Su et al., 2023,</w:t>
      </w:r>
      <w:r>
        <w:t xml:space="preserve"> </w:t>
      </w:r>
      <w:r>
        <w:rPr>
          <w:iCs/>
          <w:i/>
        </w:rPr>
        <w:t xml:space="preserve">Neurobiol Aging</w:t>
      </w:r>
      <w:r>
        <w:t xml:space="preserve"> </w:t>
      </w:r>
      <w:r>
        <w:t xml:space="preserve">131:59–73): my data neither support nor refute such accounts at the level of mechanism, but they show that a shared stress or hypoxia programme is not detectable in the cell types studied once composition, donor structure and age are handled.</w:t>
      </w:r>
    </w:p>
    <w:p>
      <w:pPr>
        <w:pStyle w:val="BodyText"/>
      </w:pPr>
      <w:r>
        <w:t xml:space="preserve">The manuscript reports corrections that arose during the work, including an error in my own first interpretation that an external review helped me find; I have described these openly because I think they are part of the result. An earlier exploratory analysis of overlapping bulk data, which was not published, is publicly available and is cited in the manuscript. The present study re-tests its main result under a pre-specified plan and adds what that analysis lacked: a cell-type-level test, the donor and age analyses and an independent replication cohort. All datasets are public, and the analysis plan, code, deviation register and a script that regenerates every number in the paper are available at https://github.com/akarakus-bartin/ad-gbm-composition and archived on Zenodo (https://doi.org/10.5281/zenodo.23020912).</w:t>
      </w:r>
    </w:p>
    <w:p>
      <w:pPr>
        <w:pStyle w:val="BodyText"/>
      </w:pPr>
      <w:r>
        <w:t xml:space="preserve">This work has not been published previously, is not under consideration elsewhere, and, if accepted, will not be published elsewhere in the same form. I declare no competing interests, and the work received no specific funding. The use of generative AI tools during manuscript preparation is declared in the manuscript, as required by the journal’s policy.</w:t>
      </w:r>
    </w:p>
    <w:p>
      <w:pPr>
        <w:pStyle w:val="BodyText"/>
      </w:pPr>
      <w:r>
        <w:t xml:space="preserve">Thank you for considering this submission.</w:t>
      </w:r>
    </w:p>
    <w:p>
      <w:pPr>
        <w:pStyle w:val="BodyText"/>
      </w:pPr>
      <w:r>
        <w:t xml:space="preserve">Yours sincerely,</w:t>
      </w:r>
    </w:p>
    <w:p>
      <w:pPr>
        <w:pStyle w:val="BodyText"/>
      </w:pPr>
      <w:r>
        <w:t xml:space="preserve">Ahmet Karakuş</w:t>
      </w:r>
      <w:r>
        <w:br/>
      </w:r>
      <w:r>
        <w:t xml:space="preserve">ORCID: 0000-0003-1458-808X</w:t>
      </w:r>
    </w:p>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s="Times New Roman" w:eastAsia="Times New Roman"/>
      <w:color w:val="000000"/>
      <w:sz w:val="24"/>
    </w:rPr>
  </w:style>
  <w:style w:styleId="BodyText" w:type="paragraph">
    <w:name w:val="Body Text"/>
    <w:basedOn w:val="Normal"/>
    <w:link w:val="BodyTextChar"/>
    <w:pPr>
      <w:spacing w:after="120" w:before="180" w:line="360" w:lineRule="auto"/>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120"/>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36" w:line="36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cs="Times New Roman" w:eastAsia="Times New Roman"/>
      <w:b/>
      <w:bCs/>
      <w:color w:val="000000"/>
      <w:sz w:val="28"/>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cs="Times New Roman" w:eastAsia="Times New Roman"/>
      <w:b/>
      <w:bCs/>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2026-09-28T19:17:33Z</dcterms:created>
  <dcterms:modified xsi:type="dcterms:W3CDTF">2026-09-28T19:17:33Z</dcterms:modified>
</cp:coreProperties>
</file>

<file path=docProps/custom.xml><?xml version="1.0" encoding="utf-8"?>
<Properties xmlns="http://schemas.openxmlformats.org/officeDocument/2006/custom-properties" xmlns:vt="http://schemas.openxmlformats.org/officeDocument/2006/docPropsVTypes"/>
</file>