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aeffd735e8703c4f86a73b920ef078b69db3a17"/>
    <w:p>
      <w:pPr>
        <w:pStyle w:val="Heading1"/>
        <w:jc w:val="center"/>
      </w:pPr>
      <w:r>
        <w:rPr>
          <w:sz w:val="32"/>
        </w:rPr>
        <w:t xml:space="preserve">Alzheimer’s disease–glioblastoma transcriptomic overlap is markedly reduced after adjustment for estimated cell composition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Department of Biotechnology, Faculty of Science, Bartın University, 74100,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Two hypotheses were tested under a documented analysis plan written before the analyses.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random-gene components, which also captured composition, did. In the independent cohort, 31% of AD DEGs remained significant after adjustment, but only 3.7%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age and Braak stage did not overlap in that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Reproducibility;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An earlier, unpublished analysis of largely the same bulk cohorts by the author (Karakuş, 2026a) had found 198 genes shared by AD and GBM, which disappeared when composition scores were added to the model. That analysis was exploratory: its cohorts, thresholds and models were chosen as the work went along. The present study was designed to find out whether the result holds when the analysis follows a plan written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Both questions were tested under an analysis plan written before the data were analysed (Section 2.1). The primary hypothesis (H1) predicted that shared differentially expressed genes (DEGs) between AD and GBM would largely disappear once cell composition was controlled with two deconvolution methods. Because this outcome had already been seen in the earlier analysis, H1 is a re-test, and its replication in an independent cohort carries more weight. The secondary hypothesis (H2) predicted that any remaining signal would reflect overlap between the AD vulnerable-neuron signature and the GBM neural-mimicry signature, assessed with three complementary tests. Age runs through both questions: AD and GBM are diseases of older age, cohorts of post-mortem brain often differ in age between groups, and age-related differences in cell composition and gene expression can mimic disease effects. Age was therefore a covariate in every AD model (Stage 1 and both bulk AD cohorts); it was not modelled in the GBM bulk cohort, and the Stage 2 comparison of cell states within tumours controls for it by design.</w:t>
      </w:r>
    </w:p>
    <w:bookmarkEnd w:id="21"/>
    <w:bookmarkStart w:id="31" w:name="methods"/>
    <w:p>
      <w:pPr>
        <w:pStyle w:val="Heading2"/>
      </w:pPr>
      <w:r>
        <w:t xml:space="preserve">2. Methods</w:t>
      </w:r>
    </w:p>
    <w:bookmarkStart w:id="22" w:name="analysis-plan-and-documented-changes"/>
    <w:p>
      <w:pPr>
        <w:pStyle w:val="Heading3"/>
      </w:pPr>
      <w:r>
        <w:t xml:space="preserve">2.1 Analysis plan and documented changes</w:t>
      </w:r>
    </w:p>
    <w:p>
      <w:pPr>
        <w:pStyle w:val="FirstParagraph"/>
      </w:pPr>
      <w:r>
        <w:t xml:space="preserve">The hypotheses, decision rules and thresholds were written in an analysis plan (Supplementary File 1) and committed to the project’s git repository on 20 September 2026 (commit 3fcf8d1), before any data were analysed; the plan has not been modified since. The repository, with its full history, was made public at submission (https://github.com/akarakus-bartin/ad-gbm-composition) and is archived on Zenodo (Karakuş, 2026b); its timestamps were generated locally and have not been verified by an independent registry. The plan was committed nine days before the manuscript was first submitted, and much of the implementation evolved during that period. The study therefore follows a documented analysis plan and is not a preregistered study.</w:t>
      </w:r>
    </w:p>
    <w:p>
      <w:pPr>
        <w:pStyle w:val="BodyText"/>
      </w:pPr>
      <w:r>
        <w:t xml:space="preserve">The plan was written after an earlier exploratory analysis (Karakuş, 2026a) of overlapping data (GSE48350, GSE36980 and TCGA-GBM/GTEx), which had found that 198 shared DEGs fell to zero after adjustment for BRETIGEA scores. The plan states this result and defines Stage 4 as an attempt to replicate it, so the plan constrained the analytic choices for H1 but could not keep its likely outcome unknown to the author. The cell-type-level test of H2, the donor and age analyses and the replication in GSE125583 had not been run before.</w:t>
      </w:r>
    </w:p>
    <w:p>
      <w:pPr>
        <w:pStyle w:val="BodyText"/>
      </w:pPr>
      <w:r>
        <w:t xml:space="preserve">The first implementation departed from the plan at several points that were not documented at the time (Section 2.9). An audit against the plan identified these departures, after which all hypothesis tests were re-run as the plan specifies, with the analysis choices committed before the results were produced. Departures that affect the final analyses are noted where they occur below and are listed with their reasons in Supplementary File 2, which also guides the reader through the full dated log of changes kept in the repository.</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the AD group was defined by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diagnosis of AD with Braak stage V–VI (advanced AD) (Srinivasan et al., 2020). Controls were donors without a diagnosis of AD; their Braak stage was recorded in the Leng data (Braak 0) and in GSE125583 (I, 3; II, 10; III, 26; IV, 31) but not in GSE48350 or GSE36980 (Table 1). Sex refers to biological sex as recorded in each source; gender information was not available.</w:t>
      </w:r>
    </w:p>
    <w:p>
      <w:pPr>
        <w:pStyle w:val="BodyText"/>
      </w:pPr>
      <w:r>
        <w:rPr>
          <w:bCs/>
          <w:b/>
        </w:rPr>
        <w:t xml:space="preserve">Table 1.</w:t>
      </w:r>
      <w:r>
        <w:t xml:space="preserve"> </w:t>
      </w:r>
      <w:r>
        <w:t xml:space="preserve">Data sources, brain regions and comparisons.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Tissue or region</w:t>
            </w:r>
          </w:p>
        </w:tc>
        <w:tc>
          <w:tcPr>
            <w:tcBorders>
              <w:bottom w:val="single" w:sz="4" w:color="000000"/>
            </w:tcBorders>
          </w:tcPr>
          <w:p>
            <w:pPr>
              <w:pStyle w:val="Compact"/>
              <w:spacing w:line="240" w:lineRule="auto" w:after="0"/>
              <w:jc w:val="left"/>
            </w:pPr>
            <w:r>
              <w:rPr>
                <w:rFonts w:ascii="Times New Roman" w:hAnsi="Times New Roman"/>
                <w:b/>
                <w:sz w:val="20"/>
              </w:rPr>
              <w:t xml:space="preserve">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w:t>
            </w:r>
          </w:p>
        </w:tc>
        <w:tc>
          <w:tcPr/>
          <w:p>
            <w:pPr>
              <w:pStyle w:val="Compact"/>
              <w:spacing w:line="240" w:lineRule="auto" w:after="0"/>
              <w:jc w:val="left"/>
            </w:pPr>
            <w:r>
              <w:rPr>
                <w:rFonts w:ascii="Times New Roman" w:hAnsi="Times New Roman"/>
                <w:sz w:val="20"/>
              </w:rPr>
              <w:t xml:space="preserve">Braak VI vs Braak 0 (secondary: Braak II vs 0), donor level</w:t>
            </w:r>
          </w:p>
        </w:tc>
        <w:tc>
          <w:tcPr/>
          <w:p>
            <w:pPr>
              <w:pStyle w:val="Compact"/>
              <w:spacing w:line="240" w:lineRule="auto" w:after="0"/>
              <w:jc w:val="left"/>
            </w:pPr>
            <w:r>
              <w:rPr>
                <w:rFonts w:ascii="Times New Roman" w:hAnsi="Times New Roman"/>
                <w:sz w:val="20"/>
              </w:rPr>
              <w:t xml:space="preserve">10 donors (Braak 0: 3, II: 4,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Tumour tissue; tumour location not considered</w:t>
            </w:r>
          </w:p>
        </w:tc>
        <w:tc>
          <w:tcPr/>
          <w:p>
            <w:pPr>
              <w:pStyle w:val="Compact"/>
              <w:spacing w:line="240" w:lineRule="auto" w:after="0"/>
              <w:jc w:val="left"/>
            </w:pPr>
            <w:r>
              <w:rPr>
                <w:rFonts w:ascii="Times New Roman" w:hAnsi="Times New Roman"/>
                <w:sz w:val="20"/>
              </w:rPr>
              <w:t xml:space="preserve">Malignant cell states within the same tumours (NPC/OPC-like vs AC/MES-like)</w:t>
            </w:r>
          </w:p>
        </w:tc>
        <w:tc>
          <w:tcPr/>
          <w:p>
            <w:pPr>
              <w:pStyle w:val="Compact"/>
              <w:spacing w:line="240" w:lineRule="auto" w:after="0"/>
              <w:jc w:val="left"/>
            </w:pPr>
            <w:r>
              <w:rPr>
                <w:rFonts w:ascii="Times New Roman" w:hAnsi="Times New Roman"/>
                <w:sz w:val="20"/>
              </w:rPr>
              <w:t xml:space="preserve">Adult IDH-wild-type primary GBM; 36 pseudobulk samples from 20 tumours (both groups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w:t>
            </w:r>
          </w:p>
        </w:tc>
        <w:tc>
          <w:tcPr/>
          <w:p>
            <w:pPr>
              <w:pStyle w:val="Compact"/>
              <w:spacing w:line="240" w:lineRule="auto" w:after="0"/>
              <w:jc w:val="left"/>
            </w:pPr>
            <w:r>
              <w:rPr>
                <w:rFonts w:ascii="Times New Roman" w:hAnsi="Times New Roman"/>
                <w:sz w:val="20"/>
              </w:rPr>
              <w:t xml:space="preserve">AD (Braak V–VI in GSE48350, n = 10; neuropathological AD diagnosis in GSE36980, n = 8) vs controls without AD (Braak stage not recorded)</w:t>
            </w:r>
          </w:p>
        </w:tc>
        <w:tc>
          <w:tcPr/>
          <w:p>
            <w:pPr>
              <w:pStyle w:val="Compact"/>
              <w:spacing w:line="240" w:lineRule="auto" w:after="0"/>
              <w:jc w:val="left"/>
            </w:pPr>
            <w:r>
              <w:rPr>
                <w:rFonts w:ascii="Times New Roman" w:hAnsi="Times New Roman"/>
                <w:sz w:val="20"/>
              </w:rPr>
              <w:t xml:space="preserve">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Tumour tissue vs normal hippocampus and frontal cortex (BA9)</w:t>
            </w:r>
          </w:p>
        </w:tc>
        <w:tc>
          <w:tcPr/>
          <w:p>
            <w:pPr>
              <w:pStyle w:val="Compact"/>
              <w:spacing w:line="240" w:lineRule="auto" w:after="0"/>
              <w:jc w:val="left"/>
            </w:pPr>
            <w:r>
              <w:rPr>
                <w:rFonts w:ascii="Times New Roman" w:hAnsi="Times New Roman"/>
                <w:sz w:val="20"/>
              </w:rPr>
              <w:t xml:space="preserve">Primary tumours vs normal tissue from unrelated GTEx donors</w:t>
            </w:r>
          </w:p>
        </w:tc>
        <w:tc>
          <w:tcPr/>
          <w:p>
            <w:pPr>
              <w:pStyle w:val="Compact"/>
              <w:spacing w:line="240" w:lineRule="auto" w:after="0"/>
              <w:jc w:val="left"/>
            </w:pPr>
            <w:r>
              <w:rPr>
                <w:rFonts w:ascii="Times New Roman" w:hAnsi="Times New Roman"/>
                <w:sz w:val="20"/>
              </w:rPr>
              <w:t xml:space="preserve">152 tumours; 186 controls (hippocampus 84,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Primary motor cortex</w:t>
            </w:r>
          </w:p>
        </w:tc>
        <w:tc>
          <w:tcPr/>
          <w:p>
            <w:pPr>
              <w:pStyle w:val="Compact"/>
              <w:spacing w:line="240" w:lineRule="auto" w:after="0"/>
              <w:jc w:val="left"/>
            </w:pPr>
            <w:r>
              <w:rPr>
                <w:rFonts w:ascii="Times New Roman" w:hAnsi="Times New Roman"/>
                <w:sz w:val="20"/>
              </w:rPr>
              <w:t xml:space="preserve">Reference only</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gyrus</w:t>
            </w:r>
          </w:p>
        </w:tc>
        <w:tc>
          <w:tcPr/>
          <w:p>
            <w:pPr>
              <w:pStyle w:val="Compact"/>
              <w:spacing w:line="240" w:lineRule="auto" w:after="0"/>
              <w:jc w:val="left"/>
            </w:pPr>
            <w:r>
              <w:rPr>
                <w:rFonts w:ascii="Times New Roman" w:hAnsi="Times New Roman"/>
                <w:sz w:val="20"/>
              </w:rPr>
              <w:t xml:space="preserve">Advanced AD (Braak V–VI) vs controls without AD (Braak I–IV)</w:t>
            </w:r>
          </w:p>
        </w:tc>
        <w:tc>
          <w:tcPr/>
          <w:p>
            <w:pPr>
              <w:pStyle w:val="Compact"/>
              <w:spacing w:line="240" w:lineRule="auto" w:after="0"/>
              <w:jc w:val="left"/>
            </w:pPr>
            <w:r>
              <w:rPr>
                <w:rFonts w:ascii="Times New Roman" w:hAnsi="Times New Roman"/>
                <w:sz w:val="20"/>
              </w:rPr>
              <w:t xml:space="preserve">Advanced AD 125, control 70</w:t>
            </w:r>
          </w:p>
        </w:tc>
      </w:tr>
    </w:tbl>
    <w:p>
      <w:pPr>
        <w:pStyle w:val="BodyText"/>
      </w:pPr>
      <w:r>
        <w:rPr>
          <w:iCs/>
          <w:i/>
        </w:rPr>
        <w:t xml:space="preserve">Abbreviations:</w:t>
      </w:r>
      <w:r>
        <w:t xml:space="preserve"> </w:t>
      </w:r>
      <w:r>
        <w:t xml:space="preserve">AC, astrocyte; AD, Alzheimer’s disease; BA9, Brodmann area 9; GBM, glioblastoma; GTEx, Genotype-Tissue Expression project; H1, primary hypothesis; IDH, isocitrate dehydrogenase; M1, primary motor cortex; MES, mesenchymal; NPC, neural progenitor cell; OPC, oligodendrocyte precursor cell;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The processed entorhinal cortex excitatory-neuron object released by Leng et al. (2021) was used, with its scAlign (Johansen and Quon, 2019) subcluster labels. The plan defined vulnerable neurons by the 75th percentile of RORB expression. Instead, the three RORB+ subclusters that the original study identified as vulnerable (EC:Exc.s1, EC:Exc.s2 and EC:Exc.s4) were used, a documented deviation (Supplementary File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the three subclusters were summed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a model was fitted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it was decided before any results were seen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Because about 42% of the cells assigned to the MES-like state expressed high levels of myeloid markers, non-malignant immune cells were then removed with a simplified form of the marker-based component of the original malignant-cell definition (Neftel et al., 2019): cells with PTPRC (CD45) expression above 1, or a mean expression of six macrophage markers (CD14, AIF1, FCER1G, FCGR3A, TYROBP and CSF1R) above 4, on the expression scale of the processed GEO matrix, were excluded. This removed 707 of 5,742 cells (12.3%) and reduced the myeloid contamination of the MES-like group from about 42% to about 6% (deviation; Supplementary File 2). Pseudobulk profiles were built for each tumour × group combination; after the minimum-cell filter, 36 samples from 20 tumours remained (17 neural lineage, 19 other). The plan expected 24 tumours (deviation; Supplementary File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The adult malignant cells from the Smart-seq2 data (GSM3828672) were used, and the GEO values, stored as log2(TPM/10 + 1), were converted back to linear TPM with 10 × (2^x − 1). The GEO archive (GSE131928_RAW.tar) contains only processed TPM matrices, so an analysis on raw counts was not possible. This is a limitation for a negative binomial model, which assumes counts, so a limma-trend sensitivity analysis was also run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This was noticed while the figures were being prepared and was corrected; the DU values, and therefore the H2 decisions, did not change (see the deviation register). The plan specified a BH adjustment at this point; for consistency with the original implementation, the raw P value was multiplied by the number of pixels, which is more conservative (deviation; Supplementary File 2). The threshold was an adjusted P below 0.001. The maxima of the other three quadrants are reported for comparison.</w:t>
      </w:r>
    </w:p>
    <w:p>
      <w:pPr>
        <w:pStyle w:val="BodyText"/>
      </w:pPr>
      <w:r>
        <w:rPr>
          <w:iCs/>
          <w:i/>
        </w:rPr>
        <w:t xml:space="preserve">Test 2 (hypergeometric).</w:t>
      </w:r>
      <w:r>
        <w:t xml:space="preserve"> </w:t>
      </w:r>
      <w:r>
        <w:t xml:space="preserve">The top 200 genes of each signature were taken and their overlap was tested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A total of 1,000 random pairs of 200-gene sets were drawn from the shared universe, and the odds ratio was computed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The implementation was checked by running it on the original AD input, which reproduced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all ten AD samples were at Braak stage V or VI, and no Braak stage was recorded for the controls. The plan’s criterion of donors aged 65 years or older, specified for GSE48350, was also applied to GSE36980, which excluded one control aged 55 (GSM907865; deviation). GSE36980 thus contributed 17 of its 18 hippocampal samples, including one AD sample (GSM4764672) added to the series after its original publication.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Supplementary File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this is discussed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MuSiC (Wang et al., 2019) (version 1.0.0), which is also reference-based, was used instead (deviation). The plan called for an Allen Brain Map reference and cited Tasic et al. (2018), a mouse dataset. The human primary motor cortex (M1) 10x Chromium v3 snRNA-seq data published by Bakken et al. (2021) (two donors, 76,533 nuclei) were used.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The reference was collapsed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at most 500 nuclei per class and donor were selected at random using the metadata only (3,023 nuclei in total), and the selection list was committed before any expression data were read.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four models were fitted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it was removed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The variance inflation factor (VIF) of the diagnosis coefficient was computed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A sensitivity analysis also required |log2FC| &gt; 0.5 in AD and |log2FC| &gt; 1 in GBM. H1 was supported if the ratios of shared DEGs in Model B to Model A and in Model C to Model A were both at most 0.20, rejected if either ratio was at least 0.50, and inconclusive otherwise. Sensitivity analyses were also run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the within-donor correlation was estimated with</w:t>
      </w:r>
      <w:r>
        <w:t xml:space="preserve"> </w:t>
      </w:r>
      <w:r>
        <w:rPr>
          <w:rStyle w:val="VerbatimChar"/>
        </w:rPr>
        <w:t xml:space="preserve">duplicateCorrelation</w:t>
      </w:r>
      <w:r>
        <w:t xml:space="preserve">, and the original result was compared with a limma-voom model that included a donor block and with a donor-summed edgeR model. The sensitivity of the</w:t>
      </w:r>
      <w:r>
        <w:t xml:space="preserve"> </w:t>
      </w:r>
      <w:r>
        <w:t xml:space="preserve">“</w:t>
      </w:r>
      <w:r>
        <w:t xml:space="preserve">down in both diseases</w:t>
      </w:r>
      <w:r>
        <w:t xml:space="preserve">”</w:t>
      </w:r>
      <w:r>
        <w:t xml:space="preserve"> </w:t>
      </w:r>
      <w:r>
        <w:t xml:space="preserve">(DD) quadrant signal of the original analysis to these corrections was examined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The behaviour of six stress genes taken from the DD quadrant of the original analysis was examined in an independent AD cohort. The recount3 (Wilks et al., 2021) counts are base-pair coverage values, not read counts, so limma-trend on log-CPM values was used instead of negative binomial methods. Advanced AD (n = 125) was compared with controls (n = 70) using</w:t>
      </w:r>
      <w:r>
        <w:t xml:space="preserve"> </w:t>
      </w:r>
      <w:r>
        <w:rPr>
          <w:rStyle w:val="VerbatimChar"/>
        </w:rPr>
        <w:t xml:space="preserve">~ group + age + sex</w:t>
      </w:r>
      <w:r>
        <w:t xml:space="preserve">, and the BRETIGEA neuron, astrocyte and microglia scores were then added as covariates (an earlier version used marker scores whose gene sets had not been recorded). The cohort is rebuilt from recount3 and GEO by a script that matches GEO phenotypes to expression profiles by SRA experiment accession and computes log-CPM from the coverage values with an edgeR prior count of 3 (R/12_0_download_gse125583.R). Rebuilding the cohort in this way revealed an error in its first version, in which age and sex had been attached to the expression profiles by position rather than by sample identifier; all GSE125583 results reported here come from the corrected cohort (Section 4.6).</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a two-arm negative control was run with rules defined before the results were seen. In arm 1, six independent standard normal variables were added to Model A. In arm 2, the first principal component scores of six random 50-gene sets, drawn from all genes outside the BRETIGEA marker lists, were added. Each arm had 1,000 iterations. The primary metric was retention of AD DEGs (the median number of AD DEGs per iteration divided by the number in Model A). In arm 2, the amount of composition captured by the random covariates was measured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three further analyses were pre-declared and committed before they were run.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bookmarkEnd w:id="29"/>
    <w:bookmarkStart w:id="30" w:name="roles-of-the-author-and-of-ai-tools"/>
    <w:p>
      <w:pPr>
        <w:pStyle w:val="Heading3"/>
      </w:pPr>
      <w:r>
        <w:t xml:space="preserve">2.9 Roles of the author and of AI tools</w:t>
      </w:r>
    </w:p>
    <w:p>
      <w:pPr>
        <w:pStyle w:val="FirstParagraph"/>
      </w:pPr>
      <w:r>
        <w:t xml:space="preserve">The study was carried out by a single author working with a large language model (Claude, Anthropic) as an assistant, in the same way from the first analyses to the last. The model proposed many of the analyses and corrections and drafted most of the analysis scripts and much of the manuscript text in response to the author’s instructions. The author ran every analysis script on his own computer, inspected the outputs, decided which analyses to run and which deviations to accept, and approved each decision before it was committed to the repository. All analyses of the data reported here were run by the author; the model produced only the schematic figures (Figure 1 and the graphical abstract) and the formatting of the manuscript files. The undocumented deviations described in Section 2.1 arose because the first versions of several scripts, drafted with the model, did not implement parts of the plan (donor-level inference and the age covariate in Stage 1, and the test of H1), and this was not noticed when the scripts were run. They were found in an audit in which the author, with the model’s assistance, compared each script with the plan. Checks on the code were added as the study progressed: comparison of each script with the plan, including model formulas and covariates; reproduction of the original Stage 3 result before its implementation was reused; comparison of sample counts with the plan and the source publications; rebuilding of the GSE125583 cohort from the public data with samples matched by accession, which reproduced the expression data exactly and revealed the covariate error described in Section 4.6; and generation of every reported number, table and figure by scripts from locked result files, several with built-in consistency checks. The errors described in Section 2.1 show that these checks were not all in place from the start. Two further language models (ChatGPT, OpenAI; Kimi, Moonshot AI) were used only to obtain critical reviews of draft manuscripts; the analyses added in response to those reviews were pre-declared and committed before they were run.</w:t>
      </w:r>
    </w:p>
    <w:bookmarkEnd w:id="30"/>
    <w:bookmarkEnd w:id="31"/>
    <w:bookmarkStart w:id="38" w:name="results"/>
    <w:p>
      <w:pPr>
        <w:pStyle w:val="Heading2"/>
      </w:pPr>
      <w:r>
        <w:t xml:space="preserve">3. Results</w:t>
      </w:r>
    </w:p>
    <w:p>
      <w:pPr>
        <w:pStyle w:val="FirstParagraph"/>
      </w:pPr>
      <w:r>
        <w:t xml:space="preserve">The tests of the two pre-specified hypotheses are reported first (Sections 3.1–3.3), followed by the exploratory analyses, which do not enter the hypothesis decisions (Sections 3.4–3.6). All numbers come from the facts sheet generated from the locked result files.</w:t>
      </w:r>
    </w:p>
    <w:bookmarkStart w:id="32"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2;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2.</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Model C is reported because the decision rule requires a second method, not as independent confirmation; the evidence for H1 rests mainly on BRETIGEA and on the replication in Section 3.4.</w:t>
      </w:r>
    </w:p>
    <w:bookmarkEnd w:id="32"/>
    <w:bookmarkStart w:id="33" w:name="X05868d7d343fc43e5cc97f544efac335c8e05b2"/>
    <w:p>
      <w:pPr>
        <w:pStyle w:val="Heading3"/>
      </w:pPr>
      <w:r>
        <w:t xml:space="preserve">3.2 H2: no convergence detected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it had been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3 summarises the results and Figure 3 shows the RRHO2 maps; the maxima, positions and boundaries of all four quadrants in every analysis are given in Supplementary Table S3.</w:t>
      </w:r>
    </w:p>
    <w:p>
      <w:pPr>
        <w:pStyle w:val="BodyText"/>
      </w:pPr>
      <w:r>
        <w:rPr>
          <w:bCs/>
          <w:b/>
        </w:rPr>
        <w:t xml:space="preserve">Table 3.</w:t>
      </w:r>
      <w:r>
        <w:t xml:space="preserve"> </w:t>
      </w:r>
      <w:r>
        <w:t xml:space="preserve">H2: results of the three pre-specified tests. RRHO2 values are the highest −log10(P) in each quadrant; quadrant boundaries are set where the ranking statistic changes sign in each list. Adjusted P values are capped at 1.</w:t>
      </w:r>
      <w:r>
        <w:t xml:space="preserve"> </w:t>
      </w:r>
      <w:r>
        <w:t xml:space="preserve">“</w:t>
      </w:r>
      <w:r>
        <w:t xml:space="preserve">Not supported</w:t>
      </w:r>
      <w:r>
        <w:t xml:space="preserve">”</w:t>
      </w:r>
      <w:r>
        <w:t xml:space="preserve"> </w:t>
      </w:r>
      <w:r>
        <w:t xml:space="preserve">corresponds to the outcome that the plan’s decision rule labels</w:t>
      </w:r>
      <w:r>
        <w:t xml:space="preserve"> </w:t>
      </w:r>
      <w:r>
        <w:t xml:space="preserve">“</w:t>
      </w:r>
      <w:r>
        <w:t xml:space="preserve">rejected</w:t>
      </w:r>
      <w:r>
        <w:t xml:space="preserve">”</w:t>
      </w:r>
      <w:r>
        <w:t xml:space="preserve"> </w:t>
      </w:r>
      <w:r>
        <w:t xml:space="preserve">(two or more tests failed).</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Not supported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Not supported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Not supported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so H2 was not supported (the outcome that the plan’s decision rule labels</w:t>
      </w:r>
      <w:r>
        <w:t xml:space="preserve"> </w:t>
      </w:r>
      <w:r>
        <w:t xml:space="preserve">“</w:t>
      </w:r>
      <w:r>
        <w:t xml:space="preserve">rejected</w:t>
      </w:r>
      <w:r>
        <w:t xml:space="preserve">”</w:t>
      </w:r>
      <w:r>
        <w:t xml:space="preserve">). With three donors per group, this means that no overlap was detected, not that none exists.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This result does not depend on how the GBM signature was estimated. With limma-trend on log-scaled TPM instead of edgeR on rounded TPM, the GBM log2FC values correlated at r = 0.879 with the original ones, and H2 was again not supported in both the plan analysis (DU maximum 2.50, adjusted P = 1; odds ratio 1.52; permutation P = 0.098) and the deviation analysis (DU maximum 3.37, adjusted P = 0.788; odds ratio 1.40; permutation P = 0.157).</w:t>
      </w:r>
    </w:p>
    <w:bookmarkEnd w:id="33"/>
    <w:bookmarkStart w:id="34"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a two-arm negative control was run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4"/>
    <w:bookmarkStart w:id="35"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8,314 AD DEGs, of which 3,435 were shared with GBM. With the BRETIGEA scores added, the model gave 4,457 AD DEGs (diagnosis VIF 1.38) and 282 shared DEGs. The pre-declared shared-DEG ratio (282/3,435 = 0.082) was below the threshold of 0.20, so H1 replicated. With the fold-change thresholds, shared DEGs fell from 935 to 2 (ratio 0.002). Figure S1 compares the two AD cohorts. Supplementary Table S1b lists the 3,435 shared genes and marks those that remained shared, and Table S1c lists the genes that became shared only after adjustment.</w:t>
      </w:r>
    </w:p>
    <w:p>
      <w:pPr>
        <w:pStyle w:val="BodyText"/>
      </w:pPr>
      <w:r>
        <w:t xml:space="preserve">The ratio compares counts, not genes, so the genes that remained were also identified (this was not pre-declared). Of the 8,314 AD DEGs under Model A, 2,586 (31.1%) were still significant under Model B, and of the 14,811 GBM DEGs, 6,718 (45.4%) were. Of the 3,435 shared DEGs, only 128 (3.7%) were still shared after adjustment; the other 154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5"/>
    <w:bookmarkStart w:id="36"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3, last row). The dependence of this signal and of the gene counts on those analytic choices was examined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The four-quadrant overlap test was repeated at four thresholds fixed in advance (top 100, 200, 300 and 500 genes), using both the original ranking and a donor-level ranking from limma-voom with a donor block (Table 4;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4.</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the Braak II versus Braak 0 contrast was held fixed while donor modelling and age were varied independently (Table 5;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4 is therefore specific to that method. What removes the DD signal is the age term.</w:t>
      </w:r>
    </w:p>
    <w:p>
      <w:pPr>
        <w:pStyle w:val="BodyText"/>
      </w:pPr>
      <w:r>
        <w:rPr>
          <w:bCs/>
          <w:b/>
        </w:rPr>
        <w:t xml:space="preserve">Table 5.</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6"/>
    <w:bookmarkStart w:id="37" w:name="X2162210b22bc55ea5609849fd12b1bc8d4b868a"/>
    <w:p>
      <w:pPr>
        <w:pStyle w:val="Heading3"/>
      </w:pPr>
      <w:r>
        <w:t xml:space="preserve">3.6 Exploratory: stress genes rise independently of composition in an independent AD cohort</w:t>
      </w:r>
    </w:p>
    <w:p>
      <w:pPr>
        <w:pStyle w:val="FirstParagraph"/>
      </w:pPr>
      <w:r>
        <w:t xml:space="preserve">Six stress genes taken from the original DD quadrant (CEBPD, FLNA, JUNB, PER1, PFKFB3 and ZFP36L1) were examined in an AD cohort that is not part of the plan (GSE125583, fusiform cortex; 125 advanced AD, 70 controls). The advanced AD group was younger than the controls (median 84 versus 87 years; correlation between group and age r = −0.27; Wilcoxon P = 4.7 × 10⁻⁴), so age was included in all adjusted models (and in both models of the H1 replication).</w:t>
      </w:r>
    </w:p>
    <w:p>
      <w:pPr>
        <w:pStyle w:val="BodyText"/>
      </w:pPr>
      <w:r>
        <w:t xml:space="preserve">In the model adjusted for age and sex, 19 of the 20 genes of the DD signature kept the direction they had in the unadjusted model (log2FC correlation 0.999; SDC3, with an estimate close to zero, changed sign). All six stress genes were higher in advanced AD, and five reached FDR &lt; 0.05 (JUNB: FDR = 0.11; Supplementary Table S4). With the BRETIGEA neuron, astrocyte and microglia scores added, all six stayed up and four remained significant (log2FC between 0.19 and 0.33; CEBPD: FDR = 0.052; JUNB: FDR = 0.34). Composition adjustment reduced the number of significant genes across the genome from 8,314 to 3,627. Most of the genes in the neuronal category lost significance after this adjustment; only NRN1 remained down (log2FC from −1.25 to −0.42), and the direction of the BAIAP2 difference reversed. This fits with the bulk decline of these genes being largely a consequence of neuron loss (correlation between neuron score and group r = −0.43). None of the eight genes in the divergent, tumour-specific category remained significant. The astrocyte score was slightly lower (r = −0.18) and the microglia score slightly higher (r = 0.16) in advanced AD.</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7"/>
    <w:bookmarkEnd w:id="38"/>
    <w:bookmarkStart w:id="46" w:name="discussion"/>
    <w:p>
      <w:pPr>
        <w:pStyle w:val="Heading2"/>
      </w:pPr>
      <w:r>
        <w:t xml:space="preserve">4. Discussion</w:t>
      </w:r>
    </w:p>
    <w:bookmarkStart w:id="39"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not supported: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This result has to be read alongside the limited power of the discovery cohort, which is discussed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9"/>
    <w:bookmarkStart w:id="40"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These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The present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40"/>
    <w:bookmarkStart w:id="41"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H2 result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1"/>
    <w:bookmarkStart w:id="42"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The present data are consistent with that literature. When the two corrections were separated, however, modelling donor did not remove the DD signal. Adding age did. An earlier draft attributed the signal to pseudoreplication and the missing age term together; the 2 × 2 decomposition, prompted by an external review, showed that this was wrong, and the interpretation has been corrected.</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Writing the plan down before the analyses made these errors visible: its definitions of donor-level pseudobulk and of the age covariate showed where the implementation had strayed, and its fixed H2 thresholds kept a quadrant that strengthened after correction from being presented as a finding after the fact (Simmons et al., 2011; Nosek et al., 2018). A plan protects an analysis only if the implementation is checked against it.</w:t>
      </w:r>
    </w:p>
    <w:bookmarkEnd w:id="42"/>
    <w:bookmarkStart w:id="43"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estimated composition, although only four of the six remained significant.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The present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3"/>
    <w:bookmarkStart w:id="44"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cohorts also differ in brain region, disease contrast, platform and design (Table 1). The vulnerable-neuron signature comes from entorhinal cortex (Braak VI versus Braak 0), the primary bulk AD cohort from hippocampus, and the replication cohort from fusiform gyrus (Braak V–VI versus Braak I–IV). The Stage 2 GBM signature contrasts malignant cell states within the same tumours, whereas the GBM bulk cohort compares tumours with normal hippocampus and frontal cortex from different, unrelated donors, so the bulk GBM contrast combines disease with differences between individuals and between regions. Regional differences in cell composition and in the timing and extent of tau pathology mean that effect sizes cannot be compared directly across cohorts. These differences cut both ways. For H1, the replication is a test of whether the loss of shared DEGs generalises to another region and another disease contrast, not a strict repeat of the primary analysis; that most shared DEGs were lost in fusiform as well as hippocampal tissue suggests the effect is not specific to one region, but the size of the reduction should not be compared between the two cohorts. For H2, comparing entorhinal neurons with tumour cell states from tumours in other locations assumes that the neural identity mimicked by GBM cells does not depend strongly on region, which was not tested.</w:t>
      </w:r>
    </w:p>
    <w:p>
      <w:pPr>
        <w:pStyle w:val="BodyText"/>
      </w:pPr>
      <w:r>
        <w:t xml:space="preserve">The deconvolution methods have their own weaknesses. The MuSiC proportions are not biologically plausible in either cohort (for example, fewer than 1% neurons in control tissue), which is why Model C is not treated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31%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In the primary AD meta-cohort, no Braak stage was recorded for the controls, so their level of tau pathology is unknown. In GSE125583, the controls were not free of pathology: most were at Braak stage III or IV, so the contrast with advanced AD is between late and intermediate tau stages and probably underestimates the disease effect; the AD group was also younger than the controls. The first version of this cohort attached age and sex to the expression profiles by position rather than by sample identifier. The error was found when the cohort was rebuilt from the public data; after correction the H1 decision did not change (shared-DEG ratio 0.074 before and 0.082 after), and all numbers reported here come from the corrected cohort. Age was not modelled in the GBM bulk cohort, and tumour and control donors may differ in age; age is available only in ten-year bands in the open-access GTEx phenotypes.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follows a documented analysis plan and is not a preregistered study. Every point where the implementation departed from the plan is recorded in the deviation register, together with the date on which it was found.</w:t>
      </w:r>
    </w:p>
    <w:bookmarkEnd w:id="44"/>
    <w:bookmarkStart w:id="45"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3.7% of the shared genes in the replication cohort), while about 31%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transparent analysis behind them.</w:t>
      </w:r>
    </w:p>
    <w:bookmarkEnd w:id="45"/>
    <w:bookmarkEnd w:id="46"/>
    <w:bookmarkStart w:id="47"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7"/>
    <w:bookmarkStart w:id="48" w:name="declaration-of-competing-interest"/>
    <w:p>
      <w:pPr>
        <w:pStyle w:val="Heading2"/>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p>
    <w:bookmarkEnd w:id="48"/>
    <w:bookmarkStart w:id="49"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49"/>
    <w:bookmarkStart w:id="50"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50"/>
    <w:bookmarkStart w:id="51"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 the Zenodo record page, which always shows the latest version, is https://zenodo.org/records/23020912.</w:t>
      </w:r>
    </w:p>
    <w:bookmarkEnd w:id="51"/>
    <w:bookmarkStart w:id="52"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for help with writing, analysis code and reference checking, and ChatGPT (OpenAI) and Kimi (Moonshot AI) for feedback on drafts. After using these tools, the author reviewed and edited the content as needed and takes full responsibility for the content of the published article.</w:t>
      </w:r>
    </w:p>
    <w:bookmarkEnd w:id="52"/>
    <w:bookmarkStart w:id="53"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v1.1-submission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3"/>
    <w:bookmarkStart w:id="54"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5. Abbreviations: BH, Benjamini-Hochberg; DD, down in both diseases; DU, down in Alzheimer’s disease and up in glioblastoma; FDR, false discovery rate; log2FC, log2 fold change; RRHO2, rank-rank hypergeometric overlap, version 2.</w:t>
      </w:r>
    </w:p>
    <w:bookmarkEnd w:id="54"/>
    <w:bookmarkStart w:id="55"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Annotated guide to the deviation register: deviations from the plan in the final analyses, errors found during the study, and an entry-by-entry guide to the full dated log (DEVIATIONS.md, in the project repository), with superseded and corrected entries identified.</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3,435 shared DEGs of the replication analysis (GSE125583), with estimates under Models A and B and an indicator for the 128 genes that remained shared after adjustment. Table S1c: the 154 genes that were shared only after adjustment. Table S2: correlations with the astrocyte score in the GBM cohort for the 46 of the 50 BRETIGEA astrocyte markers present in the GBM expression data,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5"/>
    <w:bookmarkEnd w:id="56"/>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2026-10-01T18:04:31Z</dcterms:created>
  <dcterms:modified xsi:type="dcterms:W3CDTF">2026-10-01T18:04:31Z</dcterms:modified>
</cp:coreProperties>
</file>

<file path=docProps/custom.xml><?xml version="1.0" encoding="utf-8"?>
<Properties xmlns="http://schemas.openxmlformats.org/officeDocument/2006/custom-properties" xmlns:vt="http://schemas.openxmlformats.org/officeDocument/2006/docPropsVTypes"/>
</file>