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dae26f9ac92f2bfb3c7b20da80471732cca90d"/>
    <w:p>
      <w:pPr>
        <w:pStyle w:val="Heading1"/>
        <w:jc w:val="center"/>
      </w:pPr>
      <w:r>
        <w:rPr>
          <w:sz w:val="32"/>
        </w:rPr>
        <w:t xml:space="preserve">Alzheimer’s disease–glioblastoma transcriptomic overlap is markedly reduced after adjustment for estimated cell composition: a pre-specified re-evaluation</w:t>
      </w:r>
    </w:p>
    <w:p>
      <w:pPr>
        <w:pStyle w:val="FirstParagraph"/>
        <w:jc w:val="center"/>
      </w:pPr>
      <w:r>
        <w:t xml:space="preserve">Ahmet Karakuş</w:t>
      </w:r>
      <w:r>
        <w:rPr>
          <w:vertAlign w:val="superscript"/>
        </w:rPr>
        <w:t xml:space="preserve">a</w:t>
      </w:r>
    </w:p>
    <w:p>
      <w:pPr>
        <w:pStyle w:val="BodyText"/>
        <w:jc w:val="center"/>
      </w:pPr>
      <w:r>
        <w:rPr>
          <w:vertAlign w:val="superscript"/>
        </w:rPr>
        <w:t xml:space="preserve">a</w:t>
      </w:r>
      <w:r>
        <w:t xml:space="preserve"> </w:t>
      </w:r>
      <w:r>
        <w:t xml:space="preserve">Bartın University, </w:t>
      </w:r>
      <w:r>
        <w:rPr>
          <w:highlight w:val="yellow"/>
        </w:rPr>
        <w:t>[CHECK: department]</w:t>
      </w:r>
      <w:r>
        <w:rPr/>
        <w:t xml:space="preserve">, </w:t>
      </w:r>
      <w:r>
        <w:rPr>
          <w:highlight w:val="yellow"/>
        </w:rPr>
        <w:t>[CHECK: postal address]</w:t>
      </w:r>
      <w:r>
        <w:rPr/>
        <w:t>, Bartın, Türkiye</w:t>
      </w:r>
    </w:p>
    <w:p>
      <w:pPr>
        <w:pStyle w:val="BodyText"/>
        <w:jc w:val="center"/>
      </w:pPr>
      <w:r>
        <w:t xml:space="preserve">Corresponding author: Ahmet Karakuş, akarakus@bartin.edu.tr</w:t>
      </w:r>
      <w:r>
        <w:br/>
      </w:r>
      <w:r>
        <w:t xml:space="preserve">ORCID: https://orcid.org/0000-0003-1458-808X</w:t>
      </w:r>
    </w:p>
    <w:bookmarkStart w:id="20" w:name="abstract"/>
    <w:p>
      <w:pPr>
        <w:pStyle w:val="Heading2"/>
      </w:pPr>
      <w:r>
        <w:t xml:space="preserve">Abstract</w:t>
      </w:r>
    </w:p>
    <w:p>
      <w:pPr>
        <w:pStyle w:val="FirstParagraph"/>
      </w:pPr>
      <w:r>
        <w:t xml:space="preserve">The inverse association between Alzheimer’s disease (AD) and cancer has prompted searches for transcriptomic signatures shared by AD and glioblastoma (GBM), but both diseases alter brain tissue composition, so genes that differ together in bulk samples may reflect cell composition. Under a time-stamped analysis plan, I tested two hypotheses. For the primary hypothesis (H1), shared differentially expressed genes (DEGs) between a neuropathologically defined hippocampal AD meta-cohort (n = 51) and TCGA-GBM/GTEx (n = 338) were compared with and without covariates from two deconvolution methods (BRETIGEA, and MuSiC replacing the planned bMIND), and the BRETIGEA test was repeated in an independent AD cohort (n = 195). The 1,458 shared DEGs fell to zero after BRETIGEA adjustment, supporting H1 and repeating an earlier exploratory result; MuSiC gave the same count but implausible proportions. Noise covariates did not reproduce this loss, whereas components from random genes, which also captured composition, did. In the independent cohort, 30% of AD DEGs remained significant after adjustment, but only 3.5% of shared DEGs remained shared. For the secondary hypothesis (H2), three pre-specified tests did not detect overlap between vulnerable RORB+ entorhinal neurons and neural-like GBM states, with three donors per group. A convergence-like signal in the original analysis disappeared when age, but not donor, was modelled, because age and Braak stage did not overlap in the discovery cohort. Most of the bulk signature shared by AD and GBM is therefore associated with estimated cell composition, and cross-disease comparisons need composition adjustment, donor-level inference and attention to age.</w:t>
      </w:r>
    </w:p>
    <w:p>
      <w:pPr>
        <w:pStyle w:val="BodyText"/>
      </w:pPr>
      <w:r>
        <w:rPr>
          <w:bCs/>
          <w:b/>
        </w:rPr>
        <w:t xml:space="preserve">Keywords:</w:t>
      </w:r>
      <w:r>
        <w:t xml:space="preserve"> </w:t>
      </w:r>
      <w:r>
        <w:t xml:space="preserve">Alzheimer’s disease; Glioblastoma; Transcriptomics; Deconvolution; Pseudoreplication; Preregistration; Age</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(Driver et al., 2012). A population-based incidence study in northern Italy found the same inverse pattern (Musicco et al., 2013). These observations led to the idea that neurodegeneration and tumour growth might share molecular processes that are regulated in opposite directions, and to transcriptomic meta-analyses that looked for such opposing differences across central nervous system disorders and cancers (Ibáñez et al., 2014). Mechanistic accounts have also been proposed; a recent review, for example, framed the inverse relationship in terms of opposite responses to chronic hypoxia, involving HIF-1α and glycolytic reprogramming (Su et al., 2023).</w:t>
      </w:r>
    </w:p>
    <w:p>
      <w:pPr>
        <w:pStyle w:val="BodyText"/>
      </w:pPr>
      <w:r>
        <w:t xml:space="preserve">Glioblastoma (GBM) is an attractive comparison for AD because both arise in the brain. One study used bulk microarray data to identify signalling pathways that were regulated in opposite directions in AD and GBM (Liu et al., 2013). More recent work combined bulk and single-cell transcriptomics with Mendelian randomisation and functional experiments to propose a candidate gene linking the two diseases (Liu et al., 2025), or used single-cell data to derive shared mitochondrial markers (Xu et al., 2025). Much of this literature starts from the same step: comparing genes whose expression differs between each disease and controls, measured in bulk tissue.</w:t>
      </w:r>
    </w:p>
    <w:p>
      <w:pPr>
        <w:pStyle w:val="BodyText"/>
      </w:pPr>
      <w:r>
        <w:t xml:space="preserve">That step has a well-known weakness. AD involves neuronal loss and a glial response, and in GBM malignant cells replace normal brain tissue. Both processes alter the cellular composition of the tissue sampled. In intact brain tissue, much of the covariation in gene expression is driven by differences in cell composition (Kelley et al., 2018), and adding estimated cell-type proportions to the model reduces false associations between AD phenotypes and gene expression (Patrick et al., 2020). Two diseases that both lose neurons will both show lower expression of neuronal genes, even if expression within individual cells does not differ. In a bulk comparison, that would look like a shared signature. This study grew out of that concern. In an earlier, unpublished analysis of largely the same bulk cohorts (Karakuş, 2026a), I had found 198 genes shared by AD and GBM and had seen them disappear when composition scores were added to the model. That analysis was exploratory: its cohorts, thresholds and models were chosen as the work went along. The present study was designed to find out whether the result holds when the analysis is fixed in advance, when donor structure and age are handled properly, and when it is repeated in a cohort the earlier analysis did not use.</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(Leng et al., 2021). In GBM, part of the malignant population occupies transcriptional states that resemble neural and oligodendrocyte progenitors (NPC-like and OPC-like) (Neftel et al., 2019), and glioma cells can form synapses with neurons and integrate into neural circuits (Venkatesh et al., 2019). It is therefore reasonable to ask whether the neuronal programme lost by vulnerable AD neurons overlaps with the neural-like identity that some GBM cells adopt.</w:t>
      </w:r>
    </w:p>
    <w:p>
      <w:pPr>
        <w:pStyle w:val="BodyText"/>
      </w:pPr>
      <w:r>
        <w:t xml:space="preserve">I tested both questions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Because the outcome of H1 had already been seen in the earlier analysis, the plan framed H1 from the start as a pre-specified re-test, and its replication in an independent cohort carries more weight than the primary test. Flexible, data-dependent analysis decisions inflate false-positive rates (Simmons et al., 2011), so the hypotheses, thresholds, decision rules and publication framings for both possible outcomes were fixed in advance (Nosek et al., 2018), and every deviation from the plan was logged with its date. Age runs through both questions. AD and GBM are diseases of older age, cohorts of post-mortem brain often differ in age between groups, and age-related differences in cell composition and gene expression can mimic disease effects. Age was therefore a covariate in every model. Because comparisons between donors in single-cell data need donor-level inference (Squair et al., 2021), I also audited the implementation against the plan during the study and report how the problems it uncovered affected the results.</w:t>
      </w:r>
    </w:p>
    <w:bookmarkEnd w:id="21"/>
    <w:bookmarkStart w:id="30"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was made public at submission (https://github.com/akarakus-bartin/ad-gbm-composition); the submitted version is archived on Zenodo (Karakuş, 2026b). The commit timestamps were therefore generated on the author’s computer and have not been verified by an independent registry. The study rests on a time-stamped, pre-specified plan, not on a formal preregistration such as OSF.</w:t>
      </w:r>
    </w:p>
    <w:p>
      <w:pPr>
        <w:pStyle w:val="BodyText"/>
      </w:pPr>
      <w:r>
        <w:t xml:space="preserve">The plan was written after the earlier exploratory analysis (Karakuş, 2026a), which used overlapping data (GSE48350, GSE36980 and TCGA-GBM/GTEx) and had reported that shared DEGs disappear under BRETIGEA adjustment. The plan states that earlier result explicitly (198 shared DEGs falling to zero after adjustment for six BRETIGEA scores) and defines Stage 4 as an attempt to replicate it. Pre-specification therefore constrained the analytic choices of the present study, but it could not keep the likely outcome of H1 unknown to the author. The analyses that had not been run before, namely H2 at cell-type resolution, the donor and age analyses and the replication in GSE125583, did not have this limitation.</w:t>
      </w:r>
    </w:p>
    <w:p>
      <w:pPr>
        <w:pStyle w:val="BodyText"/>
      </w:pPr>
      <w:r>
        <w:t xml:space="preserve">Every deviation from the plan is recorded, with its date, reason and the analyses it affected, in a deviation register (DEVIATIONS.md; Supplementary File 2). Partway through the project, an audit of the implementation against the plan showed that the primary analyses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 In every AD cohort, group membership rests on post-mortem neuropathology rather than clinical symptoms: Braak neurofibrillary stage in the Leng data and GSE48350, the neuropathological diagnosis of the Hisayama study in GSE36980, where all AD cases had frequent CERAD neuritic plaques and Braak stage V–VI (Hokama et al., 2014), and, in GSE125583, a clinical diagnosis of AD confirmed neuropathologically by frequent CERAD neuritic plaques and Braak stage V–VI (Srinivasan et al., 2020). Sex refers to biological sex as recorded in each source; gender information was not available.</w:t>
      </w:r>
    </w:p>
    <w:p>
      <w:pPr>
        <w:pStyle w:val="BodyText"/>
      </w:pPr>
      <w:r>
        <w:rPr>
          <w:bCs/>
          <w:b/>
        </w:rPr>
        <w:t xml:space="preserve">Table 1.</w:t>
      </w:r>
      <w:r>
        <w:t xml:space="preserve"> </w:t>
      </w:r>
      <w:r>
        <w:t xml:space="preserve">Data sources.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Dataset</w:t>
            </w:r>
          </w:p>
        </w:tc>
        <w:tc>
          <w:tcPr>
            <w:tcBorders>
              <w:bottom w:val="single" w:sz="4" w:color="000000"/>
            </w:tcBorders>
          </w:tcPr>
          <w:p>
            <w:pPr>
              <w:pStyle w:val="Compact"/>
              <w:spacing w:line="240" w:lineRule="auto" w:after="0"/>
              <w:jc w:val="left"/>
            </w:pPr>
            <w:r>
              <w:rPr>
                <w:rFonts w:ascii="Times New Roman" w:hAnsi="Times New Roman"/>
                <w:b/>
                <w:sz w:val="20"/>
              </w:rPr>
              <w:t xml:space="preserve">Platform</w:t>
            </w:r>
          </w:p>
        </w:tc>
        <w:tc>
          <w:tcPr>
            <w:tcBorders>
              <w:bottom w:val="single" w:sz="4" w:color="000000"/>
            </w:tcBorders>
          </w:tcPr>
          <w:p>
            <w:pPr>
              <w:pStyle w:val="Compact"/>
              <w:spacing w:line="240" w:lineRule="auto" w:after="0"/>
              <w:jc w:val="left"/>
            </w:pPr>
            <w:r>
              <w:rPr>
                <w:rFonts w:ascii="Times New Roman" w:hAnsi="Times New Roman"/>
                <w:b/>
                <w:sz w:val="20"/>
              </w:rPr>
              <w:t xml:space="preserve">Role</w:t>
            </w:r>
          </w:p>
        </w:tc>
        <w:tc>
          <w:tcPr>
            <w:tcBorders>
              <w:bottom w:val="single" w:sz="4" w:color="000000"/>
            </w:tcBorders>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 10 donors (Braak 0: 3, Braak II: 4, Braak VI: 3), all male</w:t>
            </w:r>
          </w:p>
        </w:tc>
      </w:tr>
      <w:tr>
        <w:tc>
          <w:tcPr/>
          <w:p>
            <w:pPr>
              <w:pStyle w:val="Compact"/>
              <w:spacing w:line="240" w:lineRule="auto" w:after="0"/>
              <w:jc w:val="left"/>
            </w:pPr>
            <w:r>
              <w:rPr>
                <w:rFonts w:ascii="Times New Roman" w:hAnsi="Times New Roman"/>
                <w:sz w:val="20"/>
              </w:rPr>
              <w:t xml:space="preserve">GSE131928 (Neftel et al., 2019)</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Malignant cells from adult IDH-wild-type primary GBM; 36 pseudobulk samples from 20 tumours (both groups present in 16)</w:t>
            </w:r>
          </w:p>
        </w:tc>
      </w:tr>
      <w:tr>
        <w:tc>
          <w:tcPr/>
          <w:p>
            <w:pPr>
              <w:pStyle w:val="Compact"/>
              <w:spacing w:line="240" w:lineRule="auto" w:after="0"/>
              <w:jc w:val="left"/>
            </w:pPr>
            <w:r>
              <w:rPr>
                <w:rFonts w:ascii="Times New Roman" w:hAnsi="Times New Roman"/>
                <w:sz w:val="20"/>
              </w:rPr>
              <w:t xml:space="preserve">GSE48350 (Berchtold et al., 2013) + GSE36980 (Hokama et al., 2014)</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 n = 51 (AD 18, control 33; GSE48350: 34, GSE36980: 17)</w:t>
            </w:r>
          </w:p>
        </w:tc>
      </w:tr>
      <w:tr>
        <w:tc>
          <w:tcPr/>
          <w:p>
            <w:pPr>
              <w:pStyle w:val="Compact"/>
              <w:spacing w:line="240" w:lineRule="auto" w:after="0"/>
              <w:jc w:val="left"/>
            </w:pPr>
            <w:r>
              <w:rPr>
                <w:rFonts w:ascii="Times New Roman" w:hAnsi="Times New Roman"/>
                <w:sz w:val="20"/>
              </w:rPr>
              <w:t xml:space="preserve">TCGA-GBM (Brennan et al., 2013) + GTEx (GTEx Consortium, 2020); UCSC Xena (Goldman et al., 2020), TOIL (Vivian et al., 2017)</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152 primary tumours; 186 controls (hippocampus 84, frontal cortex BA9 102)</w:t>
            </w:r>
          </w:p>
        </w:tc>
      </w:tr>
      <w:tr>
        <w:tc>
          <w:tcPr/>
          <w:p>
            <w:pPr>
              <w:pStyle w:val="Compact"/>
              <w:spacing w:line="240" w:lineRule="auto" w:after="0"/>
              <w:jc w:val="left"/>
            </w:pPr>
            <w:r>
              <w:rPr>
                <w:rFonts w:ascii="Times New Roman" w:hAnsi="Times New Roman"/>
                <w:sz w:val="20"/>
              </w:rPr>
              <w:t xml:space="preserve">Allen Brain Map, human M1 10x (Bakken et al., 2021)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(Srinivasan et al., 2020)</w:t>
            </w:r>
          </w:p>
        </w:tc>
        <w:tc>
          <w:tcPr/>
          <w:p>
            <w:pPr>
              <w:pStyle w:val="Compact"/>
              <w:spacing w:line="240" w:lineRule="auto" w:after="0"/>
              <w:jc w:val="left"/>
            </w:pPr>
            <w:r>
              <w:rPr>
                <w:rFonts w:ascii="Times New Roman" w:hAnsi="Times New Roman"/>
                <w:sz w:val="20"/>
              </w:rPr>
              <w:t xml:space="preserve">RNA-seq, recount3 (Wilks et al., 2021)</w:t>
            </w:r>
          </w:p>
        </w:tc>
        <w:tc>
          <w:tcPr/>
          <w:p>
            <w:pPr>
              <w:pStyle w:val="Compact"/>
              <w:spacing w:line="240" w:lineRule="auto" w:after="0"/>
              <w:jc w:val="left"/>
            </w:pPr>
            <w:r>
              <w:rPr>
                <w:rFonts w:ascii="Times New Roman" w:hAnsi="Times New Roman"/>
                <w:sz w:val="20"/>
              </w:rPr>
              <w:t xml:space="preserve">Not in the plan: independent replication of H1, added after external review and pre-declared before running; exploratory stress-gene analysis</w:t>
            </w:r>
          </w:p>
        </w:tc>
        <w:tc>
          <w:tcPr/>
          <w:p>
            <w:pPr>
              <w:pStyle w:val="Compact"/>
              <w:spacing w:line="240" w:lineRule="auto" w:after="0"/>
              <w:jc w:val="left"/>
            </w:pPr>
            <w:r>
              <w:rPr>
                <w:rFonts w:ascii="Times New Roman" w:hAnsi="Times New Roman"/>
                <w:sz w:val="20"/>
              </w:rPr>
              <w:t xml:space="preserve">Fusiform cortex; advanced AD 125, control 70</w:t>
            </w:r>
          </w:p>
        </w:tc>
      </w:tr>
    </w:tbl>
    <w:p>
      <w:pPr>
        <w:pStyle w:val="BodyText"/>
      </w:pPr>
      <w:r>
        <w:rPr>
          <w:iCs/>
          <w:i/>
        </w:rPr>
        <w:t xml:space="preserve">Abbreviations:</w:t>
      </w:r>
      <w:r>
        <w:t xml:space="preserve"> </w:t>
      </w:r>
      <w:r>
        <w:t xml:space="preserve">AD, Alzheimer’s disease; BA9, Brodmann area 9; GBM, glioblastoma; GTEx, Genotype-Tissue Expression project; H1, primary hypothesis; IDH, isocitrate dehydrogenase; M1, primary motor cortex; scRNA-seq, single-cell RNA sequencing; snRNA-seq, single-nucleus RNA sequencing; TCGA, The Cancer Genome Atlas; TOIL, the Toil recompute of TCGA and GTEx; TPM, transcripts per million.</w:t>
      </w:r>
    </w:p>
    <w:bookmarkEnd w:id="23"/>
    <w:bookmarkStart w:id="24" w:name="stage-1-ad-vulnerable-neuron-signature"/>
    <w:p>
      <w:pPr>
        <w:pStyle w:val="Heading3"/>
      </w:pPr>
      <w:r>
        <w:t xml:space="preserve">2.3 Stage 1: AD vulnerable-neuron signature</w:t>
      </w:r>
    </w:p>
    <w:p>
      <w:pPr>
        <w:pStyle w:val="FirstParagraph"/>
      </w:pPr>
      <w:r>
        <w:t xml:space="preserve">I used the processed entorhinal cortex excitatory-neuron object released by Leng et al. (2021), with its scAlign (Johansen and Quon, 2019) subcluster labels. The plan defined vulnerable neurons by the 75th percentile of RORB expression. Instead, I used the three RORB+ subclusters that the original study identified as vulnerable (EC:Exc.s1, EC:Exc.s2 and EC:Exc.s4),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I summed the three subclusters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(Robinson et al., 2010) (version 4.10.3) quasi-likelihood F-test (Chen et al., 2016). Genes were filtered with</w:t>
      </w:r>
      <w:r>
        <w:t xml:space="preserve"> </w:t>
      </w:r>
      <w:r>
        <w:rPr>
          <w:rStyle w:val="VerbatimChar"/>
        </w:rPr>
        <w:t xml:space="preserve">filterByExpr</w:t>
      </w:r>
      <w:r>
        <w:t xml:space="preserve">, library sizes were normalised with TMM (Robinson and Oshlack, 2010),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(Benjamini and Hochberg, 1995) FDR was below 0.05 and its log2 fold change was below −0.5. For Stage 3, genes were ranked by sign(log2FC) × −log10(P).</w:t>
      </w:r>
    </w:p>
    <w:p>
      <w:pPr>
        <w:pStyle w:val="BodyText"/>
      </w:pPr>
      <w:r>
        <w:t xml:space="preserve">As a sensitivity analysis, I fitted a model that keeps the subcluster information (</w:t>
      </w:r>
      <w:r>
        <w:rPr>
          <w:rStyle w:val="VerbatimChar"/>
        </w:rPr>
        <w:t xml:space="preserve">~ braak + subcluster + age</w:t>
      </w:r>
      <w:r>
        <w:t xml:space="preserve">) with limma-voom (Law et al., 2014; Ritchie et al., 2015), modelling donor as a blocking factor with</w:t>
      </w:r>
      <w:r>
        <w:t xml:space="preserve"> </w:t>
      </w:r>
      <w:r>
        <w:rPr>
          <w:rStyle w:val="VerbatimChar"/>
        </w:rPr>
        <w:t xml:space="preserve">duplicateCorrelation</w:t>
      </w:r>
      <w:r>
        <w:t xml:space="preserve"> </w:t>
      </w:r>
      <w:r>
        <w:t xml:space="preserve">(Smyth et al., 2005). With few donors, this approach can be anti-conservative for between-donor contrasts (Squair et al., 2021; Zimmerman et al., 2021), so I decided before seeing results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et al. (2019),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I used the adult malignant cells from the Smart-seq2 data (GSM3828672) and converted the GEO values, stored as log2(TPM/10 + 1), back to linear TPM with 10 × (2^x − 1). The GEO archive (GSE131928_RAW.tar) contains only processed TPM matrices, so an analysis on raw counts was not possible. This is a limitation for a negative binomial model, which assumes counts, so I also ran a limma-trend sensitivity analysis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(Cahill et al., 2018)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I noticed this while making the figures and corrected it; the DU values, and therefore the H2 decisions, did not change (see the deviation register). The plan specified a BH adjustment at this point; for consistency with the original implementation, I multiplied the raw P value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I took the top 200 genes of each signature and tested their overlap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I drew 1,000 random pairs of 200-gene sets from the shared universe and computed the odds ratio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I checked the implementation by running it on the original AD input and reproducing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(Irizarry et al., 2003), and where several probes mapped to one gene symbol, the probe with the highest mean expression was kept. GSE48350 has no direct diagnosis field, so AD was defined by Braak stage (deviation). The only brain region shared by the two platforms is the hippocampus, so the analysis was restricted to hippocampal samples (deviation). Batch effects between datasets were removed with ComBat (Johnson et al., 2007; Leek et al., 2012) (sva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(Nygaard et al., 2016), and I discuss this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(Goldman et al., 2020) TOIL (Vivian et al., 2017)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(McKenzie et al., 2018)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(Wang et al., 2021) as the second method. Because the package was not available, I used MuSiC (Wang et al., 2019) (version 1.0.0), which is also reference-based (deviation). The plan called for an Allen Brain Map reference and cited Tasic et al. (2018), a mouse dataset. I used the human primary motor cortex (M1) 10x Chromium v3 snRNA-seq data published by Bakken et al. (2021) (two donors, 76,533 nuclei).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I collapsed the reference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I randomly selected at most 500 nuclei per class and donor using the metadata only (3,023 nuclei in total), and committed the selection list before reading any expression data.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I fitted four models with limma (Ritchie et al., 2015)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 removed it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I computed the variance inflation factor (VIF) of the diagnosis coefficient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difference from controls. In a sensitivity analysis I also required |log2FC| &gt; 0.5 in AD and |log2FC| &gt; 1 in GBM. H1 was supported if the ratios of shared DEGs in Model B to Model A and in Model C to Model A were both at most 0.20, rejected if either ratio was at least 0.50, and inconclusive otherwise. I also ran sensitivity analyses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I estimated the within-donor correlation with</w:t>
      </w:r>
      <w:r>
        <w:t xml:space="preserve"> </w:t>
      </w:r>
      <w:r>
        <w:rPr>
          <w:rStyle w:val="VerbatimChar"/>
        </w:rPr>
        <w:t xml:space="preserve">duplicateCorrelation</w:t>
      </w:r>
      <w:r>
        <w:t xml:space="preserve"> </w:t>
      </w:r>
      <w:r>
        <w:t xml:space="preserve">and compared the original result with a limma-voom model that included a donor block and with a donor-summed edgeR model. I examined how sensitive the</w:t>
      </w:r>
      <w:r>
        <w:t xml:space="preserve"> </w:t>
      </w:r>
      <w:r>
        <w:t xml:space="preserve">“</w:t>
      </w:r>
      <w:r>
        <w:t xml:space="preserve">down in both diseases</w:t>
      </w:r>
      <w:r>
        <w:t xml:space="preserve">”</w:t>
      </w:r>
      <w:r>
        <w:t xml:space="preserve"> </w:t>
      </w:r>
      <w:r>
        <w:t xml:space="preserve">(DD) quadrant signal of the original analysis was to these corrections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I looked at the behaviour of six stress genes taken from the DD quadrant of the original analysis in an independent AD cohort. The recount3 (Wilks et al., 2021) counts are base-pair coverage values, not read counts, so instead of negative binomial methods I used limma-trend on log-CPM values. Advanced AD (n = 125) was compared with controls (n = 70) using</w:t>
      </w:r>
      <w:r>
        <w:t xml:space="preserve"> </w:t>
      </w:r>
      <w:r>
        <w:rPr>
          <w:rStyle w:val="VerbatimChar"/>
        </w:rPr>
        <w:t xml:space="preserve">~ group + age + sex</w:t>
      </w:r>
      <w:r>
        <w:t xml:space="preserve">, and I then added neuron, astrocyte and microglia marker scores (the mean z-score of each marker set) as covariates. The cohort as analysed is saved to disk by a script (R/12_build_gse125583_bulk.R), but the upstream download and log-CPM steps are not yet scripted </w:t>
      </w:r>
      <w:r>
        <w:rPr>
          <w:highlight w:val="yellow"/>
        </w:rPr>
        <w:t>[CHECK: loading script to be added before submission]</w:t>
      </w:r>
      <w:r>
        <w:rPr/>
        <w:t>.</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I ran a two-arm negative control with rules defined before the results were seen. In arm 1, six independent standard normal variables were added to Model A. In arm 2, I added the first principal component scores of six random 50-gene sets drawn from all genes outside the BRETIGEA marker lists. Each arm had 1,000 iterations. The primary metric was retention of AD DEGs (the median number of AD DEGs per iteration divided by the number in Model A). In arm 2, I measured how much composition the random covariates captured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I pre-declared and committed three further analyses before running them.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This analysis used the gene-symbol-level matrix and the six BRETIGEA scores, whereas the stress-gene analysis above used the Ensembl-level matrix and three marker scores, so their genome-wide DEG counts differ slightly.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at https://github.com/akarakus-bartin/ad-gbm-composition, archived on Zenodo (Karakuş, 2026b).</w:t>
      </w:r>
    </w:p>
    <w:p>
      <w:pPr>
        <w:pStyle w:val="BodyText"/>
      </w:pPr>
      <w:r>
        <w:rPr>
          <w:bCs/>
          <w:b/>
        </w:rPr>
        <w:t xml:space="preserve">Table 2.</w:t>
      </w:r>
      <w:r>
        <w:t xml:space="preserve"> </w:t>
      </w:r>
      <w:r>
        <w:t xml:space="preserve">Deviations from the plan (summary; full register in Supplementary File 2).</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Plan</w:t>
            </w:r>
          </w:p>
        </w:tc>
        <w:tc>
          <w:tcPr>
            <w:tcBorders>
              <w:bottom w:val="single" w:sz="4" w:color="000000"/>
            </w:tcBorders>
          </w:tcPr>
          <w:p>
            <w:pPr>
              <w:pStyle w:val="Compact"/>
              <w:spacing w:line="240" w:lineRule="auto" w:after="0"/>
              <w:jc w:val="left"/>
            </w:pPr>
            <w:r>
              <w:rPr>
                <w:rFonts w:ascii="Times New Roman" w:hAnsi="Times New Roman"/>
                <w:b/>
                <w:sz w:val="20"/>
              </w:rPr>
              <w:t xml:space="preserve">Implementation</w:t>
            </w:r>
          </w:p>
        </w:tc>
        <w:tc>
          <w:tcPr>
            <w:tcBorders>
              <w:bottom w:val="single" w:sz="4" w:color="000000"/>
            </w:tcBorders>
          </w:tcPr>
          <w:p>
            <w:pPr>
              <w:pStyle w:val="Compact"/>
              <w:spacing w:line="240" w:lineRule="auto" w:after="0"/>
              <w:jc w:val="left"/>
            </w:pPr>
            <w:r>
              <w:rPr>
                <w:rFonts w:ascii="Times New Roman" w:hAnsi="Times New Roman"/>
                <w:b/>
                <w:sz w:val="20"/>
              </w:rPr>
              <w:t xml:space="preserve">Reason</w:t>
            </w:r>
          </w:p>
        </w:tc>
        <w:tc>
          <w:tcPr>
            <w:tcBorders>
              <w:bottom w:val="single" w:sz="4" w:color="000000"/>
            </w:tcBorders>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(2021),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markedly reduced after adjustment for estimated cell composition</w:t>
            </w: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Length; the H2 clause claimed more than a 6-donor analysis can support; composition specificity not shown; 288 shared DEGs remained in the replication cohort</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2 × 2 DD decomposition; GBM limma-trend sensitivity</w:t>
            </w:r>
          </w:p>
        </w:tc>
        <w:tc>
          <w:tcPr/>
          <w:p>
            <w:pPr>
              <w:pStyle w:val="Compact"/>
              <w:spacing w:line="240" w:lineRule="auto" w:after="0"/>
              <w:jc w:val="left"/>
            </w:pPr>
            <w:r>
              <w:rPr>
                <w:rFonts w:ascii="Times New Roman" w:hAnsi="Times New Roman"/>
                <w:sz w:val="20"/>
              </w:rPr>
              <w:t xml:space="preserve">External review</w:t>
            </w:r>
          </w:p>
        </w:tc>
        <w:tc>
          <w:tcPr/>
          <w:p>
            <w:pPr>
              <w:pStyle w:val="Compact"/>
              <w:spacing w:line="240" w:lineRule="auto" w:after="0"/>
              <w:jc w:val="left"/>
            </w:pPr>
            <w:r>
              <w:rPr>
                <w:rFonts w:ascii="Times New Roman" w:hAnsi="Times New Roman"/>
                <w:sz w:val="20"/>
              </w:rPr>
              <w:t xml:space="preserve">Pre-declared before running</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p>
      <w:pPr>
        <w:pStyle w:val="BodyText"/>
      </w:pPr>
      <w:r>
        <w:rPr>
          <w:iCs/>
          <w:i/>
        </w:rPr>
        <w:t xml:space="preserve">Abbreviations:</w:t>
      </w:r>
      <w:r>
        <w:t xml:space="preserve"> </w:t>
      </w:r>
      <w:r>
        <w:t xml:space="preserve">BH, Benjamini-Hochberg; DD, down in both diseases; DU, down in AD and up in GBM; GBM, glioblastoma; GTEx, Genotype-Tissue Expression project; RIN, RNA integrity number; RORB, RAR-related orphan receptor B; TOIL, the Toil recompute of TCGA and GTEx.</w:t>
      </w:r>
    </w:p>
    <w:bookmarkEnd w:id="29"/>
    <w:bookmarkEnd w:id="30"/>
    <w:bookmarkStart w:id="37" w:name="results"/>
    <w:p>
      <w:pPr>
        <w:pStyle w:val="Heading2"/>
      </w:pPr>
      <w:r>
        <w:t xml:space="preserve">3. Results</w:t>
      </w:r>
    </w:p>
    <w:p>
      <w:pPr>
        <w:pStyle w:val="FirstParagraph"/>
      </w:pPr>
      <w:r>
        <w:t xml:space="preserve">I first report the tests of the two pre-specified hypotheses (Sections 3.1–3.3) and then the exploratory analyses, which do not enter the hypothesis decisions (Sections 3.4–3.6). All numbers come from the facts sheet generated from the locked result files.</w:t>
      </w:r>
    </w:p>
    <w:bookmarkStart w:id="31" w:name="X68c9f0b60a362206b7b8bb2369086a73b9de177"/>
    <w:p>
      <w:pPr>
        <w:pStyle w:val="Heading3"/>
      </w:pPr>
      <w:r>
        <w:t xml:space="preserve">3.1 H1: shared DEGs are lost after adjustment for estimated cell composition</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differed in the same direction in both cohorts (Table 3; the full list, with estimates under every model, is in Supplementary Table S1a).</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AD DEGs</w:t>
            </w:r>
          </w:p>
        </w:tc>
        <w:tc>
          <w:tcPr>
            <w:tcBorders>
              <w:bottom w:val="single" w:sz="4" w:color="000000"/>
            </w:tcBorders>
          </w:tcPr>
          <w:p>
            <w:pPr>
              <w:pStyle w:val="Compact"/>
              <w:spacing w:line="240" w:lineRule="auto" w:after="0"/>
              <w:jc w:val="left"/>
            </w:pPr>
            <w:r>
              <w:rPr>
                <w:rFonts w:ascii="Times New Roman" w:hAnsi="Times New Roman"/>
                <w:b/>
                <w:sz w:val="20"/>
              </w:rPr>
              <w:t xml:space="preserve">GBM DEGs</w:t>
            </w:r>
          </w:p>
        </w:tc>
        <w:tc>
          <w:tcPr>
            <w:tcBorders>
              <w:bottom w:val="single" w:sz="4" w:color="000000"/>
            </w:tcBorders>
          </w:tcPr>
          <w:p>
            <w:pPr>
              <w:pStyle w:val="Compact"/>
              <w:spacing w:line="240" w:lineRule="auto" w:after="0"/>
              <w:jc w:val="left"/>
            </w:pPr>
            <w:r>
              <w:rPr>
                <w:rFonts w:ascii="Times New Roman" w:hAnsi="Times New Roman"/>
                <w:b/>
                <w:sz w:val="20"/>
              </w:rPr>
              <w:t xml:space="preserve">Shared DEGs</w:t>
            </w:r>
          </w:p>
        </w:tc>
        <w:tc>
          <w:tcPr>
            <w:tcBorders>
              <w:bottom w:val="single" w:sz="4" w:color="000000"/>
            </w:tcBorders>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rPr>
          <w:iCs/>
          <w:i/>
        </w:rPr>
        <w:t xml:space="preserve">Abbreviations:</w:t>
      </w:r>
      <w:r>
        <w:t xml:space="preserve"> </w:t>
      </w:r>
      <w:r>
        <w:t xml:space="preserve">AD, Alzheimer’s disease; BRETIGEA, BRain cEll Type specIfic Gene Expression Analysis; DEG, differentially expressed gene; FDR, false discovery rate; GBM, glioblastoma; MuSiC, MUlti-Subject SIngle Cell deconvolution.</w:t>
      </w:r>
    </w:p>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(across all samples, correlations with the score were −0.19 for AQP4, −0.24 for GFAP and +0.88 for ETNPPL; Supplementary Table S2). Within tumours and within controls, all three correlations were positive, so the inconsistency arises between tumour and normal tissue, not within either group, which fits with malignant AC-like cells expressing astrocyte markers. The composition adjustment on the GBM side may therefore only partly reflect the proportions of normal glial cells. Given how implausible the MuSiC estimates are, I report Model C because the decision rule requires a second method, not as independent confirmation; the evidence for H1 rests mainly on BRETIGEA and on the replication in Section 3.4.</w:t>
      </w:r>
    </w:p>
    <w:bookmarkEnd w:id="31"/>
    <w:bookmarkStart w:id="32"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 had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 the maxima, positions and boundaries of all four quadrants in every analysis are given in Supplementary Table S3.</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Analysis</w:t>
            </w:r>
          </w:p>
        </w:tc>
        <w:tc>
          <w:tcPr>
            <w:tcBorders>
              <w:bottom w:val="single" w:sz="4" w:color="000000"/>
            </w:tcBorders>
          </w:tcPr>
          <w:p>
            <w:pPr>
              <w:pStyle w:val="Compact"/>
              <w:spacing w:line="240" w:lineRule="auto" w:after="0"/>
              <w:jc w:val="left"/>
            </w:pPr>
            <w:r>
              <w:rPr>
                <w:rFonts w:ascii="Times New Roman" w:hAnsi="Times New Roman"/>
                <w:b/>
                <w:sz w:val="20"/>
              </w:rPr>
              <w:t xml:space="preserve">Test 1: RRHO2, DU quadrant</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quadrant (comparison)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Test 2: hypergeometric</w:t>
            </w:r>
          </w:p>
        </w:tc>
        <w:tc>
          <w:tcPr>
            <w:tcBorders>
              <w:bottom w:val="single" w:sz="4" w:color="000000"/>
            </w:tcBorders>
          </w:tcPr>
          <w:p>
            <w:pPr>
              <w:pStyle w:val="Compact"/>
              <w:spacing w:line="240" w:lineRule="auto" w:after="0"/>
              <w:jc w:val="left"/>
            </w:pPr>
            <w:r>
              <w:rPr>
                <w:rFonts w:ascii="Times New Roman" w:hAnsi="Times New Roman"/>
                <w:b/>
                <w:sz w:val="20"/>
              </w:rPr>
              <w:t xml:space="preserve">Test 3: permutation</w:t>
            </w:r>
          </w:p>
        </w:tc>
        <w:tc>
          <w:tcPr>
            <w:tcBorders>
              <w:bottom w:val="single" w:sz="4" w:color="000000"/>
            </w:tcBorders>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rPr>
          <w:iCs/>
          <w:i/>
        </w:rPr>
        <w:t xml:space="preserve">Abbreviations:</w:t>
      </w:r>
      <w:r>
        <w:t xml:space="preserve"> </w:t>
      </w:r>
      <w:r>
        <w:t xml:space="preserve">adj., adjusted; DD, down in both diseases; DU, down in Alzheimer’s disease and up in glioblastoma; OR, odds ratio; RRHO2, rank-rank hypergeometric overlap, version 2.</w:t>
      </w:r>
    </w:p>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2"/>
    <w:bookmarkStart w:id="33"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I ran a two-arm negative control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3"/>
    <w:bookmarkStart w:id="34"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9,306 AD DEGs, of which 3,912 were shared with GBM. With the BRETIGEA scores added, the model gave 4,242 AD DEGs (diagnosis VIF 1.4) and 288 shared DEGs. The pre-declared shared-DEG ratio (288/3,912 = 0.074) was below the threshold of 0.20, so H1 replicated. With the fold-change thresholds, shared DEGs fell from 1,105 to 3 (ratio 0.003). Figure S1 compares the two AD cohorts. Supplementary Table S1b lists the 3,912 shared genes and marks those that remained shared, and Table S1c lists the genes that became shared only after adjustment.</w:t>
      </w:r>
    </w:p>
    <w:p>
      <w:pPr>
        <w:pStyle w:val="BodyText"/>
      </w:pPr>
      <w:r>
        <w:t xml:space="preserve">The ratio compares counts, not genes, so I also looked at which genes remained (this was not pre-declared). Of the 9,306 AD DEGs under Model A, 2,800 (30.1%) were still significant under Model B, and of the 14,811 GBM DEGs, 6,718 (45.4%) were. Of the 3,912 shared DEGs, only 138 (3.5%) were still shared after adjustment; the other 150 genes shared under Model B became shared only after adjustment.</w:t>
      </w:r>
    </w:p>
    <w:p>
      <w:pPr>
        <w:pStyle w:val="BodyText"/>
      </w:pPr>
      <w:r>
        <w:t xml:space="preserve">Two things stand out. In this larger RNA-seq cohort, composition adjustment did not wipe out the disease signal: almost a third of the AD DEGs remained significant. The complete loss seen in the 51-sample meta-cohort was therefore probably a feature of that small, ComBat-merged cohort. The shared genes, on the other hand, fared much worse than DEGs in either cohort taken separately.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4"/>
    <w:bookmarkStart w:id="35"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I examined how this signal and the gene counts depend on those analytic choices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I repeated the four-quadrant overlap test at four thresholds fixed in advance (top 100, 200, 300 and 500 genes), using both the original ranking and a donor-level ranking from limma-voom with a donor block (Table 5;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Top N genes</w:t>
            </w:r>
          </w:p>
        </w:tc>
        <w:tc>
          <w:tcPr>
            <w:tcBorders>
              <w:bottom w:val="single" w:sz="4" w:color="000000"/>
            </w:tcBorders>
          </w:tcPr>
          <w:p>
            <w:pPr>
              <w:pStyle w:val="Compact"/>
              <w:spacing w:line="240" w:lineRule="auto" w:after="0"/>
              <w:jc w:val="left"/>
            </w:pPr>
            <w:r>
              <w:rPr>
                <w:rFonts w:ascii="Times New Roman" w:hAnsi="Times New Roman"/>
                <w:b/>
                <w:sz w:val="20"/>
              </w:rPr>
              <w:t xml:space="preserve">DD,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DD, donor level</w:t>
            </w:r>
          </w:p>
        </w:tc>
        <w:tc>
          <w:tcPr>
            <w:tcBorders>
              <w:bottom w:val="single" w:sz="4" w:color="000000"/>
            </w:tcBorders>
          </w:tcPr>
          <w:p>
            <w:pPr>
              <w:pStyle w:val="Compact"/>
              <w:spacing w:line="240" w:lineRule="auto" w:after="0"/>
              <w:jc w:val="left"/>
            </w:pPr>
            <w:r>
              <w:rPr>
                <w:rFonts w:ascii="Times New Roman" w:hAnsi="Times New Roman"/>
                <w:b/>
                <w:sz w:val="20"/>
              </w:rPr>
              <w:t xml:space="preserve">DU,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Abbreviations:</w:t>
      </w:r>
      <w:r>
        <w:t xml:space="preserve"> </w:t>
      </w:r>
      <w:r>
        <w:t xml:space="preserve">BH, Benjamini-Hochberg; DD, down in both diseases; DU, down in Alzheimer’s disease and up in glioblastoma.</w:t>
      </w:r>
    </w:p>
    <w:p>
      <w:pPr>
        <w:pStyle w:val="BodyText"/>
      </w:pPr>
      <w:r>
        <w:rPr>
          <w:iCs/>
          <w:i/>
        </w:rPr>
        <w:t xml:space="preserve">Donor modelling versus age.</w:t>
      </w:r>
      <w:r>
        <w:t xml:space="preserve"> </w:t>
      </w:r>
      <w:r>
        <w:t xml:space="preserve">To separate the two corrections, I held the Braak II versus Braak 0 contrast fixed and varied donor modelling and age independently (Table 6; Supplementary Table S3).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5 is therefore specific to that method. What removes the DD signal is the age term.</w:t>
      </w:r>
    </w:p>
    <w:p>
      <w:pPr>
        <w:pStyle w:val="BodyText"/>
      </w:pPr>
      <w:r>
        <w:rPr>
          <w:bCs/>
          <w:b/>
        </w:rPr>
        <w:t xml:space="preserve">Table 6.</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RRHO2 DU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Top-200 DD overlap (expected 10.4)</w:t>
            </w:r>
          </w:p>
        </w:tc>
        <w:tc>
          <w:tcPr>
            <w:tcBorders>
              <w:bottom w:val="single" w:sz="4" w:color="000000"/>
            </w:tcBorders>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rPr>
          <w:iCs/>
          <w:i/>
        </w:rPr>
        <w:t xml:space="preserve">Abbreviations:</w:t>
      </w:r>
      <w:r>
        <w:t xml:space="preserve"> </w:t>
      </w:r>
      <w:r>
        <w:t xml:space="preserve">DD, down in both diseases; DU, down in Alzheimer’s disease and up in glioblastoma; RRHO2, rank-rank hypergeometric overlap, version 2.</w:t>
      </w:r>
    </w:p>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as recorded in the register,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5"/>
    <w:bookmarkStart w:id="36" w:name="X2162210b22bc55ea5609849fd12b1bc8d4b868a"/>
    <w:p>
      <w:pPr>
        <w:pStyle w:val="Heading3"/>
      </w:pPr>
      <w:r>
        <w:t xml:space="preserve">3.6 Exploratory: stress genes rise independently of composition in an independent AD cohort</w:t>
      </w:r>
    </w:p>
    <w:p>
      <w:pPr>
        <w:pStyle w:val="FirstParagraph"/>
      </w:pPr>
      <w:r>
        <w:t xml:space="preserve">I examined six stress genes taken from the original DD quadrant (CEBPD, FLNA, JUNB, PER1, PFKFB3 and ZFP36L1) in an AD cohort that is not part of the plan (GSE125583, fusiform cortex; 125 advanced AD, 70 controls). Age is balanced between the groups in this cohort (correlation between group and age r = 0.071; Wilcoxon P = 0.373).</w:t>
      </w:r>
    </w:p>
    <w:p>
      <w:pPr>
        <w:pStyle w:val="BodyText"/>
      </w:pPr>
      <w:r>
        <w:t xml:space="preserve">In the model adjusted for age and sex, all 20 genes of the DD signature kept the direction they had in the unadjusted model (log2FC correlation 1.000). All six stress genes were higher in advanced AD, and five reached FDR &lt; 0.05 (JUNB: FDR = 0.083; Supplementary Table S4). With neuron, astrocyte and microglia marker scores added, all six stayed up and five remained significant (log2FC between 0.27 and 0.44; JUNB: FDR = 0.087). Composition adjustment reduced the number of significant genes across the genome from 9,313 to 4,514 (these counts refer to the Ensembl-level matrix and three marker scores, and differ slightly from those in Section 3.4). Most of the genes in the neuronal category lost significance after this adjustment; only NRN1 remained down (log2FC from −1.30 to −0.45), and the direction of the BAIAP2 difference reversed. This fits with the bulk decline of these genes being largely a consequence of neuron loss (correlation between neuron score and group r = −0.42). None of the eight genes in the divergent, tumour-specific category remained significant. The astrocyte score did not differ between groups (r = −0.05).</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6"/>
    <w:bookmarkEnd w:id="37"/>
    <w:bookmarkStart w:id="45" w:name="discussion"/>
    <w:p>
      <w:pPr>
        <w:pStyle w:val="Heading2"/>
      </w:pPr>
      <w:r>
        <w:t xml:space="preserve">4. Discussion</w:t>
      </w:r>
    </w:p>
    <w:bookmarkStart w:id="38"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 discuss in Section 4.3.</w:t>
      </w:r>
    </w:p>
    <w:p>
      <w:pPr>
        <w:pStyle w:val="BodyText"/>
      </w:pPr>
      <w:r>
        <w:t xml:space="preserve">The H1 result also has to be read in the light of its history. The same qualitative result had been obtained in an earlier exploratory analysis of overlapping data (Karakuş, 2026a), so the test in the primary cohort is a re-test under stricter conditions, not an independent confirmation. The replication in GSE125583, a cohort the earlier analysis did not use and whose result was not known when the test was declared, is the more informative evidence.</w:t>
      </w:r>
    </w:p>
    <w:bookmarkEnd w:id="38"/>
    <w:bookmarkStart w:id="39"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(Driver et al., 2012; Musicco et al., 2013). It has encouraged transcriptomic work that looks for shared molecular processes regulated in opposite directions in the two disease groups (Ibáñez et al., 2014). For AD and GBM specifically, studies have proposed oppositely regulated signalling pathways from bulk microarray data (Liu et al., 2013), candidate genes from integrated analyses of bulk and single-cell data (Liu et al., 2025) and mitochondrial markers from single-cell data (Xu et al., 2025).</w:t>
      </w:r>
    </w:p>
    <w:p>
      <w:pPr>
        <w:pStyle w:val="BodyText"/>
      </w:pPr>
      <w:r>
        <w:t xml:space="preserve">My results suggest that shared expression differences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(Kelley et al., 2018), and modelling composition estimates as confounders reduces false associations between AD phenotypes and gene expression (Patrick et al., 2020). The present results suggest that this applies to cross-disease comparisons as well: genes that differ in the same direction from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(Liu et al., 2025; Xu et al., 2025). My findings do not invalidate their conclusions. What they do show is that convergence claims resting on the number of shared bulk DEGs are weak evidence unless composition has been controlled. The earlier exploratory analysis also reported pathway- and transcription-factor-level differences between composition-adjusted AD and GBM signatures (Karakuş, 2026a); these were not part of the pre-specified plan and were not re-tested here.</w:t>
      </w:r>
    </w:p>
    <w:bookmarkEnd w:id="39"/>
    <w:bookmarkStart w:id="40"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0"/>
    <w:bookmarkStart w:id="41"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(Crowell et al., 2020; Squair et al., 2021; Zimmerman et al., 2021). My data fit that literature. But when I separated the two corrections, modelling donor did not remove the DD signal. Adding age did. I had first written that pseudoreplication and the missing age term together produced the signal; the 2 × 2 decomposition, prompted by an external review, showed that this was wrong, and I have corrected it.</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The pre-specified plan is what made these errors visible. Analysis decisions taken after seeing the data raise the false-positive rate (Simmons et al., 2011), and preregistration lowers that risk by separating hypothesis generation from hypothesis testing (Nosek et al., 2018).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taught me that a plan works only if the implementation is checked against it regularly, and that outside readers catch things the author does not: the replication and the decomposition in this paper came from an external review. The audit and the re-analyses were run in an order in which every decision was committed before its results were produced.</w:t>
      </w:r>
    </w:p>
    <w:bookmarkEnd w:id="41"/>
    <w:bookmarkStart w:id="42"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marker-based composition.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(Tomita et al., 2004). Immediate-early genes, the family to which JUNB belongs, can also be induced ex vivo during tissue dissociation in single-cell studies (van den Brink et al., 2017), and a similar artefactual signal, most prominent in microglia, has been found in post-mortem human single-nucleus data (Marsh et al., 2022). With bulk data it is not possible to tell whether the increase reflects the molecular remodelling of reactive astrocytes (Escartin et al., 2021) or technical and agonal factors of this kind. These genes include PFKFB3, a hypoxia-responsive glycolytic regulator, so the observation touches on hypoxia-based accounts of the AD-cancer relationship (Su et al., 2023). My data neither support nor refute such accounts at the level of mechanism; they show only that a shared stress or hypoxia programme is not detectable in the cell types studied here once the analytic problems described above are addressed. The observation is best treated as descriptive, with its cellular source still to be established with single-cell data, and not as evidence for a shared AD-GBM axis.</w:t>
      </w:r>
    </w:p>
    <w:bookmarkEnd w:id="42"/>
    <w:bookmarkStart w:id="43" w:name="limitations"/>
    <w:p>
      <w:pPr>
        <w:pStyle w:val="Heading3"/>
      </w:pPr>
      <w:r>
        <w:t xml:space="preserve">4.6 Limitations</w:t>
      </w:r>
    </w:p>
    <w:p>
      <w:pPr>
        <w:pStyle w:val="FirstParagraph"/>
      </w:pPr>
      <w:r>
        <w:t xml:space="preserve">The primary Stage 1 analysis rests on six donors, all of them male, so the single-cell findings cannot be generalised to women. In the bulk cohorts, sex was included as a covariate, but the study was not designed or powered to test sex differences, and no sex-stratified analyses were performed.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deconvolution methods have their own weaknesses. The MuSiC proportions are not biologically plausible in either cohort (for example, fewer than 1% neurons in control tissue), which is why I do not treat Model C as independent confirmation. There are several possible reasons. The reference is a single-nucleus dataset (Bakken et al., 2021), and a matched comparison in mouse visual cortex found that the nuclear share of total cellular mRNA ranges from about 20% to over 50% depending on the size of the pyramidal neuron (Bakken et al., 2018),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(Avila Cobos et al., 2020).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(Sutton et al., 2022). The marker-based BRETIGEA method (McKenzie et al., 2018) runs into a different problem in tumour tissue: astrocyte-like malignant cells express astrocyte markers (Neftel et al., 2019), so in tumours the astrocyte score partly mixes normal astrocytes with malignant states. GBM tissue also contains variable proportions of immune cells such as macrophages and microglia (Wang et al., 2017).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(Tomita et al., 2004).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30% remained significant after adjustment, so the size of the effect in the meta-cohort should not be generalised; preserving diagnosis as a covariate can inflate significance in later tests when groups are unevenly spread across datasets (Nygaard et al., 2016). The plan’s exclusion criteria for RNA quality and manner of death could not be applied to the GTEx samples.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rests on a time-stamped, pre-specified plan and not on a formal preregistration. Every point where the implementation departed from the plan is recorded in the deviation register, together with the date on which it was found.</w:t>
      </w:r>
    </w:p>
    <w:bookmarkEnd w:id="43"/>
    <w:bookmarkStart w:id="44"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and all but 3.5% of the shared genes in the replication cohort), while about 30% of the AD DEGs remained significant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pre-specified analysis behind them.</w:t>
      </w:r>
    </w:p>
    <w:bookmarkEnd w:id="44"/>
    <w:bookmarkEnd w:id="45"/>
    <w:bookmarkStart w:id="46" w:name="credit-authorship-contribution-statement"/>
    <w:p>
      <w:pPr>
        <w:pStyle w:val="Heading2"/>
      </w:pPr>
      <w:r>
        <w:t xml:space="preserve">CRediT authorship contribution statement</w:t>
      </w:r>
    </w:p>
    <w:p>
      <w:pPr>
        <w:pStyle w:val="FirstParagraph"/>
      </w:pPr>
      <w:r>
        <w:t xml:space="preserve">Ahmet Karakuş: Conceptualization, Methodology, Software, Formal analysis, Investigation, Data curation, Visualization, Writing – original draft, Writing – review &amp; editing.</w:t>
      </w:r>
    </w:p>
    <w:bookmarkEnd w:id="46"/>
    <w:bookmarkStart w:id="47" w:name="declaration-of-competing-interest"/>
    <w:p>
      <w:pPr>
        <w:pStyle w:val="Heading2"/>
      </w:pPr>
      <w:r>
        <w:t xml:space="preserve">Declaration of competing interest</w:t>
      </w:r>
    </w:p>
    <w:p>
      <w:pPr>
        <w:pStyle w:val="FirstParagraph"/>
      </w:pPr>
      <w:r/>
      <w:r>
        <w:rPr>
          <w:highlight w:val="yellow"/>
        </w:rPr>
        <w:t>[CHECK: The author declares that he has no known competing financial interests or personal relationships that could have appeared to influence the work reported in this paper.]</w:t>
      </w:r>
    </w:p>
    <w:bookmarkEnd w:id="47"/>
    <w:bookmarkStart w:id="48" w:name="funding"/>
    <w:p>
      <w:pPr>
        <w:pStyle w:val="Heading2"/>
      </w:pPr>
      <w:r>
        <w:t xml:space="preserve">Funding</w:t>
      </w:r>
    </w:p>
    <w:p>
      <w:pPr>
        <w:pStyle w:val="FirstParagraph"/>
      </w:pPr>
      <w:r/>
      <w:r>
        <w:rPr>
          <w:highlight w:val="yellow"/>
        </w:rPr>
        <w:t>[CHECK: funding statement, or</w:t>
      </w:r>
      <w:r>
        <w:t xml:space="preserve"> </w:t>
      </w:r>
      <w:r>
        <w:t xml:space="preserve">“</w:t>
      </w:r>
      <w:r>
        <w:t xml:space="preserve">This research did not receive any specific grant from funding agencies in the public, commercial, or not-for-profit sectors.</w:t>
      </w:r>
      <w:r>
        <w:t xml:space="preserve">”</w:t>
      </w:r>
      <w:r>
        <w:t xml:space="preserve">]</w:t>
      </w:r>
    </w:p>
    <w:bookmarkEnd w:id="48"/>
    <w:bookmarkStart w:id="49" w:name="verification"/>
    <w:p>
      <w:pPr>
        <w:pStyle w:val="Heading2"/>
      </w:pPr>
      <w:r>
        <w:t xml:space="preserve">Verification</w:t>
      </w:r>
    </w:p>
    <w:p>
      <w:pPr>
        <w:pStyle w:val="FirstParagraph"/>
      </w:pPr>
      <w:r>
        <w:t xml:space="preserve">The corresponding author declares that this work has not been published previously except in the form of a preprint or abstract, that it is not under consideration for publication elsewhere, that its publication has been approved tacitly or explicitly by the responsible authorities where the work was carried out, and that, if accepted, it will not be published elsewhere in the same form, in English or in any other language, including electronically, without the written consent of the copyright holder.</w:t>
      </w:r>
    </w:p>
    <w:bookmarkEnd w:id="49"/>
    <w:bookmarkStart w:id="50" w:name="data-statement"/>
    <w:p>
      <w:pPr>
        <w:pStyle w:val="Heading2"/>
      </w:pPr>
      <w:r>
        <w:t xml:space="preserve">Data statement</w:t>
      </w:r>
    </w:p>
    <w:p>
      <w:pPr>
        <w:pStyle w:val="FirstParagraph"/>
      </w:pPr>
      <w:r>
        <w:t xml:space="preserve">All datasets analysed are publicly available (Table 1). The analysis plan, analysis scripts, deviation register, intermediate results and the facts-sheet script are available at https://github.com/akarakus-bartin/ad-gbm-composition and archived on Zenodo at https://doi.org/10.5281/zenodo.23020912 (Karakuş, 2026b).</w:t>
      </w:r>
    </w:p>
    <w:bookmarkEnd w:id="50"/>
    <w:bookmarkStart w:id="51"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assist with drafting and editing text, writing and reviewing analysis code, and checking references against PubMed, and used ChatGPT (OpenAI) and Kimi (Moonshot AI) to obtain critical reviews of draft versions. All analyses were run, checked and interpreted by the author. After using these tools, the author reviewed and edited the content as needed and takes full responsibility for the content of the published article.</w:t>
      </w:r>
    </w:p>
    <w:bookmarkEnd w:id="51"/>
    <w:bookmarkStart w:id="52" w:name="references"/>
    <w:p>
      <w:pPr>
        <w:pStyle w:val="Heading2"/>
      </w:pPr>
      <w:r>
        <w:t xml:space="preserve">References</w:t>
      </w:r>
    </w:p>
    <w:p>
      <w:pPr>
        <w:pStyle w:val="FirstParagraph"/>
      </w:pPr>
      <w:r>
        <w:t xml:space="preserve">Avila Cobos F, Alquicira-Hernandez J, Powell JE, Mestdagh P, De Preter K. Benchmarking of cell type deconvolution pipelines for transcriptomics data. Nat Commun 2020;11:5650. https://doi.org/10.1038/s41467-020-19015-1.</w:t>
      </w:r>
    </w:p>
    <w:p>
      <w:pPr>
        <w:pStyle w:val="BodyText"/>
      </w:pPr>
      <w:r>
        <w:t xml:space="preserve">Bakken TE, Hodge RD, Miller JA, Yao Z, Nguyen TN, Aevermann B, et al. Single-nucleus and single-cell transcriptomes compared in matched cortical cell types. PLoS One 2018;13:e0209648. https://doi.org/10.1371/journal.pone.0209648.</w:t>
      </w:r>
    </w:p>
    <w:p>
      <w:pPr>
        <w:pStyle w:val="BodyText"/>
      </w:pPr>
      <w:r>
        <w:t xml:space="preserve">Bakken TE, Jorstad NL, Hu Q, Lake BB, Tian W, Kalmbach BE, et al. Comparative cellular analysis of motor cortex in human, marmoset and mouse. Nature 2021;598:111–9. https://doi.org/10.1038/s41586-021-03465-8.</w:t>
      </w:r>
    </w:p>
    <w:p>
      <w:pPr>
        <w:pStyle w:val="BodyText"/>
      </w:pPr>
      <w:r>
        <w:t xml:space="preserve">Benjamini Y, Hochberg Y. Controlling the false discovery rate: a practical and powerful approach to multiple testing. J R Stat Soc Series B Stat Methodol 1995;57:289–300. https://doi.org/10.1111/j.2517-6161.1995.tb02031.x.</w:t>
      </w:r>
    </w:p>
    <w:p>
      <w:pPr>
        <w:pStyle w:val="BodyText"/>
      </w:pPr>
      <w:r>
        <w:t xml:space="preserve">Berchtold NC, Coleman PD, Cribbs DH, Rogers J, Gillen DL, Cotman CW. Synaptic genes are extensively downregulated across multiple brain regions in normal human aging and Alzheimer’s disease. Neurobiol Aging 2013;34:1653–61. https://doi.org/10.1016/j.neurobiolaging.2012.11.024.</w:t>
      </w:r>
    </w:p>
    <w:p>
      <w:pPr>
        <w:pStyle w:val="BodyText"/>
      </w:pPr>
      <w:r>
        <w:t xml:space="preserve">Brennan CW, Verhaak RGW, McKenna A, Campos B, Noushmehr H, Salama SR, et al. The somatic genomic landscape of glioblastoma. Cell 2013;155:462–77. https://doi.org/10.1016/j.cell.2013.09.034.</w:t>
      </w:r>
    </w:p>
    <w:p>
      <w:pPr>
        <w:pStyle w:val="BodyText"/>
      </w:pPr>
      <w:r>
        <w:t xml:space="preserve">Cahill KM, Huo Z, Tseng GC, Logan RW, Seney ML. Improved identification of concordant and discordant gene expression signatures using an updated rank-rank hypergeometric overlap approach. Sci Rep 2018;8:9588. https://doi.org/10.1038/s41598-018-27903-2.</w:t>
      </w:r>
    </w:p>
    <w:p>
      <w:pPr>
        <w:pStyle w:val="BodyText"/>
      </w:pPr>
      <w:r>
        <w:t xml:space="preserve">Chen Y, Lun ATL, Smyth GK. From reads to genes to pathways: differential expression analysis of RNA-Seq experiments using Rsubread and the edgeR quasi-likelihood pipeline. F1000Res 2016;5:1438. https://doi.org/10.12688/f1000research.8987.2.</w:t>
      </w:r>
    </w:p>
    <w:p>
      <w:pPr>
        <w:pStyle w:val="BodyText"/>
      </w:pPr>
      <w:r>
        <w:t xml:space="preserve">Crowell HL, Soneson C, Germain PL, Calini D, Collin L, Raposo C, et al. muscat detects subpopulation-specific state transitions from multi-sample multi-condition single-cell transcriptomics data. Nat Commun 2020;11:6077. https://doi.org/10.1038/s41467-020-19894-4.</w:t>
      </w:r>
    </w:p>
    <w:p>
      <w:pPr>
        <w:pStyle w:val="BodyText"/>
      </w:pPr>
      <w:r>
        <w:t xml:space="preserve">Driver JA, Beiser A, Au R, Kreger BE, Splansky GL, Kurth T, et al. Inverse association between cancer and Alzheimer’s disease: results from the Framingham Heart Study. BMJ 2012;344:e1442. https://doi.org/10.1136/bmj.e1442.</w:t>
      </w:r>
    </w:p>
    <w:p>
      <w:pPr>
        <w:pStyle w:val="BodyText"/>
      </w:pPr>
      <w:r>
        <w:t xml:space="preserve">Escartin C, Galea E, Lakatos A, O’Callaghan JP, Petzold GC, Serrano-Pozo A, et al. Reactive astrocyte nomenclature, definitions, and future directions. Nat Neurosci 2021;24:312–25. https://doi.org/10.1038/s41593-020-00783-4.</w:t>
      </w:r>
    </w:p>
    <w:p>
      <w:pPr>
        <w:pStyle w:val="BodyText"/>
      </w:pPr>
      <w:r>
        <w:t xml:space="preserve">Goldman MJ, Craft B, Hastie M, Repečka K, McDade F, Kamath A, et al. Visualizing and interpreting cancer genomics data via the Xena platform. Nat Biotechnol 2020;38:675–8. https://doi.org/10.1038/s41587-020-0546-8.</w:t>
      </w:r>
    </w:p>
    <w:p>
      <w:pPr>
        <w:pStyle w:val="BodyText"/>
      </w:pPr>
      <w:r>
        <w:t xml:space="preserve">GTEx Consortium. The GTEx Consortium atlas of genetic regulatory effects across human tissues. Science 2020;369:1318–30. https://doi.org/10.1126/science.aaz1776.</w:t>
      </w:r>
    </w:p>
    <w:p>
      <w:pPr>
        <w:pStyle w:val="BodyText"/>
      </w:pPr>
      <w:r>
        <w:t xml:space="preserve">Hokama M, Oka S, Leon J, Ninomiya T, Honda H, Sasaki K, et al. Altered expression of diabetes-related genes in Alzheimer’s disease brains: the Hisayama study. Cereb Cortex 2014;24:2476–88. https://doi.org/10.1093/cercor/bht101.</w:t>
      </w:r>
    </w:p>
    <w:p>
      <w:pPr>
        <w:pStyle w:val="BodyText"/>
      </w:pPr>
      <w:r>
        <w:t xml:space="preserve">Ibáñez K, Boullosa C, Tabarés-Seisdedos R, Baudot A, Valencia A. Molecular evidence for the inverse comorbidity between central nervous system disorders and cancers detected by transcriptomic meta-analyses. PLoS Genet 2014;10:e1004173. https://doi.org/10.1371/journal.pgen.1004173.</w:t>
      </w:r>
    </w:p>
    <w:p>
      <w:pPr>
        <w:pStyle w:val="BodyText"/>
      </w:pPr>
      <w:r>
        <w:t xml:space="preserve">Irizarry RA, Hobbs B, Collin F, Beazer-Barclay YD, Antonellis KJ, Scherf U, et al. Exploration, normalization, and summaries of high density oligonucleotide array probe level data. Biostatistics 2003;4:249–64. https://doi.org/10.1093/biostatistics/4.2.249.</w:t>
      </w:r>
    </w:p>
    <w:p>
      <w:pPr>
        <w:pStyle w:val="BodyText"/>
      </w:pPr>
      <w:r>
        <w:t xml:space="preserve">Johansen N, Quon G. scAlign: a tool for alignment, integration, and rare cell identification from scRNA-seq data. Genome Biol 2019;20:166. https://doi.org/10.1186/s13059-019-1766-4.</w:t>
      </w:r>
    </w:p>
    <w:p>
      <w:pPr>
        <w:pStyle w:val="BodyText"/>
      </w:pPr>
      <w:r>
        <w:t xml:space="preserve">Johnson WE, Li C, Rabinovic A. Adjusting batch effects in microarray expression data using empirical Bayes methods. Biostatistics 2007;8:118–27. https://doi.org/10.1093/biostatistics/kxj037.</w:t>
      </w:r>
    </w:p>
    <w:p>
      <w:pPr>
        <w:pStyle w:val="BodyText"/>
      </w:pPr>
      <w:r>
        <w:t xml:space="preserve">Karakuş A. AD-GBM comparative transcriptomics with cell-type deconvolution [software]. GitHub. 2026a. https://github.com/akarakus-bartin/AD-GBM-deconvolution (accessed 28 September 2026).</w:t>
      </w:r>
    </w:p>
    <w:p>
      <w:pPr>
        <w:pStyle w:val="BodyText"/>
      </w:pPr>
      <w:r>
        <w:t xml:space="preserve">Karakuş A. AD–GBM transcriptomic overlap under cell-composition adjustment: code, pre-specified analysis plan and deviation register. Version v1.0-submission [software]. Zenodo 2026b. https://doi.org/10.5281/zenodo.23020912.</w:t>
      </w:r>
    </w:p>
    <w:p>
      <w:pPr>
        <w:pStyle w:val="BodyText"/>
      </w:pPr>
      <w:r>
        <w:t xml:space="preserve">Kelley KW, Nakao-Inoue H, Molofsky AV, Oldham MC. Variation among intact tissue samples reveals the core transcriptional features of human CNS cell classes. Nat Neurosci 2018;21:1171–84. https://doi.org/10.1038/s41593-018-0216-z.</w:t>
      </w:r>
    </w:p>
    <w:p>
      <w:pPr>
        <w:pStyle w:val="BodyText"/>
      </w:pPr>
      <w:r>
        <w:t xml:space="preserve">Law CW, Chen Y, Shi W, Smyth GK. voom: precision weights unlock linear model analysis tools for RNA-seq read counts. Genome Biol 2014;15:R29. https://doi.org/10.1186/gb-2014-15-2-r29.</w:t>
      </w:r>
    </w:p>
    <w:p>
      <w:pPr>
        <w:pStyle w:val="BodyText"/>
      </w:pPr>
      <w:r>
        <w:t xml:space="preserve">Leek JT, Johnson WE, Parker HS, Jaffe AE, Storey JD. The sva package for removing batch effects and other unwanted variation in high-throughput experiments. Bioinformatics 2012;28:882–3. https://doi.org/10.1093/bioinformatics/bts034.</w:t>
      </w:r>
    </w:p>
    <w:p>
      <w:pPr>
        <w:pStyle w:val="BodyText"/>
      </w:pPr>
      <w:r>
        <w:t xml:space="preserve">Leng K, Li E, Eser R, Piergies A, Sit R, Tan M, et al. Molecular characterization of selectively vulnerable neurons in Alzheimer’s disease. Nat Neurosci 2021;24:276–87. https://doi.org/10.1038/s41593-020-00764-7.</w:t>
      </w:r>
    </w:p>
    <w:p>
      <w:pPr>
        <w:pStyle w:val="BodyText"/>
      </w:pPr>
      <w:r>
        <w:t xml:space="preserve">Liu T, Ren D, Zhu X, Yin Z, Jin G, Zhao Z, et al. Transcriptional signaling pathways inversely regulated in Alzheimer’s disease and glioblastoma multiform. Sci Rep 2013;3:3467. https://doi.org/10.1038/srep03467.</w:t>
      </w:r>
    </w:p>
    <w:p>
      <w:pPr>
        <w:pStyle w:val="BodyText"/>
      </w:pPr>
      <w:r>
        <w:t xml:space="preserve">Liu T, Pu J, Theil S, Liu Y, Jiang L, Liu H, et al. Potential role of TNFRSF12A in linking glioblastoma and Alzheimer’s disease via shared tumour suppressor pathways. Sci Rep 2025;15:21535. https://doi.org/10.1038/s41598-025-08000-7.</w:t>
      </w:r>
    </w:p>
    <w:p>
      <w:pPr>
        <w:pStyle w:val="BodyText"/>
      </w:pPr>
      <w:r>
        <w:t xml:space="preserve">Marsh SE, Walker AJ, Kamath T, Dissing-Olesen L, Hammond TR, de Soysa TY, et al. Dissection of artifactual and confounding glial signatures by single-cell sequencing of mouse and human brain. Nat Neurosci 2022;25:306–16. https://doi.org/10.1038/s41593-022-01022-8.</w:t>
      </w:r>
    </w:p>
    <w:p>
      <w:pPr>
        <w:pStyle w:val="BodyText"/>
      </w:pPr>
      <w:r>
        <w:t xml:space="preserve">McKenzie AT, Wang M, Hauberg ME, Fullard JF, Kozlenkov A, Keenan A, et al. Brain cell type specific gene expression and co-expression network architectures. Sci Rep 2018;8:8868. https://doi.org/10.1038/s41598-018-27293-5.</w:t>
      </w:r>
    </w:p>
    <w:p>
      <w:pPr>
        <w:pStyle w:val="BodyText"/>
      </w:pPr>
      <w:r>
        <w:t xml:space="preserve">Musicco M, Adorni F, Di Santo S, Prinelli F, Pettenati C, Caltagirone C, et al. Inverse occurrence of cancer and Alzheimer disease: a population-based incidence study. Neurology 2013;81:322–8. https://doi.org/10.1212/WNL.0b013e31829c5ec1.</w:t>
      </w:r>
    </w:p>
    <w:p>
      <w:pPr>
        <w:pStyle w:val="BodyText"/>
      </w:pPr>
      <w:r>
        <w:t xml:space="preserve">Neftel C, Laffy J, Filbin MG, Hara T, Shore ME, Rahme GJ, et al. An integrative model of cellular states, plasticity, and genetics for glioblastoma. Cell 2019;178:835–849.e21. https://doi.org/10.1016/j.cell.2019.06.024.</w:t>
      </w:r>
    </w:p>
    <w:p>
      <w:pPr>
        <w:pStyle w:val="BodyText"/>
      </w:pPr>
      <w:r>
        <w:t xml:space="preserve">Nosek BA, Ebersole CR, DeHaven AC, Mellor DT. The preregistration revolution. Proc Natl Acad Sci U S A 2018;115:2600–6. https://doi.org/10.1073/pnas.1708274114.</w:t>
      </w:r>
    </w:p>
    <w:p>
      <w:pPr>
        <w:pStyle w:val="BodyText"/>
      </w:pPr>
      <w:r>
        <w:t xml:space="preserve">Nygaard V, Rødland EA, Hovig E. Methods that remove batch effects while retaining group differences may lead to exaggerated confidence in downstream analyses. Biostatistics 2016;17:29–39. https://doi.org/10.1093/biostatistics/kxv027.</w:t>
      </w:r>
    </w:p>
    <w:p>
      <w:pPr>
        <w:pStyle w:val="BodyText"/>
      </w:pPr>
      <w:r>
        <w:t xml:space="preserve">Patrick E, Taga M, Ergun A, Ng B, Casazza W, Cimpean M, et al. Deconvolving the contributions of cell-type heterogeneity on cortical gene expression. PLoS Comput Biol 2020;16:e1008120. https://doi.org/10.1371/journal.pcbi.1008120.</w:t>
      </w:r>
    </w:p>
    <w:p>
      <w:pPr>
        <w:pStyle w:val="BodyText"/>
      </w:pPr>
      <w:r>
        <w:t xml:space="preserve">Ritchie ME, Phipson B, Wu D, Hu Y, Law CW, Shi W, et al. limma powers differential expression analyses for RNA-sequencing and microarray studies. Nucleic Acids Res 2015;43:e47. https://doi.org/10.1093/nar/gkv007.</w:t>
      </w:r>
    </w:p>
    <w:p>
      <w:pPr>
        <w:pStyle w:val="BodyText"/>
      </w:pPr>
      <w:r>
        <w:t xml:space="preserve">Robinson MD, McCarthy DJ, Smyth GK. edgeR: a Bioconductor package for differential expression analysis of digital gene expression data. Bioinformatics 2010;26:139–40. https://doi.org/10.1093/bioinformatics/btp616.</w:t>
      </w:r>
    </w:p>
    <w:p>
      <w:pPr>
        <w:pStyle w:val="BodyText"/>
      </w:pPr>
      <w:r>
        <w:t xml:space="preserve">Robinson MD, Oshlack A. A scaling normalization method for differential expression analysis of RNA-seq data. Genome Biol 2010;11:R25. https://doi.org/10.1186/gb-2010-11-3-r25.</w:t>
      </w:r>
    </w:p>
    <w:p>
      <w:pPr>
        <w:pStyle w:val="BodyText"/>
      </w:pPr>
      <w:r>
        <w:t xml:space="preserve">Simmons JP, Nelson LD, Simonsohn U. False-positive psychology: undisclosed flexibility in data collection and analysis allows presenting anything as significant. Psychol Sci 2011;22:1359–66. https://doi.org/10.1177/0956797611417632.</w:t>
      </w:r>
    </w:p>
    <w:p>
      <w:pPr>
        <w:pStyle w:val="BodyText"/>
      </w:pPr>
      <w:r>
        <w:t xml:space="preserve">Smyth GK, Michaud J, Scott HS. Use of within-array replicate spots for assessing differential expression in microarray experiments. Bioinformatics 2005;21:2067–75. https://doi.org/10.1093/bioinformatics/bti270.</w:t>
      </w:r>
    </w:p>
    <w:p>
      <w:pPr>
        <w:pStyle w:val="BodyText"/>
      </w:pPr>
      <w:r>
        <w:t xml:space="preserve">Squair JW, Gautier M, Kathe C, Anderson MA, James ND, Hutson TH, et al. Confronting false discoveries in single-cell differential expression. Nat Commun 2021;12:5692. https://doi.org/10.1038/s41467-021-25960-2.</w:t>
      </w:r>
    </w:p>
    <w:p>
      <w:pPr>
        <w:pStyle w:val="BodyText"/>
      </w:pPr>
      <w:r>
        <w:t xml:space="preserve">Srinivasan K, Friedman BA, Etxeberria A, Huntley MA, van der Brug MP, Foreman O, et al. Alzheimer’s patient microglia exhibit enhanced aging and unique transcriptional activation. Cell Rep 2020;31:107843. https://doi.org/10.1016/j.celrep.2020.107843.</w:t>
      </w:r>
    </w:p>
    <w:p>
      <w:pPr>
        <w:pStyle w:val="BodyText"/>
      </w:pPr>
      <w:r>
        <w:t xml:space="preserve">Su Z, Zhang G, Li X, Zhang H. Inverse correlation between Alzheimer’s disease and cancer from the perspective of hypoxia. Neurobiol Aging 2023;131:59–73. https://doi.org/10.1016/j.neurobiolaging.2023.07.002.</w:t>
      </w:r>
    </w:p>
    <w:p>
      <w:pPr>
        <w:pStyle w:val="BodyText"/>
      </w:pPr>
      <w:r>
        <w:t xml:space="preserve">Sutton GJ, Poppe D, Simmons RK, Walsh K, Nawaz U, Lister R, et al. Comprehensive evaluation of deconvolution methods for human brain gene expression. Nat Commun 2022;13:1358. https://doi.org/10.1038/s41467-022-28655-4.</w:t>
      </w:r>
    </w:p>
    <w:p>
      <w:pPr>
        <w:pStyle w:val="BodyText"/>
      </w:pPr>
      <w:r>
        <w:t xml:space="preserve">Tasic B, Yao Z, Graybuck LT, Smith KA, Nguyen TN, Bertagnolli D, et al. Shared and distinct transcriptomic cell types across neocortical areas. Nature 2018;563:72–8. https://doi.org/10.1038/s41586-018-0654-5.</w:t>
      </w:r>
    </w:p>
    <w:p>
      <w:pPr>
        <w:pStyle w:val="BodyText"/>
      </w:pPr>
      <w:r>
        <w:t xml:space="preserve">Tomita H, Vawter MP, Walsh DM, Evans SJ, Choudary PV, Li J, et al. Effect of agonal and postmortem factors on gene expression profile: quality control in microarray analyses of postmortem human brain. Biol Psychiatry 2004;55:346–52. https://doi.org/10.1016/j.biopsych.2003.10.013.</w:t>
      </w:r>
    </w:p>
    <w:p>
      <w:pPr>
        <w:pStyle w:val="BodyText"/>
      </w:pPr>
      <w:r>
        <w:t xml:space="preserve">van den Brink SC, Sage F, Vértesy Á, Spanjaard B, Peterson-Maduro J, Baron CS, et al. Single-cell sequencing reveals dissociation-induced gene expression in tissue subpopulations. Nat Methods 2017;14:935–6. https://doi.org/10.1038/nmeth.4437.</w:t>
      </w:r>
    </w:p>
    <w:p>
      <w:pPr>
        <w:pStyle w:val="BodyText"/>
      </w:pPr>
      <w:r>
        <w:t xml:space="preserve">Venkatesh HS, Morishita W, Geraghty AC, Silverbush D, Gillespie SM, Arzt M, et al. Electrical and synaptic integration of glioma into neural circuits. Nature 2019;573:539–45. https://doi.org/10.1038/s41586-019-1563-y.</w:t>
      </w:r>
    </w:p>
    <w:p>
      <w:pPr>
        <w:pStyle w:val="BodyText"/>
      </w:pPr>
      <w:r>
        <w:t xml:space="preserve">Vivian J, Rao AA, Nothaft FA, Ketchum C, Armstrong J, Novak A, et al. Toil enables reproducible, open source, big biomedical data analyses. Nat Biotechnol 2017;35:314–6. https://doi.org/10.1038/nbt.3772.</w:t>
      </w:r>
    </w:p>
    <w:p>
      <w:pPr>
        <w:pStyle w:val="BodyText"/>
      </w:pPr>
      <w:r>
        <w:t xml:space="preserve">Wang Q, Hu B, Hu X, Kim H, Squatrito M, Scarpace L, et al. Tumor evolution of glioma-intrinsic gene expression subtypes associates with immunological changes in the microenvironment. Cancer Cell 2017;32:42–56.e6. https://doi.org/10.1016/j.ccell.2017.06.003.</w:t>
      </w:r>
    </w:p>
    <w:p>
      <w:pPr>
        <w:pStyle w:val="BodyText"/>
      </w:pPr>
      <w:r>
        <w:t xml:space="preserve">Wang X, Park J, Susztak K, Zhang NR, Li M. Bulk tissue cell type deconvolution with multi-subject single-cell expression reference. Nat Commun 2019;10:380. https://doi.org/10.1038/s41467-018-08023-x.</w:t>
      </w:r>
    </w:p>
    <w:p>
      <w:pPr>
        <w:pStyle w:val="BodyText"/>
      </w:pPr>
      <w:r>
        <w:t xml:space="preserve">Wang J, Roeder K, Devlin B. Bayesian estimation of cell type-specific gene expression with prior derived from single-cell data. Genome Res 2021;31:1807–18. https://doi.org/10.1101/gr.268722.120.</w:t>
      </w:r>
    </w:p>
    <w:p>
      <w:pPr>
        <w:pStyle w:val="BodyText"/>
      </w:pPr>
      <w:r>
        <w:t xml:space="preserve">Wilks C, Zheng SC, Chen FY, Charles R, Solomon B, Ling JP, et al. recount3: summaries and queries for large-scale RNA-seq expression and splicing. Genome Biol 2021;22:323. https://doi.org/10.1186/s13059-021-02533-6.</w:t>
      </w:r>
    </w:p>
    <w:p>
      <w:pPr>
        <w:pStyle w:val="BodyText"/>
      </w:pPr>
      <w:r>
        <w:t xml:space="preserve">Xu X, Wang J, Chen T, Wang S, Wang F, He J, et al. Deciphering novel mitochondrial signatures: multi-omics analysis uncovers cross-disease markers and oligodendrocyte pathways in Alzheimer’s disease and glioblastoma. Front Aging Neurosci 2025;17:1536142. https://doi.org/10.3389/fnagi.2025.1536142.</w:t>
      </w:r>
    </w:p>
    <w:p>
      <w:pPr>
        <w:pStyle w:val="BodyText"/>
      </w:pPr>
      <w:r>
        <w:t xml:space="preserve">Zimmerman KD, Espeland MA, Langefeld CD. A practical solution to pseudoreplication bias in single-cell studies. Nat Commun 2021;12:738. https://doi.org/10.1038/s41467-021-21038-1.</w:t>
      </w:r>
    </w:p>
    <w:bookmarkEnd w:id="52"/>
    <w:bookmarkStart w:id="53"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 Abbreviations: AD, Alzheimer’s disease; DEG, differentially expressed gene; GBM, glioblastoma; GTEx, Genotype-Tissue Expression project; H1 and H2, primary and secondary hypotheses; NPC, neural progenitor cell; OPC, oligodendrocyte precursor cell; RORB, RAR-related orphan receptor B; RRHO2, rank-rank hypergeometric overlap, version 2; TCGA, The Cancer Genome Atlas.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 Abbreviations: AD, Alzheimer’s disease; BA9, Brodmann area 9; BRETIGEA, BRain cEll Type specIfic Gene Expression Analysis; DEG, differentially expressed gene; FDR, false discovery rate; GBM, glioblastoma; MuSiC, MUlti-Subject SIngle Cell deconvolution; OPC, oligodendrocyte precursor cell.</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 Abbreviations: AD, Alzheimer’s disease; DD, down in both; DU, down in AD and up in GBM; GBM, glioblastoma; RRHO2, rank-rank hypergeometric overlap, version 2; UD, up in AD and down in GBM; UU, up in both.</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 Abbreviations: AD, Alzheimer’s disease; BRETIGEA, BRain cEll Type specIfic Gene Expression Analysis; DEG, differentially expressed gene; PC, principal component.</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6. Abbreviations: BH, Benjamini-Hochberg; DD, down in both diseases; DU, down in Alzheimer’s disease and up in glioblastoma; FDR, false discovery rate; log2FC, log2 fold change; RRHO2, rank-rank hypergeometric overlap, version 2.</w:t>
      </w:r>
    </w:p>
    <w:bookmarkEnd w:id="53"/>
    <w:bookmarkStart w:id="54" w:name="supplementary-material"/>
    <w:p>
      <w:pPr>
        <w:pStyle w:val="Heading2"/>
      </w:pPr>
      <w:r>
        <w:t xml:space="preserve">Supplementary material</w:t>
      </w:r>
    </w:p>
    <w:p>
      <w:pPr>
        <w:pStyle w:val="FirstParagraph"/>
      </w:pPr>
      <w:r>
        <w:rPr>
          <w:bCs/>
          <w:b/>
        </w:rPr>
        <w:t xml:space="preserve">Supplementary File 1.</w:t>
      </w:r>
      <w:r>
        <w:t xml:space="preserve"> </w:t>
      </w:r>
      <w:r>
        <w:t xml:space="preserve">Pre-specified analysis plan (Analysis_Plan_v1, git commit 3fcf8d1, 20 September 2026).</w:t>
      </w:r>
    </w:p>
    <w:p>
      <w:pPr>
        <w:pStyle w:val="BodyText"/>
      </w:pPr>
      <w:r>
        <w:rPr>
          <w:bCs/>
          <w:b/>
        </w:rPr>
        <w:t xml:space="preserve">Supplementary File 2.</w:t>
      </w:r>
      <w:r>
        <w:t xml:space="preserve"> </w:t>
      </w:r>
      <w:r>
        <w:t xml:space="preserve">Deviation register (DEVIATIONS), with the date, reason and affected analyses of every departure from the plan.</w:t>
      </w:r>
    </w:p>
    <w:p>
      <w:pPr>
        <w:pStyle w:val="BodyText"/>
      </w:pPr>
      <w:r>
        <w:rPr>
          <w:bCs/>
          <w:b/>
        </w:rPr>
        <w:t xml:space="preserve">Supplementary Tables S1–S4</w:t>
      </w:r>
      <w:r>
        <w:t xml:space="preserve"> </w:t>
      </w:r>
      <w:r>
        <w:t xml:space="preserve">(single Excel file, one sheet per table). Table S1a: the 1,458 shared DEGs of the primary analysis, with log2FC and FDR in both cohorts under Models A, B and C. Table S1b: the 3,912 shared DEGs of the replication analysis (GSE125583), with estimates under Models A and B and an indicator for the 138 genes that remained shared after adjustment. Table S1c: the 150 genes that were shared only after adjustment. Table S2: correlations of the 50 BRETIGEA astrocyte markers with the astrocyte score in the GBM cohort, in all samples, tumours and controls. Table S3: RRHO2 quadrant maxima, positions, adjusted P values and quadrant boundaries for all Stage 3 analyses (S3a), the donor × age decomposition (S3b) and the GBM limma-trend sensitivity analysis (S3c). Table S4: the DD-signature and stress genes in GSE125583 under the unadjusted, age- and sex-adjusted and composition-adjusted models. Abbreviations: BRETIGEA, BRain cEll Type specIfic Gene Expression Analysis; DD, down in both diseases; DEG, differentially expressed gene; FDR, false discovery rate; GBM, glioblastoma; log2FC, log2 fold change; RRHO2, rank-rank hypergeometric overlap, version 2.</w:t>
      </w:r>
    </w:p>
    <w:p>
      <w:pPr>
        <w:pStyle w:val="BodyText"/>
      </w:pPr>
      <w:r>
        <w:rPr>
          <w:bCs/>
          <w:b/>
        </w:rPr>
        <w:t xml:space="preserve">Figure S1.</w:t>
      </w:r>
      <w:r>
        <w:t xml:space="preserve"> </w:t>
      </w:r>
      <w:r>
        <w:t xml:space="preserve">Replication of H1. Genes at FDR &lt; 0.05 under Model A (unadjusted) and Model B (with BRETIGEA scores) in the primary AD meta-cohort and in the replication cohort (GSE125583), shown separately for AD DEGs and for DEGs shared with the GBM cohort. The ratio of the Model B count to the Model A count is shown in each panel; this compares counts, not genes (see Section 3.4 for gene-level overlap). Abbreviations: AD, Alzheimer’s disease; BRETIGEA, BRain cEll Type specIfic Gene Expression Analysis; DEG, differentially expressed gene; FDR, false discovery rate; GBM, glioblastoma; H1, primary hypothesis.</w:t>
      </w:r>
    </w:p>
    <w:bookmarkEnd w:id="54"/>
    <w:bookmarkEnd w:id="55"/>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2026-09-28T18:01:03Z</dcterms:created>
  <dcterms:modified xsi:type="dcterms:W3CDTF">2026-09-28T18:01:03Z</dcterms:modified>
</cp:coreProperties>
</file>

<file path=docProps/custom.xml><?xml version="1.0" encoding="utf-8"?>
<Properties xmlns="http://schemas.openxmlformats.org/officeDocument/2006/custom-properties" xmlns:vt="http://schemas.openxmlformats.org/officeDocument/2006/docPropsVTypes"/>
</file>