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Shared transcriptomic signatures of Alzheimer’s disease and glioblastoma dissolve under cell-composition control: a pre-specified re-evaluation</w:t>
      </w:r>
    </w:p>
    <w:bookmarkStart w:id="21" w:name="giriş"/>
    <w:p>
      <w:pPr>
        <w:pStyle w:val="Heading1"/>
      </w:pPr>
      <w:r>
        <w:t xml:space="preserve">1. Giriş</w:t>
      </w:r>
    </w:p>
    <w:p>
      <w:pPr>
        <w:pStyle w:val="FirstParagraph"/>
      </w:pPr>
      <w:r>
        <w:t xml:space="preserve">Alzheimer hastalığı (AH) ile kanser arasında ters yönlü bir epidemiyolojik ilişki bildirilmiştir. Prospektif bir kohortta kanserden sağ kalanlarda AH riskinin, AH tanılı bireylerde ise sonraki kanser riskinin daha düşük olduğu gözlenmiş [1], benzer bir örüntü popülasyon tabanlı bir insidans çalışmasında da tekrarlanmıştır [2]. Bu gözlemler, nörodejenerasyon ile tümör gelişiminin ters yönde düzenlenen ortak moleküler süreçleri paylaşabileceği hipotezini doğurmuş ve merkezi sinir sistemi hastalıkları ile çeşitli kanser türleri arasında transkriptomik düzeyde ters yönlü örtüşmeler arayan çalışmaları teşvik etmiştir [3].</w:t>
      </w:r>
    </w:p>
    <w:p>
      <w:pPr>
        <w:pStyle w:val="BodyText"/>
      </w:pPr>
      <w:r>
        <w:t xml:space="preserve">Glioblastoma multiforme (GBM), aynı organda ortaya çıktığı için bu soruyu AH ile karşılaştırmalı olarak incelemek açısından özellikle ilgi çekici bir modeldir. AH ve GBM arasında bulk mikroarray verilerinden ters yönde düzenlenen sinyal yolakları tanımlanmış [4]; daha yakın tarihli çalışmalar bulk ve tek hücre transkriptomik verilerini Mendel randomizasyonu ve işlevsel deneylerle birleştirerek aday genler önermiş [5] ya da tek hücre verilerinden hastalıklar arası mitokondriyal belirteçler türetmiştir [6]. Bu çalışmaların önemli bir bölümünün başlangıç noktası, iki hastalıkta kontrollere göre benzer veya ters yönde değişen genlerin bulk doku düzeyinde karşılaştırılmasıdır.</w:t>
      </w:r>
    </w:p>
    <w:p>
      <w:pPr>
        <w:pStyle w:val="BodyText"/>
      </w:pPr>
      <w:r>
        <w:t xml:space="preserve">Bulk doku karşılaştırmalarının yorumlanmasını zorlaştıran temel bir etken hücre kompozisyonudur. AH’de nöron kaybı ve glial yanıt, GBM’de ise malign hücrelerin normal beyin dokusunun yerini alması, iki hastalıkta da dokunun hücresel bileşimini köklü biçimde değiştirir. Bozulmamış beyin dokusu örneklerindeki gen ifadesi kovaryasyonunun büyük ölçüde hücre kompozisyonu farklılıkları tarafından belirlendiği [7] ve kompozisyon tahminlerinin karıştırıcı olarak modele alınmasının AH fenotipleri ile gen ifadesi arasındaki yanlış ilişkileri azalttığı gösterilmiştir [8]. Bu nedenle, iki hastalıkta birlikte değişen genlerin bir kısmı, ortak bir hastalık programından çok, iki dokuda benzer yönde değişen hücre tipi oranlarını yansıtıyor olabilir. Örneğin nöron oranı azalan iki dokuda nöronal genlerin birlikte azalması, hücre içi bir değişiklik olmadan da bulk düzeyde</w:t>
      </w:r>
      <w:r>
        <w:t xml:space="preserve"> </w:t>
      </w:r>
      <w:r>
        <w:t xml:space="preserve">“</w:t>
      </w:r>
      <w:r>
        <w:t xml:space="preserve">paylaşılan</w:t>
      </w:r>
      <w:r>
        <w:t xml:space="preserve">”</w:t>
      </w:r>
      <w:r>
        <w:t xml:space="preserve"> </w:t>
      </w:r>
      <w:r>
        <w:t xml:space="preserve">bir imza olarak görünebilir. Bu çalışmanın motivasyonu da yazarın daha önceki bir bulk analizinde gözlenen paylaşılan gen imzasının kompozisyon kontrolü altında korunup korunmadığı sorusudur </w:t>
      </w:r>
      <w:r>
        <w:rPr>
          <w:highlight w:val="yellow"/>
        </w:rPr>
        <w:t>[KONTROL: önceki analizin yayın durumu ve atfı]</w:t>
      </w:r>
      <w:r>
        <w:rPr/>
        <w:t>.</w:t>
      </w:r>
    </w:p>
    <w:p>
      <w:pPr>
        <w:pStyle w:val="BodyText"/>
      </w:pPr>
      <w:r>
        <w:t xml:space="preserve">Bulk düzeydeki paylaşılan sinyalin tamamen kompozisyonel olmaması durumunda, hücre-tipi düzeyinde anlamlı bir karşılığı olup olmadığı ikinci bir sorudur. AH’de entorinal korteksin RORB ifade eden eksitatör nöronlarının hastalığın erken evrelerinde seçici olarak kaybolduğu gösterilmiştir [9]. GBM’de ise malign hücrelerin bir kısmı nöral öncü ve oligodendrosit öncü hücrelerine benzeyen (NPC-benzeri ve OPC-benzeri) transkripsiyonel durumlarda bulunmaktadır [10], ve glioma hücrelerinin nöronlarla sinaptik bağlantılar kurarak nöral devrelere entegre olabildiği bildirilmiştir [11]. Bu gözlemler, bulk düzeyde görülen nöronal program örtüşmesinin, AH’de kaybolan savunmasız nöron kimliği ile GBM’nin nöral taklit durumları arasındaki gerçek bir transkripsiyonel benzerliği yansıtıp yansıtmadığı sorusunu gündeme getirmektedir.</w:t>
      </w:r>
    </w:p>
    <w:p>
      <w:pPr>
        <w:pStyle w:val="BodyText"/>
      </w:pPr>
      <w:r>
        <w:t xml:space="preserve">Bu çalışmada bu iki soru, veri analizinden önce belirlenmiş bir analiz planı çerçevesinde sınanmıştır. Birincil hipotez (H1), bulk düzeyde paylaşılan farklı ifade edilen genlerin (DEG), iki bağımsız dekonvolüsyon yöntemiyle hücre kompozisyonu kontrol edildiğinde belirgin biçimde azalacağını öngörmektedir. İkincil hipotez (H2), kalan sinyalin AH savunmasız nöron imzası ile GBM nöral taklit imzası arasındaki örtüşmeyi yansıttığını öngörmekte ve üç tamamlayıcı yakınsama testiyle sınanmaktadır. Veriyi gördükten sonra alınan analiz kararlarının yanlış pozitif oranını artırabildiği bilindiğinden [12], hipotezler, eşikler, karar kuralları ve iki olası sonuç için yayın çerçeveleri analizden önce tanımlanmış [13]; plandan tüm sapmalar tarihli bir sapma kaydında belgelenmiştir. Tek hücre verilerinde donörler arası karşılaştırmaların donör düzeyinde yapılması gerektiği göz önünde bulundurularak [14], analizin uygulamasının plana uygunluğu da çalışma süresince denetlenmiş ve bu denetimde saptanan uygulama farklılıklarının sonuçlar üzerindeki etkisi ayrıca raporlanmıştır.</w:t>
      </w:r>
    </w:p>
    <w:bookmarkStart w:id="20" w:name="kaynaklar"/>
    <w:p>
      <w:pPr>
        <w:pStyle w:val="Heading2"/>
      </w:pPr>
      <w:r>
        <w:t xml:space="preserve">Kaynaklar</w:t>
      </w:r>
    </w:p>
    <w:p>
      <w:pPr>
        <w:numPr>
          <w:ilvl w:val="0"/>
          <w:numId w:val="1001"/>
        </w:numPr>
        <w:pStyle w:val="Compact"/>
      </w:pPr>
      <w:r>
        <w:t xml:space="preserve">Driver JA, Beiser A, Au R, et al. Inverse association between cancer and Alzheimer’s disease: results from the Framingham Heart Study. BMJ. 2012;344:e1442. doi:10.1136/bmj.e1442</w:t>
      </w:r>
    </w:p>
    <w:p>
      <w:pPr>
        <w:numPr>
          <w:ilvl w:val="0"/>
          <w:numId w:val="1001"/>
        </w:numPr>
        <w:pStyle w:val="Compact"/>
      </w:pPr>
      <w:r>
        <w:t xml:space="preserve">Musicco M, Adorni F, Di Santo S, et al. Inverse occurrence of cancer and Alzheimer disease: a population-based incidence study. Neurology. 2013;81(4):322-328. doi:10.1212/WNL.0b013e31829c5ec1</w:t>
      </w:r>
    </w:p>
    <w:p>
      <w:pPr>
        <w:numPr>
          <w:ilvl w:val="0"/>
          <w:numId w:val="1001"/>
        </w:numPr>
        <w:pStyle w:val="Compact"/>
      </w:pPr>
      <w:r>
        <w:t xml:space="preserve">Ibáñez K, Boullosa C, Tabarés-Seisdedos R, Baudot A, Valencia A. Molecular evidence for the inverse comorbidity between central nervous system disorders and cancers detected by transcriptomic meta-analyses. PLoS Genet. 2014;10(2):e1004173. doi:10.1371/journal.pgen.1004173</w:t>
      </w:r>
    </w:p>
    <w:p>
      <w:pPr>
        <w:numPr>
          <w:ilvl w:val="0"/>
          <w:numId w:val="1001"/>
        </w:numPr>
        <w:pStyle w:val="Compact"/>
      </w:pPr>
      <w:r>
        <w:t xml:space="preserve">Liu T, Ren D, Zhu X, et al. Transcriptional signaling pathways inversely regulated in Alzheimer’s disease and glioblastoma multiform. Sci Rep. 2013;3:3467. doi:10.1038/srep03467</w:t>
      </w:r>
    </w:p>
    <w:p>
      <w:pPr>
        <w:numPr>
          <w:ilvl w:val="0"/>
          <w:numId w:val="1001"/>
        </w:numPr>
        <w:pStyle w:val="Compact"/>
      </w:pPr>
      <w:r>
        <w:t xml:space="preserve">Liu T, Pu J, Theil S, et al. Potential role of TNFRSF12A in linking glioblastoma and Alzheimer’s disease via shared tumour suppressor pathways. Sci Rep. 2025;15(1):21535. doi:10.1038/s41598-025-08000-7</w:t>
      </w:r>
    </w:p>
    <w:p>
      <w:pPr>
        <w:numPr>
          <w:ilvl w:val="0"/>
          <w:numId w:val="1001"/>
        </w:numPr>
        <w:pStyle w:val="Compact"/>
      </w:pPr>
      <w:r>
        <w:t xml:space="preserve">Xu X, Wang J, Chen T, et al. Deciphering novel mitochondrial signatures: multi-omics analysis uncovers cross-disease markers and oligodendrocyte pathways in Alzheimer’s disease and glioblastoma. Front Aging Neurosci. 2025;17:1536142. doi:10.3389/fnagi.2025.1536142</w:t>
      </w:r>
    </w:p>
    <w:p>
      <w:pPr>
        <w:numPr>
          <w:ilvl w:val="0"/>
          <w:numId w:val="1001"/>
        </w:numPr>
        <w:pStyle w:val="Compact"/>
      </w:pPr>
      <w:r>
        <w:t xml:space="preserve">Kelley KW, Nakao-Inoue H, Molofsky AV, Oldham MC. Variation among intact tissue samples reveals the core transcriptional features of human CNS cell classes. Nat Neurosci. 2018;21(9):1171-1184. doi:10.1038/s41593-018-0216-z</w:t>
      </w:r>
    </w:p>
    <w:p>
      <w:pPr>
        <w:numPr>
          <w:ilvl w:val="0"/>
          <w:numId w:val="1001"/>
        </w:numPr>
        <w:pStyle w:val="Compact"/>
      </w:pPr>
      <w:r>
        <w:t xml:space="preserve">Patrick E, Taga M, Ergun A, et al. Deconvolving the contributions of cell-type heterogeneity on cortical gene expression. PLoS Comput Biol. 2020;16(8):e1008120. doi:10.1371/journal.pcbi.1008120</w:t>
      </w:r>
    </w:p>
    <w:p>
      <w:pPr>
        <w:numPr>
          <w:ilvl w:val="0"/>
          <w:numId w:val="1001"/>
        </w:numPr>
        <w:pStyle w:val="Compact"/>
      </w:pPr>
      <w:r>
        <w:t xml:space="preserve">Leng K, Li E, Eser R, et al. Molecular characterization of selectively vulnerable neurons in Alzheimer’s disease. Nat Neurosci. 2021;24(2):276-287. doi:10.1038/s41593-020-00764-7</w:t>
      </w:r>
    </w:p>
    <w:p>
      <w:pPr>
        <w:numPr>
          <w:ilvl w:val="0"/>
          <w:numId w:val="1001"/>
        </w:numPr>
        <w:pStyle w:val="Compact"/>
      </w:pPr>
      <w:r>
        <w:t xml:space="preserve">Neftel C, Laffy J, Filbin MG, et al. An integrative model of cellular states, plasticity, and genetics for glioblastoma. Cell. 2019;178(4):835-849.e21. doi:10.1016/j.cell.2019.06.024</w:t>
      </w:r>
    </w:p>
    <w:p>
      <w:pPr>
        <w:numPr>
          <w:ilvl w:val="0"/>
          <w:numId w:val="1001"/>
        </w:numPr>
        <w:pStyle w:val="Compact"/>
      </w:pPr>
      <w:r>
        <w:t xml:space="preserve">Venkatesh HS, Morishita W, Geraghty AC, et al. Electrical and synaptic integration of glioma into neural circuits. Nature. 2019;573(7775):539-545. doi:10.1038/s41586-019-1563-y</w:t>
      </w:r>
    </w:p>
    <w:p>
      <w:pPr>
        <w:numPr>
          <w:ilvl w:val="0"/>
          <w:numId w:val="1001"/>
        </w:numPr>
        <w:pStyle w:val="Compact"/>
      </w:pPr>
      <w:r>
        <w:t xml:space="preserve">Simmons JP, Nelson LD, Simonsohn U. False-positive psychology: undisclosed flexibility in data collection and analysis allows presenting anything as significant. Psychol Sci. 2011;22(11):1359-1366. doi:10.1177/0956797611417632</w:t>
      </w:r>
    </w:p>
    <w:p>
      <w:pPr>
        <w:numPr>
          <w:ilvl w:val="0"/>
          <w:numId w:val="1001"/>
        </w:numPr>
        <w:pStyle w:val="Compact"/>
      </w:pPr>
      <w:r>
        <w:t xml:space="preserve">Nosek BA, Ebersole CR, DeHaven AC, Mellor DT. The preregistration revolution. Proc Natl Acad Sci U S A. 2018;115(11):2600-2606. doi:10.1073/pnas.1708274114</w:t>
      </w:r>
    </w:p>
    <w:p>
      <w:pPr>
        <w:numPr>
          <w:ilvl w:val="0"/>
          <w:numId w:val="1001"/>
        </w:numPr>
        <w:pStyle w:val="Compact"/>
      </w:pPr>
      <w:r>
        <w:t xml:space="preserve">Squair JW, Gautier M, Kathe C, et al. Confronting false discoveries in single-cell differential expression. Nat Commun. 2021;12(1):5692. doi:10.1038/s41467-021-25960-2</w:t>
      </w:r>
    </w:p>
    <w:bookmarkEnd w:id="20"/>
    <w:bookmarkEnd w:id="21"/>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2026-09-28T09:13:12Z</dcterms:created>
  <dcterms:modified xsi:type="dcterms:W3CDTF">2026-09-28T09:13:12Z</dcterms:modified>
</cp:coreProperties>
</file>

<file path=docProps/custom.xml><?xml version="1.0" encoding="utf-8"?>
<Properties xmlns="http://schemas.openxmlformats.org/officeDocument/2006/custom-properties" xmlns:vt="http://schemas.openxmlformats.org/officeDocument/2006/docPropsVTypes"/>
</file>