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Shared transcriptomic signatures of Alzheimer’s disease and glioblastoma dissolve under cell-composition control: a pre-specified re-evaluation</w:t>
      </w:r>
    </w:p>
    <w:bookmarkStart w:id="20" w:name="özet"/>
    <w:p>
      <w:pPr>
        <w:pStyle w:val="Heading1"/>
      </w:pPr>
      <w:r>
        <w:t xml:space="preserve">Özet</w:t>
      </w:r>
    </w:p>
    <w:p>
      <w:pPr>
        <w:pStyle w:val="FirstParagraph"/>
      </w:pPr>
      <w:r>
        <w:rPr>
          <w:bCs/>
          <w:b/>
        </w:rPr>
        <w:t xml:space="preserve">Arka plan:</w:t>
      </w:r>
      <w:r>
        <w:t xml:space="preserve"> </w:t>
      </w:r>
      <w:r>
        <w:t xml:space="preserve">Alzheimer hastalığı (AH) ile kanser arasındaki ters epidemiyolojik ilişki, AH ile glioblastoma multiforme (GBM) arasında paylaşılan transkriptomik imzalar arayan çalışmaları teşvik etmiştir. Ancak iki hastalıkta da dokunun hücresel bileşimi köklü biçimde değiştiğinden, bulk düzeyde paylaşılan ifade değişiklikleri hücre kompozisyonunu yansıtıyor olabilir.</w:t>
      </w:r>
    </w:p>
    <w:p>
      <w:pPr>
        <w:pStyle w:val="BodyText"/>
      </w:pPr>
      <w:r>
        <w:rPr>
          <w:bCs/>
          <w:b/>
        </w:rPr>
        <w:t xml:space="preserve">Yöntem:</w:t>
      </w:r>
      <w:r>
        <w:t xml:space="preserve"> </w:t>
      </w:r>
      <w:r>
        <w:t xml:space="preserve">Hipotezler, eşikler ve karar kuralları veri analizinden önce zaman damgalı bir analiz planında tanımlanmıştır. Birincil hipotez (H1) için AH hipokampus meta-kohortunda (n = 51) ve TCGA-GBM/GTEx kohortunda (152 tümör, 186 kontrol) paylaşılan farklı ifade edilen genler (DEG), kompozisyon düzeltmesiz ve iki dekonvolüsyon yöntemiyle (BRETIGEA, MuSiC) düzeltilmiş modellerde karşılaştırılmıştır. İkincil hipotez (H2) için AH’de savunmasız RORB+ entorinal korteks nöronlarının donör düzeyindeki imzası ile GBM’nin nöral taklit durumlarının imzası arasındaki örtüşme üç ön-belirlenmiş testle sınanmıştır. Uygulamanın plana uygunluğu denetlenmiş ve tüm sapmalar kayda geçirilmiştir.</w:t>
      </w:r>
    </w:p>
    <w:p>
      <w:pPr>
        <w:pStyle w:val="BodyText"/>
      </w:pPr>
      <w:r>
        <w:rPr>
          <w:bCs/>
          <w:b/>
        </w:rPr>
        <w:t xml:space="preserve">Bulgular:</w:t>
      </w:r>
      <w:r>
        <w:t xml:space="preserve"> </w:t>
      </w:r>
      <w:r>
        <w:t xml:space="preserve">Düzeltmesiz modeldeki 1.458 paylaşılan DEG, her iki yöntemle yapılan kompozisyon düzeltmesinden sonra sıfıra inmiş ve H1 desteklenmiştir. Gürültü kovaryatlarıyla yapılan negatif kontrol, bu azalmanın istatistiksel güç kaybıyla açıklanamadığını göstermiştir. H2, plana uygun analizde ve tüm alternatif analizlerde üç testin hiçbirini geçememiş ve reddedilmiştir. Orijinal analizde görülen yakınsama benzeri bir sinyalin, aynı donöre ait örneklerin bağımsız kabul edilmesinden (anlamlı gen sayısı donör düzeyinde çıkarımla 486’dan 0–27’ye) ve yaş kovaryatının atlanmasından kaynaklandığı saptanmıştır.</w:t>
      </w:r>
    </w:p>
    <w:p>
      <w:pPr>
        <w:pStyle w:val="BodyText"/>
      </w:pPr>
      <w:r>
        <w:rPr>
          <w:bCs/>
          <w:b/>
        </w:rPr>
        <w:t xml:space="preserve">Sonuç:</w:t>
      </w:r>
      <w:r>
        <w:t xml:space="preserve"> </w:t>
      </w:r>
      <w:r>
        <w:t xml:space="preserve">AH ile GBM arasında bulk düzeyde paylaşılan transkriptomik imzalar kompozisyon kontrolüne dayanıklı değildir ve mevcut istatistiksel güçle hücre-tipi düzeyinde saptanabilir bir yakınsama gösterilememiştir. Hastalıklar arası transkriptomik karşılaştırmalarda kompozisyon kontrolü ve donör düzeyinde çıkarım temel gerekliliklerdir.</w:t>
      </w:r>
    </w:p>
    <w:p>
      <w:pPr>
        <w:pStyle w:val="BodyText"/>
      </w:pPr>
      <w:r>
        <w:rPr>
          <w:bCs/>
          <w:b/>
        </w:rPr>
        <w:t xml:space="preserve">Anahtar kelimeler:</w:t>
      </w:r>
      <w:r>
        <w:t xml:space="preserve"> </w:t>
      </w:r>
      <w:r>
        <w:t xml:space="preserve">Alzheimer hastalığı; glioblastoma; hücre kompozisyonu; dekonvolüsyon; psödo-replikasyon; ön-belirlenmiş analiz</w:t>
      </w:r>
    </w:p>
    <w:bookmarkEnd w:id="20"/>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cs="Times New Roman" w:eastAsia="Times New Roman"/>
      <w:color w:val="000000"/>
      <w:sz w:val="24"/>
    </w:rPr>
  </w:style>
  <w:style w:styleId="BodyText" w:type="paragraph">
    <w:name w:val="Body Text"/>
    <w:basedOn w:val="Normal"/>
    <w:link w:val="BodyTextChar"/>
    <w:pPr>
      <w:spacing w:after="120" w:before="180" w:line="360" w:lineRule="auto"/>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360" w:lineRule="auto" w:after="120"/>
    </w:pPr>
    <w:rPr>
      <w:rFonts w:ascii="Times New Roman" w:hAnsi="Times New Roman" w:cs="Times New Roman" w:eastAsia="Times New Roman"/>
      <w:color w:val="000000"/>
      <w:sz w:val="24"/>
    </w:rPr>
  </w:style>
  <w:style w:customStyle="1" w:styleId="Compact" w:type="paragraph">
    <w:name w:val="Compact"/>
    <w:basedOn w:val="BodyText"/>
    <w:qFormat/>
    <w:pPr>
      <w:spacing w:after="120" w:before="36" w:line="36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76" w:lineRule="auto"/>
      <w:outlineLvl w:val="0"/>
    </w:pPr>
    <w:rPr>
      <w:rFonts w:ascii="Times New Roman" w:hAnsi="Times New Roman" w:cs="Times New Roman" w:eastAsia="Times New Roman"/>
      <w:b/>
      <w:bCs/>
      <w:color w:val="000000"/>
      <w:sz w:val="28"/>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hAnsi="Times New Roman" w:cs="Times New Roman" w:eastAsia="Times New Roman"/>
      <w:b/>
      <w:bCs/>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2026-09-28T09:17:47Z</dcterms:created>
  <dcterms:modified xsi:type="dcterms:W3CDTF">2026-09-28T09:17:47Z</dcterms:modified>
</cp:coreProperties>
</file>

<file path=docProps/custom.xml><?xml version="1.0" encoding="utf-8"?>
<Properties xmlns="http://schemas.openxmlformats.org/officeDocument/2006/custom-properties" xmlns:vt="http://schemas.openxmlformats.org/officeDocument/2006/docPropsVTypes"/>
</file>