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p>
    <w:p>
      <w:pPr>
        <w:pStyle w:val="BodyText"/>
        <w:jc w:val="center"/>
      </w:pPr>
      <w:r>
        <w:t xml:space="preserve">Bartın University, Bartın, Türkiye </w:t>
      </w:r>
      <w:r>
        <w:rPr>
          <w:highlight w:val="yellow"/>
        </w:rPr>
        <w:t>[CHECK: department and full affiliation]</w:t>
      </w:r>
    </w:p>
    <w:p>
      <w:pPr>
        <w:pStyle w:val="BodyText"/>
        <w:jc w:val="center"/>
      </w:pPr>
      <w:r>
        <w:t xml:space="preserve">Correspondence: akarakus@bartin.edu.tr</w:t>
      </w:r>
    </w:p>
    <w:bookmarkStart w:id="20" w:name="abstract"/>
    <w:p>
      <w:pPr>
        <w:pStyle w:val="Heading2"/>
      </w:pPr>
      <w:r>
        <w:t xml:space="preserve">Abstract</w:t>
      </w:r>
    </w:p>
    <w:p>
      <w:pPr>
        <w:pStyle w:val="FirstParagraph"/>
      </w:pPr>
      <w:r>
        <w:rPr>
          <w:bCs/>
          <w:b/>
        </w:rPr>
        <w:t xml:space="preserve">Background:</w:t>
      </w:r>
      <w:r>
        <w:t xml:space="preserve"> </w:t>
      </w:r>
      <w:r>
        <w:t xml:space="preserve">The inverse association between Alzheimer’s disease (AD) and cancer has motivated searches for transcriptomic signatures shared by AD and glioblastoma (GBM). Both diseases reshape brain tissue composition, so genes that change together in bulk samples may simply track cell composition.</w:t>
      </w:r>
    </w:p>
    <w:p>
      <w:pPr>
        <w:pStyle w:val="BodyText"/>
      </w:pPr>
      <w:r>
        <w:rPr>
          <w:bCs/>
          <w:b/>
        </w:rPr>
        <w:t xml:space="preserve">Methods:</w:t>
      </w:r>
      <w:r>
        <w:t xml:space="preserve"> </w:t>
      </w:r>
      <w:r>
        <w:t xml:space="preserve">Hypotheses and decision rules were fixed in a time-stamped plan before analysis. For the primary hypothesis (H1), I compared shared differentially expressed genes (DEGs) between a hippocampal AD meta-cohort (n = 51) and TCGA-GBM/GTEx (n = 338), with and without covariates from two deconvolution methods (BRETIGEA, and MuSiC replacing the planned bMIND), and repeated the BRETIGEA test in an independent AD cohort (n = 195). For the secondary hypothesis (H2), three pre-specified tests asked whether vulnerable RORB+ entorhinal neurons and GBM neural-like malignant states share a signature. Every deviation from the plan was recorded.</w:t>
      </w:r>
    </w:p>
    <w:p>
      <w:pPr>
        <w:pStyle w:val="BodyText"/>
      </w:pPr>
      <w:r>
        <w:rPr>
          <w:bCs/>
          <w:b/>
        </w:rPr>
        <w:t xml:space="preserve">Results:</w:t>
      </w:r>
      <w:r>
        <w:t xml:space="preserve"> </w:t>
      </w:r>
      <w:r>
        <w:t xml:space="preserve">The 1,458 shared DEGs fell to zero with BRETIGEA adjustment, so H1 was supported; MuSiC gave the same count but implausible proportions. Independent noise covariates did not reproduce the loss, but components from random genes, which also captured composition, did. In the independent cohort, BRETIGEA adjustment kept 46% of AD DEGs but only 7% of shared DEGs (3,912 to 288). With three donors per group, H2 failed all three tests in every analysis. A convergence-like signal in the original analysis disappeared when age, but not donor, was modelled; pseudoreplication separately inflated significant genes (486 versus 0–27).</w:t>
      </w:r>
    </w:p>
    <w:p>
      <w:pPr>
        <w:pStyle w:val="BodyText"/>
      </w:pPr>
      <w:r>
        <w:rPr>
          <w:bCs/>
          <w:b/>
        </w:rPr>
        <w:t xml:space="preserve">Conclusions:</w:t>
      </w:r>
      <w:r>
        <w:t xml:space="preserve"> </w:t>
      </w:r>
      <w:r>
        <w:t xml:space="preserve">In two AD cohorts, most of the bulk signature shared by AD and GBM was lost after adjustment for estimated cell composition, and no cell-type-level convergence was detectable with the donors available. Cross-disease comparisons need composition adjustment, donor-level inference and attention to confounding by age.</w:t>
      </w:r>
    </w:p>
    <w:p>
      <w:pPr>
        <w:pStyle w:val="BodyText"/>
      </w:pPr>
      <w:r>
        <w:rPr>
          <w:bCs/>
          <w:b/>
        </w:rPr>
        <w:t xml:space="preserve">Keywords:</w:t>
      </w:r>
      <w:r>
        <w:t xml:space="preserve"> </w:t>
      </w:r>
      <w:r>
        <w:t xml:space="preserve">Alzheimer’s disease; glioblastoma; cell composition; deconvolution; pseudoreplication; pre-specified analysis</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[1]. A population-based incidence study in northern Italy found the same inverse pattern [2]. These observations led to the idea that neurodegeneration and tumour growth might share molecular processes that are regulated in opposite directions, and to transcriptomic meta-analyses that looked for such opposing changes across central nervous system disorders and cancers [3].</w:t>
      </w:r>
    </w:p>
    <w:p>
      <w:pPr>
        <w:pStyle w:val="BodyText"/>
      </w:pPr>
      <w:r>
        <w:t xml:space="preserve">Glioblastoma (GBM) is an attractive comparison for AD because both arise in the brain. One study used bulk microarray data to identify signalling pathways that were regulated in opposite directions in AD and GBM [4]. More recent work combined bulk and single-cell transcriptomics with Mendelian randomisation and functional experiments to propose a candidate gene linking the two diseases [5], or used single-cell data to derive shared mitochondrial markers [6]. Much of this literature starts from the same step: comparing genes that change in each disease relative to controls, measured in bulk tissue.</w:t>
      </w:r>
    </w:p>
    <w:p>
      <w:pPr>
        <w:pStyle w:val="BodyText"/>
      </w:pPr>
      <w:r>
        <w:t xml:space="preserve">That step has a well-known weakness. AD involves neuronal loss and a glial response, and in GBM malignant cells replace normal brain tissue. Both processes change the cellular composition of the sample. In intact brain tissue, much of the covariation in gene expression is driven by differences in cell composition [7], and adding estimated cell-type proportions to the model reduces false associations between AD phenotypes and gene expression [8]. Two diseases that both lose neurons will both show lower expression of neuronal genes, even if nothing changes inside any individual cell.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[9]. In GBM, part of the malignant population occupies transcriptional states that resemble neural and oligodendrocyte progenitors (NPC-like and OPC-like) [10], and glioma cells can form synapses with neurons and integrate into neural circuits [11].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[12], so the hypotheses, thresholds, decision rules and publication framings for both possible outcomes were fixed in advance [13], and every deviation from the plan was logged with its date. Because comparisons between donors in single-cell data need donor-level inference [14],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Dataset</w:t>
            </w:r>
          </w:p>
        </w:tc>
        <w:tc>
          <w:tcPr/>
          <w:p>
            <w:pPr>
              <w:pStyle w:val="Compact"/>
              <w:spacing w:line="240" w:lineRule="auto" w:after="0"/>
              <w:jc w:val="left"/>
            </w:pPr>
            <w:r>
              <w:rPr>
                <w:rFonts w:ascii="Times New Roman" w:hAnsi="Times New Roman"/>
                <w:b/>
                <w:sz w:val="20"/>
              </w:rPr>
              <w:t xml:space="preserve">Platform</w:t>
            </w:r>
          </w:p>
        </w:tc>
        <w:tc>
          <w:tcPr/>
          <w:p>
            <w:pPr>
              <w:pStyle w:val="Compact"/>
              <w:spacing w:line="240" w:lineRule="auto" w:after="0"/>
              <w:jc w:val="left"/>
            </w:pPr>
            <w:r>
              <w:rPr>
                <w:rFonts w:ascii="Times New Roman" w:hAnsi="Times New Roman"/>
                <w:b/>
                <w:sz w:val="20"/>
              </w:rPr>
              <w:t xml:space="preserve">Role</w:t>
            </w:r>
          </w:p>
        </w:tc>
        <w:tc>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 [9]</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 [10]</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[15] + GSE36980 [16]</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[17] + GTEx [18] (UCSC Xena [19], TOIL [20])</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[22])</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and colleagues [9], with its scAlign [23]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[24] (version 4.10.3) quasi-likelihood F-test [25]. Genes were filtered with</w:t>
      </w:r>
      <w:r>
        <w:t xml:space="preserve"> </w:t>
      </w:r>
      <w:r>
        <w:rPr>
          <w:rStyle w:val="VerbatimChar"/>
        </w:rPr>
        <w:t xml:space="preserve">filterByExpr</w:t>
      </w:r>
      <w:r>
        <w:t xml:space="preserve">, library sizes were normalised with TMM [26],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[27]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 [28]-voom [29], modelling donor as a blocking factor with</w:t>
      </w:r>
      <w:r>
        <w:t xml:space="preserve"> </w:t>
      </w:r>
      <w:r>
        <w:rPr>
          <w:rStyle w:val="VerbatimChar"/>
        </w:rPr>
        <w:t xml:space="preserve">duplicateCorrelation</w:t>
      </w:r>
      <w:r>
        <w:t xml:space="preserve"> </w:t>
      </w:r>
      <w:r>
        <w:t xml:space="preserve">[30]. With few donors, this approach can be anti-conservative for between-donor contrasts [14, 31],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and colleagues [10],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[32]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[33],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[34] (sva [35]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[36],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[19] TOIL [20]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[37]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[38] as the second method. Because the package was not available, I used MuSiC [39] (version 1.0.0), which is also reference-based (deviation). The plan called for an Allen Brain Map reference and cited Tasic et al. (2018), a mouse dataset. I used the human primary motor cortex (M1) 10x Chromium v3 snRNA-seq data published by Bakken et al. (2021) [21]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[28]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change.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[22]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Plan</w:t>
            </w:r>
          </w:p>
        </w:tc>
        <w:tc>
          <w:tcPr/>
          <w:p>
            <w:pPr>
              <w:pStyle w:val="Compact"/>
              <w:spacing w:line="240" w:lineRule="auto" w:after="0"/>
              <w:jc w:val="left"/>
            </w:pPr>
            <w:r>
              <w:rPr>
                <w:rFonts w:ascii="Times New Roman" w:hAnsi="Times New Roman"/>
                <w:b/>
                <w:sz w:val="20"/>
              </w:rPr>
              <w:t xml:space="preserve">Implementation</w:t>
            </w:r>
          </w:p>
        </w:tc>
        <w:tc>
          <w:tcPr/>
          <w:p>
            <w:pPr>
              <w:pStyle w:val="Compact"/>
              <w:spacing w:line="240" w:lineRule="auto" w:after="0"/>
              <w:jc w:val="left"/>
            </w:pPr>
            <w:r>
              <w:rPr>
                <w:rFonts w:ascii="Times New Roman" w:hAnsi="Times New Roman"/>
                <w:b/>
                <w:sz w:val="20"/>
              </w:rPr>
              <w:t xml:space="preserve">Reason</w:t>
            </w:r>
          </w:p>
        </w:tc>
        <w:tc>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96ac4f94a06840510e0fc7641785cffc51362ba"/>
    <w:p>
      <w:pPr>
        <w:pStyle w:val="Heading3"/>
      </w:pPr>
      <w:r>
        <w:t xml:space="preserve">3.1 H1: shared DEGs disappear under cell-composition control</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changed in the same direction in both cohorts (Table 3).</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AD DEGs</w:t>
            </w:r>
          </w:p>
        </w:tc>
        <w:tc>
          <w:tcPr/>
          <w:p>
            <w:pPr>
              <w:pStyle w:val="Compact"/>
              <w:spacing w:line="240" w:lineRule="auto" w:after="0"/>
              <w:jc w:val="left"/>
            </w:pPr>
            <w:r>
              <w:rPr>
                <w:rFonts w:ascii="Times New Roman" w:hAnsi="Times New Roman"/>
                <w:b/>
                <w:sz w:val="20"/>
              </w:rPr>
              <w:t xml:space="preserve">GBM DEGs</w:t>
            </w:r>
          </w:p>
        </w:tc>
        <w:tc>
          <w:tcPr/>
          <w:p>
            <w:pPr>
              <w:pStyle w:val="Compact"/>
              <w:spacing w:line="240" w:lineRule="auto" w:after="0"/>
              <w:jc w:val="left"/>
            </w:pPr>
            <w:r>
              <w:rPr>
                <w:rFonts w:ascii="Times New Roman" w:hAnsi="Times New Roman"/>
                <w:b/>
                <w:sz w:val="20"/>
              </w:rPr>
              <w:t xml:space="preserve">Shared DEGs</w:t>
            </w:r>
          </w:p>
        </w:tc>
        <w:tc>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(for example, correlations with the score of −0.22 for AQP4, −0.27 for GFAP and +0.87 for ETNPPL),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after="0"/>
              <w:jc w:val="left"/>
            </w:pPr>
            <w:r>
              <w:rPr>
                <w:rFonts w:ascii="Times New Roman" w:hAnsi="Times New Roman"/>
                <w:b/>
                <w:sz w:val="20"/>
              </w:rPr>
              <w:t xml:space="preserve">Analysis</w:t>
            </w:r>
          </w:p>
        </w:tc>
        <w:tc>
          <w:tcPr/>
          <w:p>
            <w:pPr>
              <w:pStyle w:val="Compact"/>
              <w:spacing w:line="240" w:lineRule="auto" w:after="0"/>
              <w:jc w:val="left"/>
            </w:pPr>
            <w:r>
              <w:rPr>
                <w:rFonts w:ascii="Times New Roman" w:hAnsi="Times New Roman"/>
                <w:b/>
                <w:sz w:val="20"/>
              </w:rPr>
              <w:t xml:space="preserve">Test 1: RRHO2, DU quadrant</w:t>
            </w:r>
          </w:p>
        </w:tc>
        <w:tc>
          <w:tcPr/>
          <w:p>
            <w:pPr>
              <w:pStyle w:val="Compact"/>
              <w:spacing w:line="240" w:lineRule="auto" w:after="0"/>
              <w:jc w:val="left"/>
            </w:pPr>
            <w:r>
              <w:rPr>
                <w:rFonts w:ascii="Times New Roman" w:hAnsi="Times New Roman"/>
                <w:b/>
                <w:sz w:val="20"/>
              </w:rPr>
              <w:t xml:space="preserve">RRHO2, DD quadrant (comparison)</w:t>
            </w:r>
          </w:p>
        </w:tc>
        <w:tc>
          <w:tcPr/>
          <w:p>
            <w:pPr>
              <w:pStyle w:val="Compact"/>
              <w:spacing w:line="240" w:lineRule="auto" w:after="0"/>
              <w:jc w:val="left"/>
            </w:pPr>
            <w:r>
              <w:rPr>
                <w:rFonts w:ascii="Times New Roman" w:hAnsi="Times New Roman"/>
                <w:b/>
                <w:sz w:val="20"/>
              </w:rPr>
              <w:t xml:space="preserve">Test 2: hypergeometric</w:t>
            </w:r>
          </w:p>
        </w:tc>
        <w:tc>
          <w:tcPr/>
          <w:p>
            <w:pPr>
              <w:pStyle w:val="Compact"/>
              <w:spacing w:line="240" w:lineRule="auto" w:after="0"/>
              <w:jc w:val="left"/>
            </w:pPr>
            <w:r>
              <w:rPr>
                <w:rFonts w:ascii="Times New Roman" w:hAnsi="Times New Roman"/>
                <w:b/>
                <w:sz w:val="20"/>
              </w:rPr>
              <w:t xml:space="preserve">Test 3: permutation</w:t>
            </w:r>
          </w:p>
        </w:tc>
        <w:tc>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4,242 AD DEGs remained (retention 0.456; diagnosis VIF 1.4), but only 288 shared DEGs did. The shared-DEG ratio was 0.074, below the pre-declared threshold of 0.20, so H1 replicated. With the fold-change thresholds, shared DEGs fell from 1,105 to 3 (ratio 0.003).</w:t>
      </w:r>
    </w:p>
    <w:p>
      <w:pPr>
        <w:pStyle w:val="BodyText"/>
      </w:pPr>
      <w:r>
        <w:t xml:space="preserve">Two things stand out. In this larger RNA-seq cohort, composition adjustment did not wipe out the disease signal: almost half of the AD DEGs survived. The complete loss seen in the 51-sample meta-cohort was therefore probably a feature of that small, ComBat-merged cohort. The shared genes, on the other hand, fared much worse than DEGs in either cohort: 7.4% of them survived adjustment, against 45.6% of AD DEGs and 52.6% of GBM DEGs.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Top N genes</w:t>
            </w:r>
          </w:p>
        </w:tc>
        <w:tc>
          <w:tcPr/>
          <w:p>
            <w:pPr>
              <w:pStyle w:val="Compact"/>
              <w:spacing w:line="240" w:lineRule="auto" w:after="0"/>
              <w:jc w:val="left"/>
            </w:pPr>
            <w:r>
              <w:rPr>
                <w:rFonts w:ascii="Times New Roman" w:hAnsi="Times New Roman"/>
                <w:b/>
                <w:sz w:val="20"/>
              </w:rPr>
              <w:t xml:space="preserve">DD, original</w:t>
            </w:r>
          </w:p>
        </w:tc>
        <w:tc>
          <w:tcPr/>
          <w:p>
            <w:pPr>
              <w:pStyle w:val="Compact"/>
              <w:spacing w:line="240" w:lineRule="auto" w:after="0"/>
              <w:jc w:val="left"/>
            </w:pPr>
            <w:r>
              <w:rPr>
                <w:rFonts w:ascii="Times New Roman" w:hAnsi="Times New Roman"/>
                <w:b/>
                <w:sz w:val="20"/>
              </w:rPr>
              <w:t xml:space="preserve">DD, donor level</w:t>
            </w:r>
          </w:p>
        </w:tc>
        <w:tc>
          <w:tcPr/>
          <w:p>
            <w:pPr>
              <w:pStyle w:val="Compact"/>
              <w:spacing w:line="240" w:lineRule="auto" w:after="0"/>
              <w:jc w:val="left"/>
            </w:pPr>
            <w:r>
              <w:rPr>
                <w:rFonts w:ascii="Times New Roman" w:hAnsi="Times New Roman"/>
                <w:b/>
                <w:sz w:val="20"/>
              </w:rPr>
              <w:t xml:space="preserve">DU, original</w:t>
            </w:r>
          </w:p>
        </w:tc>
        <w:tc>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RRHO2 DD maximum</w:t>
            </w:r>
          </w:p>
        </w:tc>
        <w:tc>
          <w:tcPr/>
          <w:p>
            <w:pPr>
              <w:pStyle w:val="Compact"/>
              <w:spacing w:line="240" w:lineRule="auto" w:after="0"/>
              <w:jc w:val="left"/>
            </w:pPr>
            <w:r>
              <w:rPr>
                <w:rFonts w:ascii="Times New Roman" w:hAnsi="Times New Roman"/>
                <w:b/>
                <w:sz w:val="20"/>
              </w:rPr>
              <w:t xml:space="preserve">RRHO2 DU maximum</w:t>
            </w:r>
          </w:p>
        </w:tc>
        <w:tc>
          <w:tcPr/>
          <w:p>
            <w:pPr>
              <w:pStyle w:val="Compact"/>
              <w:spacing w:line="240" w:lineRule="auto" w:after="0"/>
              <w:jc w:val="left"/>
            </w:pPr>
            <w:r>
              <w:rPr>
                <w:rFonts w:ascii="Times New Roman" w:hAnsi="Times New Roman"/>
                <w:b/>
                <w:sz w:val="20"/>
              </w:rPr>
              <w:t xml:space="preserve">Top-200 DD overlap (expected 10.4)</w:t>
            </w:r>
          </w:p>
        </w:tc>
        <w:tc>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BAIAP2 changed direction.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[1, 2]. It has encouraged transcriptomic work that looks for shared molecular processes regulated in opposite directions in the two disease groups [3]. For AD and GBM specifically, studies have proposed oppositely regulated signalling pathways from bulk microarray data [4], candidate genes from integrated analyses of bulk and single-cell data [5] and mitochondrial markers from single-cell data [6].</w:t>
      </w:r>
    </w:p>
    <w:p>
      <w:pPr>
        <w:pStyle w:val="BodyText"/>
      </w:pPr>
      <w:r>
        <w:t xml:space="preserve">My results suggest that shared expression changes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[7], and modelling composition estimates as confounders reduces false associations between AD phenotypes and gene expression [8]. The present results suggest that this applies to cross-disease comparisons as well: genes that change in the same direction relative to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[5, 6]. My findings do not invalidate their conclusions. What they do show is that convergence claims resting on the number of shared bulk DEGs are weak evidence unless composition has been controlled.</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[14, 31, 40].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[12], and preregistration lowers that risk by separating hypothesis generation from hypothesis testing [13].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[41]. Immediate-early genes, the family to which JUNB belongs, can also be induced ex vivo during tissue dissociation in single-cell studies [42], and a similar artefactual signal, most prominent in microglia, has been found in post-mortem human single-nucleus data [43]. With bulk data it is not possible to tell whether the increase reflects the molecular remodelling of reactive astrocytes [44] or technical and agonal factors of this kind.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[21], and a matched comparison in mouse visual cortex found that the nuclear share of total cellular mRNA ranges from about 20% to over 50% depending on the size of the pyramidal neuron [45],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[46].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[47]. The marker-based BRETIGEA method [37] runs into a different problem in tumour tissue: astrocyte-like malignant cells express astrocyte markers [10], so in tumours the astrocyte score partly mixes normal astrocytes with malignant states. GBM tissue also contains variable proportions of immune cells such as macrophages and microglia [48].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[41].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half survived adjustment, so the size of the effect in the meta-cohort should not be generalised; preserving diagnosis as a covariate can inflate significance in later tests when groups are unevenly spread across datasets [36].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93% in the replication cohort), while about half of the AD disease signal remained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data-and-code-availability"/>
    <w:p>
      <w:pPr>
        <w:pStyle w:val="Heading2"/>
      </w:pPr>
      <w:r>
        <w:t xml:space="preserve">Data and code availability</w:t>
      </w:r>
    </w:p>
    <w:p>
      <w:pPr>
        <w:pStyle w:val="FirstParagraph"/>
      </w:pPr>
      <w:r>
        <w:t xml:space="preserve">All datasets are public (Table 1). The analysis plan, analysis scripts, deviation register, intermediate results and the facts-sheet script are available in the project repository </w:t>
      </w:r>
      <w:r>
        <w:rPr>
          <w:highlight w:val="yellow"/>
        </w:rPr>
        <w:t>[CHECK: repository URL and Zenodo DOI]</w:t>
      </w:r>
      <w:r>
        <w:rPr/>
        <w:t>.</w:t>
      </w:r>
    </w:p>
    <w:bookmarkEnd w:id="46"/>
    <w:bookmarkStart w:id="47" w:name="funding"/>
    <w:p>
      <w:pPr>
        <w:pStyle w:val="Heading2"/>
      </w:pPr>
      <w:r>
        <w:t xml:space="preserve">Funding</w:t>
      </w:r>
    </w:p>
    <w:p>
      <w:pPr>
        <w:pStyle w:val="FirstParagraph"/>
      </w:pPr>
      <w:r/>
      <w:r>
        <w:rPr>
          <w:highlight w:val="yellow"/>
        </w:rPr>
        <w:t>[CHECK: funding statement]</w:t>
      </w:r>
    </w:p>
    <w:bookmarkEnd w:id="47"/>
    <w:bookmarkStart w:id="48" w:name="competing-interests"/>
    <w:p>
      <w:pPr>
        <w:pStyle w:val="Heading2"/>
      </w:pPr>
      <w:r>
        <w:t xml:space="preserve">Competing interests</w:t>
      </w:r>
    </w:p>
    <w:p>
      <w:pPr>
        <w:pStyle w:val="FirstParagraph"/>
      </w:pPr>
      <w:r/>
      <w:r>
        <w:rPr>
          <w:highlight w:val="yellow"/>
        </w:rPr>
        <w:t>[CHECK: competing interests statement]</w:t>
      </w:r>
    </w:p>
    <w:bookmarkEnd w:id="48"/>
    <w:bookmarkStart w:id="49" w:name="references"/>
    <w:p>
      <w:pPr>
        <w:pStyle w:val="Heading2"/>
      </w:pPr>
      <w:r>
        <w:t xml:space="preserve">References</w:t>
      </w:r>
    </w:p>
    <w:p>
      <w:pPr>
        <w:numPr>
          <w:ilvl w:val="0"/>
          <w:numId w:val="1001"/>
        </w:numPr>
        <w:pStyle w:val="Compact"/>
      </w:pPr>
      <w:r>
        <w:t xml:space="preserve">Driver JA, Beiser A, Au R, et al. Inverse association between cancer and Alzheimer’s disease: results from the Framingham Heart Study. BMJ. 2012;344:e1442. doi:10.1136/bmj.e1442</w:t>
      </w:r>
    </w:p>
    <w:p>
      <w:pPr>
        <w:numPr>
          <w:ilvl w:val="0"/>
          <w:numId w:val="1001"/>
        </w:numPr>
        <w:pStyle w:val="Compact"/>
      </w:pPr>
      <w:r>
        <w:t xml:space="preserve">Musicco M, Adorni F, Di Santo S, et al. Inverse occurrence of cancer and Alzheimer disease: a population-based incidence study. Neurology. 2013;81(4):322-328. doi:10.1212/WNL.0b013e31829c5ec1</w:t>
      </w:r>
    </w:p>
    <w:p>
      <w:pPr>
        <w:numPr>
          <w:ilvl w:val="0"/>
          <w:numId w:val="1001"/>
        </w:numPr>
        <w:pStyle w:val="Compact"/>
      </w:pPr>
      <w:r>
        <w:t xml:space="preserve">Ibáñez K, Boullosa C, Tabarés-Seisdedos R, Baudot A, Valencia A. Molecular evidence for the inverse comorbidity between central nervous system disorders and cancers detected by transcriptomic meta-analyses. PLoS Genet. 2014;10(2):e1004173. doi:10.1371/journal.pgen.1004173</w:t>
      </w:r>
    </w:p>
    <w:p>
      <w:pPr>
        <w:numPr>
          <w:ilvl w:val="0"/>
          <w:numId w:val="1001"/>
        </w:numPr>
        <w:pStyle w:val="Compact"/>
      </w:pPr>
      <w:r>
        <w:t xml:space="preserve">Liu T, Ren D, Zhu X, et al. Transcriptional signaling pathways inversely regulated in Alzheimer’s disease and glioblastoma multiform. Sci Rep. 2013;3:3467. doi:10.1038/srep03467</w:t>
      </w:r>
    </w:p>
    <w:p>
      <w:pPr>
        <w:numPr>
          <w:ilvl w:val="0"/>
          <w:numId w:val="1001"/>
        </w:numPr>
        <w:pStyle w:val="Compact"/>
      </w:pPr>
      <w:r>
        <w:t xml:space="preserve">Liu T, Pu J, Theil S, et al. Potential role of TNFRSF12A in linking glioblastoma and Alzheimer’s disease via shared tumour suppressor pathways. Sci Rep. 2025;15(1):21535. doi:10.1038/s41598-025-08000-7</w:t>
      </w:r>
    </w:p>
    <w:p>
      <w:pPr>
        <w:numPr>
          <w:ilvl w:val="0"/>
          <w:numId w:val="1001"/>
        </w:numPr>
        <w:pStyle w:val="Compact"/>
      </w:pPr>
      <w:r>
        <w:t xml:space="preserve">Xu X, Wang J, Chen T, et al. Deciphering novel mitochondrial signatures: multi-omics analysis uncovers cross-disease markers and oligodendrocyte pathways in Alzheimer’s disease and glioblastoma. Front Aging Neurosci. 2025;17:1536142. doi:10.3389/fnagi.2025.1536142</w:t>
      </w:r>
    </w:p>
    <w:p>
      <w:pPr>
        <w:numPr>
          <w:ilvl w:val="0"/>
          <w:numId w:val="1001"/>
        </w:numPr>
        <w:pStyle w:val="Compact"/>
      </w:pPr>
      <w:r>
        <w:t xml:space="preserve">Kelley KW, Nakao-Inoue H, Molofsky AV, Oldham MC. Variation among intact tissue samples reveals the core transcriptional features of human CNS cell classes. Nat Neurosci. 2018;21(9):1171-1184. doi:10.1038/s41593-018-0216-z</w:t>
      </w:r>
    </w:p>
    <w:p>
      <w:pPr>
        <w:numPr>
          <w:ilvl w:val="0"/>
          <w:numId w:val="1001"/>
        </w:numPr>
        <w:pStyle w:val="Compact"/>
      </w:pPr>
      <w:r>
        <w:t xml:space="preserve">Patrick E, Taga M, Ergun A, et al. Deconvolving the contributions of cell-type heterogeneity on cortical gene expression. PLoS Comput Biol. 2020;16(8):e1008120. doi:10.1371/journal.pcbi.1008120</w:t>
      </w:r>
    </w:p>
    <w:p>
      <w:pPr>
        <w:numPr>
          <w:ilvl w:val="0"/>
          <w:numId w:val="1001"/>
        </w:numPr>
        <w:pStyle w:val="Compact"/>
      </w:pPr>
      <w:r>
        <w:t xml:space="preserve">Leng K, Li E, Eser R, et al. Molecular characterization of selectively vulnerable neurons in Alzheimer’s disease. Nat Neurosci. 2021;24(2):276-287. doi:10.1038/s41593-020-00764-7</w:t>
      </w:r>
    </w:p>
    <w:p>
      <w:pPr>
        <w:numPr>
          <w:ilvl w:val="0"/>
          <w:numId w:val="1001"/>
        </w:numPr>
        <w:pStyle w:val="Compact"/>
      </w:pPr>
      <w:r>
        <w:t xml:space="preserve">Neftel C, Laffy J, Filbin MG, et al. An integrative model of cellular states, plasticity, and genetics for glioblastoma. Cell. 2019;178(4):835-849.e21. doi:10.1016/j.cell.2019.06.024</w:t>
      </w:r>
    </w:p>
    <w:p>
      <w:pPr>
        <w:numPr>
          <w:ilvl w:val="0"/>
          <w:numId w:val="1001"/>
        </w:numPr>
        <w:pStyle w:val="Compact"/>
      </w:pPr>
      <w:r>
        <w:t xml:space="preserve">Venkatesh HS, Morishita W, Geraghty AC, et al. Electrical and synaptic integration of glioma into neural circuits. Nature. 2019;573(7775):539-545. doi:10.1038/s41586-019-1563-y</w:t>
      </w:r>
    </w:p>
    <w:p>
      <w:pPr>
        <w:numPr>
          <w:ilvl w:val="0"/>
          <w:numId w:val="1001"/>
        </w:numPr>
        <w:pStyle w:val="Compact"/>
      </w:pPr>
      <w:r>
        <w:t xml:space="preserve">Simmons JP, Nelson LD, Simonsohn U. False-positive psychology: undisclosed flexibility in data collection and analysis allows presenting anything as significant. Psychol Sci. 2011;22(11):1359-1366. doi:10.1177/0956797611417632</w:t>
      </w:r>
    </w:p>
    <w:p>
      <w:pPr>
        <w:numPr>
          <w:ilvl w:val="0"/>
          <w:numId w:val="1001"/>
        </w:numPr>
        <w:pStyle w:val="Compact"/>
      </w:pPr>
      <w:r>
        <w:t xml:space="preserve">Nosek BA, Ebersole CR, DeHaven AC, Mellor DT. The preregistration revolution. Proc Natl Acad Sci U S A. 2018;115(11):2600-2606. doi:10.1073/pnas.1708274114</w:t>
      </w:r>
    </w:p>
    <w:p>
      <w:pPr>
        <w:numPr>
          <w:ilvl w:val="0"/>
          <w:numId w:val="1001"/>
        </w:numPr>
        <w:pStyle w:val="Compact"/>
      </w:pPr>
      <w:r>
        <w:t xml:space="preserve">Squair JW, Gautier M, Kathe C, et al. Confronting false discoveries in single-cell differential expression. Nat Commun. 2021;12(1):5692. doi:10.1038/s41467-021-25960-2</w:t>
      </w:r>
    </w:p>
    <w:p>
      <w:pPr>
        <w:numPr>
          <w:ilvl w:val="0"/>
          <w:numId w:val="1001"/>
        </w:numPr>
        <w:pStyle w:val="Compact"/>
      </w:pPr>
      <w:r>
        <w:t xml:space="preserve">Berchtold NC, Coleman PD, Cribbs DH, et al. Synaptic genes are extensively downregulated across multiple brain regions in normal human aging and Alzheimer’s disease. Neurobiol Aging. 2013;34(6):1653-1661. doi:10.1016/j.neurobiolaging.2012.11.024</w:t>
      </w:r>
    </w:p>
    <w:p>
      <w:pPr>
        <w:numPr>
          <w:ilvl w:val="0"/>
          <w:numId w:val="1001"/>
        </w:numPr>
        <w:pStyle w:val="Compact"/>
      </w:pPr>
      <w:r>
        <w:t xml:space="preserve">Hokama M, Oka S, Leon J, et al. Altered expression of diabetes-related genes in Alzheimer’s disease brains: the Hisayama study. Cereb Cortex. 2014;24(9):2476-2488. doi:10.1093/cercor/bht101</w:t>
      </w:r>
    </w:p>
    <w:p>
      <w:pPr>
        <w:numPr>
          <w:ilvl w:val="0"/>
          <w:numId w:val="1001"/>
        </w:numPr>
        <w:pStyle w:val="Compact"/>
      </w:pPr>
      <w:r>
        <w:t xml:space="preserve">Brennan CW, Verhaak RGW, McKenna A, et al. The somatic genomic landscape of glioblastoma. Cell. 2013;155(2):462-477. doi:10.1016/j.cell.2013.09.034</w:t>
      </w:r>
    </w:p>
    <w:p>
      <w:pPr>
        <w:numPr>
          <w:ilvl w:val="0"/>
          <w:numId w:val="1001"/>
        </w:numPr>
        <w:pStyle w:val="Compact"/>
      </w:pPr>
      <w:r>
        <w:t xml:space="preserve">GTEx Consortium. The GTEx Consortium atlas of genetic regulatory effects across human tissues. Science. 2020;369(6509):1318-1330. doi:10.1126/science.aaz1776</w:t>
      </w:r>
    </w:p>
    <w:p>
      <w:pPr>
        <w:numPr>
          <w:ilvl w:val="0"/>
          <w:numId w:val="1001"/>
        </w:numPr>
        <w:pStyle w:val="Compact"/>
      </w:pPr>
      <w:r>
        <w:t xml:space="preserve">Goldman MJ, Craft B, Hastie M, et al. Visualizing and interpreting cancer genomics data via the Xena platform. Nat Biotechnol. 2020;38(6):675-678. doi:10.1038/s41587-020-0546-8</w:t>
      </w:r>
    </w:p>
    <w:p>
      <w:pPr>
        <w:numPr>
          <w:ilvl w:val="0"/>
          <w:numId w:val="1001"/>
        </w:numPr>
        <w:pStyle w:val="Compact"/>
      </w:pPr>
      <w:r>
        <w:t xml:space="preserve">Vivian J, Rao AA, Nothaft FA, et al. Toil enables reproducible, open source, big biomedical data analyses. Nat Biotechnol. 2017;35(4):314-316. doi:10.1038/nbt.3772</w:t>
      </w:r>
    </w:p>
    <w:p>
      <w:pPr>
        <w:numPr>
          <w:ilvl w:val="0"/>
          <w:numId w:val="1001"/>
        </w:numPr>
        <w:pStyle w:val="Compact"/>
      </w:pPr>
      <w:r>
        <w:t xml:space="preserve">Bakken TE, Jorstad NL, Hu Q, et al. Comparative cellular analysis of motor cortex in human, marmoset and mouse. Nature. 2021;598(7879):111-119. doi:10.1038/s41586-021-03465-8</w:t>
      </w:r>
    </w:p>
    <w:p>
      <w:pPr>
        <w:numPr>
          <w:ilvl w:val="0"/>
          <w:numId w:val="1001"/>
        </w:numPr>
        <w:pStyle w:val="Compact"/>
      </w:pPr>
      <w:r>
        <w:t xml:space="preserve">Wilks C, Zheng SC, Chen FY, et al. recount3: summaries and queries for large-scale RNA-seq expression and splicing. Genome Biol. 2021;22(1):323. doi:10.1186/s13059-021-02533-6</w:t>
      </w:r>
    </w:p>
    <w:p>
      <w:pPr>
        <w:numPr>
          <w:ilvl w:val="0"/>
          <w:numId w:val="1001"/>
        </w:numPr>
        <w:pStyle w:val="Compact"/>
      </w:pPr>
      <w:r>
        <w:t xml:space="preserve">Johansen N, Quon G. scAlign: a tool for alignment, integration, and rare cell identification from scRNA-seq data. Genome Biol. 2019;20(1):166. doi:10.1186/s13059-019-1766-4</w:t>
      </w:r>
    </w:p>
    <w:p>
      <w:pPr>
        <w:numPr>
          <w:ilvl w:val="0"/>
          <w:numId w:val="1001"/>
        </w:numPr>
        <w:pStyle w:val="Compact"/>
      </w:pPr>
      <w:r>
        <w:t xml:space="preserve">Robinson MD, McCarthy DJ, Smyth GK. edgeR: a Bioconductor package for differential expression analysis of digital gene expression data. Bioinformatics. 2010;26(1):139-140. doi:10.1093/bioinformatics/btp616</w:t>
      </w:r>
    </w:p>
    <w:p>
      <w:pPr>
        <w:numPr>
          <w:ilvl w:val="0"/>
          <w:numId w:val="1001"/>
        </w:numPr>
        <w:pStyle w:val="Compact"/>
      </w:pPr>
      <w:r>
        <w:t xml:space="preserve">Chen Y, Lun ATL, Smyth GK. From reads to genes to pathways: differential expression analysis of RNA-Seq experiments using Rsubread and the edgeR quasi-likelihood pipeline. F1000Res. 2016;5:1438. doi:10.12688/f1000research.8987.2</w:t>
      </w:r>
    </w:p>
    <w:p>
      <w:pPr>
        <w:numPr>
          <w:ilvl w:val="0"/>
          <w:numId w:val="1001"/>
        </w:numPr>
        <w:pStyle w:val="Compact"/>
      </w:pPr>
      <w:r>
        <w:t xml:space="preserve">Robinson MD, Oshlack A. A scaling normalization method for differential expression analysis of RNA-seq data. Genome Biol. 2010;11(3):R25. doi:10.1186/gb-2010-11-3-r25</w:t>
      </w:r>
    </w:p>
    <w:p>
      <w:pPr>
        <w:numPr>
          <w:ilvl w:val="0"/>
          <w:numId w:val="1001"/>
        </w:numPr>
        <w:pStyle w:val="Compact"/>
      </w:pPr>
      <w:r>
        <w:t xml:space="preserve">Benjamini Y, Hochberg Y. Controlling the false discovery rate: a practical and powerful approach to multiple testing. J R Stat Soc Series B Stat Methodol. 1995;57(1):289-300. doi:10.1111/j.2517-6161.1995.tb02031.x</w:t>
      </w:r>
    </w:p>
    <w:p>
      <w:pPr>
        <w:numPr>
          <w:ilvl w:val="0"/>
          <w:numId w:val="1001"/>
        </w:numPr>
        <w:pStyle w:val="Compact"/>
      </w:pPr>
      <w:r>
        <w:t xml:space="preserve">Ritchie ME, Phipson B, Wu D, et al. limma powers differential expression analyses for RNA-sequencing and microarray studies. Nucleic Acids Res. 2015;43(7):e47. doi:10.1093/nar/gkv007</w:t>
      </w:r>
    </w:p>
    <w:p>
      <w:pPr>
        <w:numPr>
          <w:ilvl w:val="0"/>
          <w:numId w:val="1001"/>
        </w:numPr>
        <w:pStyle w:val="Compact"/>
      </w:pPr>
      <w:r>
        <w:t xml:space="preserve">Law CW, Chen Y, Shi W, Smyth GK. voom: precision weights unlock linear model analysis tools for RNA-seq read counts. Genome Biol. 2014;15(2):R29. doi:10.1186/gb-2014-15-2-r29</w:t>
      </w:r>
    </w:p>
    <w:p>
      <w:pPr>
        <w:numPr>
          <w:ilvl w:val="0"/>
          <w:numId w:val="1001"/>
        </w:numPr>
        <w:pStyle w:val="Compact"/>
      </w:pPr>
      <w:r>
        <w:t xml:space="preserve">Smyth GK, Michaud J, Scott HS. Use of within-array replicate spots for assessing differential expression in microarray experiments. Bioinformatics. 2005;21(9):2067-2075. doi:10.1093/bioinformatics/bti270</w:t>
      </w:r>
    </w:p>
    <w:p>
      <w:pPr>
        <w:numPr>
          <w:ilvl w:val="0"/>
          <w:numId w:val="1001"/>
        </w:numPr>
        <w:pStyle w:val="Compact"/>
      </w:pPr>
      <w:r>
        <w:t xml:space="preserve">Zimmerman KD, Espeland MA, Langefeld CD. A practical solution to pseudoreplication bias in single-cell studies. Nat Commun. 2021;12(1):738. doi:10.1038/s41467-021-21038-1</w:t>
      </w:r>
    </w:p>
    <w:p>
      <w:pPr>
        <w:numPr>
          <w:ilvl w:val="0"/>
          <w:numId w:val="1001"/>
        </w:numPr>
        <w:pStyle w:val="Compact"/>
      </w:pPr>
      <w:r>
        <w:t xml:space="preserve">Cahill KM, Huo Z, Tseng GC, Logan RW, Seney ML. Improved identification of concordant and discordant gene expression signatures using an updated rank-rank hypergeometric overlap approach. Sci Rep. 2018;8(1):9588. doi:10.1038/s41598-018-27903-2</w:t>
      </w:r>
    </w:p>
    <w:p>
      <w:pPr>
        <w:numPr>
          <w:ilvl w:val="0"/>
          <w:numId w:val="1001"/>
        </w:numPr>
        <w:pStyle w:val="Compact"/>
      </w:pPr>
      <w:r>
        <w:t xml:space="preserve">Irizarry RA, Hobbs B, Collin F, et al. Exploration, normalization, and summaries of high density oligonucleotide array probe level data. Biostatistics. 2003;4(2):249-264. doi:10.1093/biostatistics/4.2.249</w:t>
      </w:r>
    </w:p>
    <w:p>
      <w:pPr>
        <w:numPr>
          <w:ilvl w:val="0"/>
          <w:numId w:val="1001"/>
        </w:numPr>
        <w:pStyle w:val="Compact"/>
      </w:pPr>
      <w:r>
        <w:t xml:space="preserve">Johnson WE, Li C, Rabinovic A. Adjusting batch effects in microarray expression data using empirical Bayes methods. Biostatistics. 2007;8(1):118-127. doi:10.1093/biostatistics/kxj037</w:t>
      </w:r>
    </w:p>
    <w:p>
      <w:pPr>
        <w:numPr>
          <w:ilvl w:val="0"/>
          <w:numId w:val="1001"/>
        </w:numPr>
        <w:pStyle w:val="Compact"/>
      </w:pPr>
      <w:r>
        <w:t xml:space="preserve">Leek JT, Johnson WE, Parker HS, Jaffe AE, Storey JD. The sva package for removing batch effects and other unwanted variation in high-throughput experiments. Bioinformatics. 2012;28(6):882-883. doi:10.1093/bioinformatics/bts034</w:t>
      </w:r>
    </w:p>
    <w:p>
      <w:pPr>
        <w:numPr>
          <w:ilvl w:val="0"/>
          <w:numId w:val="1001"/>
        </w:numPr>
        <w:pStyle w:val="Compact"/>
      </w:pPr>
      <w:r>
        <w:t xml:space="preserve">Nygaard V, Rødland EA, Hovig E. Methods that remove batch effects while retaining group differences may lead to exaggerated confidence in downstream analyses. Biostatistics. 2016;17(1):29-39. doi:10.1093/biostatistics/kxv027</w:t>
      </w:r>
    </w:p>
    <w:p>
      <w:pPr>
        <w:numPr>
          <w:ilvl w:val="0"/>
          <w:numId w:val="1001"/>
        </w:numPr>
        <w:pStyle w:val="Compact"/>
      </w:pPr>
      <w:r>
        <w:t xml:space="preserve">McKenzie AT, Wang M, Hauberg ME, et al. Brain cell type specific gene expression and co-expression network architectures. Sci Rep. 2018;8(1):8868. doi:10.1038/s41598-018-27293-5</w:t>
      </w:r>
    </w:p>
    <w:p>
      <w:pPr>
        <w:numPr>
          <w:ilvl w:val="0"/>
          <w:numId w:val="1001"/>
        </w:numPr>
        <w:pStyle w:val="Compact"/>
      </w:pPr>
      <w:r>
        <w:t xml:space="preserve">Wang J, Roeder K, Devlin B. Bayesian estimation of cell type-specific gene expression with prior derived from single-cell data. Genome Res. 2021. doi:10.1101/gr.268722.120 </w:t>
      </w:r>
      <w:r>
        <w:rPr>
          <w:highlight w:val="yellow"/>
        </w:rPr>
        <w:t>[CHECK: volume and pages]</w:t>
      </w:r>
    </w:p>
    <w:p>
      <w:pPr>
        <w:numPr>
          <w:ilvl w:val="0"/>
          <w:numId w:val="1001"/>
        </w:numPr>
        <w:pStyle w:val="Compact"/>
      </w:pPr>
      <w:r>
        <w:t xml:space="preserve">Wang X, Park J, Susztak K, Zhang NR, Li M. Bulk tissue cell type deconvolution with multi-subject single-cell expression reference. Nat Commun. 2019;10(1):380. doi:10.1038/s41467-018-08023-x</w:t>
      </w:r>
    </w:p>
    <w:p>
      <w:pPr>
        <w:numPr>
          <w:ilvl w:val="0"/>
          <w:numId w:val="1001"/>
        </w:numPr>
        <w:pStyle w:val="Compact"/>
      </w:pPr>
      <w:r>
        <w:t xml:space="preserve">Crowell HL, Soneson C, Germain PL, et al. muscat detects subpopulation-specific state transitions from multi-sample multi-condition single-cell transcriptomics data. Nat Commun. 2020;11(1):6077. doi:10.1038/s41467-020-19894-4</w:t>
      </w:r>
    </w:p>
    <w:p>
      <w:pPr>
        <w:numPr>
          <w:ilvl w:val="0"/>
          <w:numId w:val="1001"/>
        </w:numPr>
        <w:pStyle w:val="Compact"/>
      </w:pPr>
      <w:r>
        <w:t xml:space="preserve">Tomita H, Vawter MP, Walsh DM, et al. Effect of agonal and postmortem factors on gene expression profile: quality control in microarray analyses of postmortem human brain. Biol Psychiatry. 2004;55(4):346-352. doi:10.1016/j.biopsych.2003.10.013</w:t>
      </w:r>
    </w:p>
    <w:p>
      <w:pPr>
        <w:numPr>
          <w:ilvl w:val="0"/>
          <w:numId w:val="1001"/>
        </w:numPr>
        <w:pStyle w:val="Compact"/>
      </w:pPr>
      <w:r>
        <w:t xml:space="preserve">van den Brink SC, Sage F, Vértesy Á, et al. Single-cell sequencing reveals dissociation-induced gene expression in tissue subpopulations. Nat Methods. 2017;14(10):935-936. doi:10.1038/nmeth.4437</w:t>
      </w:r>
    </w:p>
    <w:p>
      <w:pPr>
        <w:numPr>
          <w:ilvl w:val="0"/>
          <w:numId w:val="1001"/>
        </w:numPr>
        <w:pStyle w:val="Compact"/>
      </w:pPr>
      <w:r>
        <w:t xml:space="preserve">Marsh SE, Walker AJ, Kamath T, et al. Dissection of artifactual and confounding glial signatures by single-cell sequencing of mouse and human brain. Nat Neurosci. 2022;25(3):306-316. doi:10.1038/s41593-022-01022-8</w:t>
      </w:r>
    </w:p>
    <w:p>
      <w:pPr>
        <w:numPr>
          <w:ilvl w:val="0"/>
          <w:numId w:val="1001"/>
        </w:numPr>
        <w:pStyle w:val="Compact"/>
      </w:pPr>
      <w:r>
        <w:t xml:space="preserve">Escartin C, Galea E, Lakatos A, et al. Reactive astrocyte nomenclature, definitions, and future directions. Nat Neurosci. 2021;24(3):312-325. doi:10.1038/s41593-020-00783-4</w:t>
      </w:r>
    </w:p>
    <w:p>
      <w:pPr>
        <w:numPr>
          <w:ilvl w:val="0"/>
          <w:numId w:val="1001"/>
        </w:numPr>
        <w:pStyle w:val="Compact"/>
      </w:pPr>
      <w:r>
        <w:t xml:space="preserve">Bakken TE, Hodge RD, Miller JA, et al. Single-nucleus and single-cell transcriptomes compared in matched cortical cell types. PLoS One. 2018;13(12):e0209648. doi:10.1371/journal.pone.0209648</w:t>
      </w:r>
    </w:p>
    <w:p>
      <w:pPr>
        <w:numPr>
          <w:ilvl w:val="0"/>
          <w:numId w:val="1001"/>
        </w:numPr>
        <w:pStyle w:val="Compact"/>
      </w:pPr>
      <w:r>
        <w:t xml:space="preserve">Avila Cobos F, Alquicira-Hernandez J, Powell JE, Mestdagh P, De Preter K. Benchmarking of cell type deconvolution pipelines for transcriptomics data. Nat Commun. 2020;11(1):5650. doi:10.1038/s41467-020-19015-1</w:t>
      </w:r>
    </w:p>
    <w:p>
      <w:pPr>
        <w:numPr>
          <w:ilvl w:val="0"/>
          <w:numId w:val="1001"/>
        </w:numPr>
        <w:pStyle w:val="Compact"/>
      </w:pPr>
      <w:r>
        <w:t xml:space="preserve">Sutton GJ, Poppe D, Simmons RK, et al. Comprehensive evaluation of deconvolution methods for human brain gene expression. Nat Commun. 2022;13(1):1358. doi:10.1038/s41467-022-28655-4</w:t>
      </w:r>
    </w:p>
    <w:p>
      <w:pPr>
        <w:numPr>
          <w:ilvl w:val="0"/>
          <w:numId w:val="1001"/>
        </w:numPr>
        <w:pStyle w:val="Compact"/>
      </w:pPr>
      <w:r>
        <w:t xml:space="preserve">Wang Q, Hu B, Hu X, et al. Tumor evolution of glioma-intrinsic gene expression subtypes associates with immunological changes in the microenvironment. Cancer Cell. 2017;32(1):42-56.e6. doi:10.1016/j.ccell.2017.06.003</w:t>
      </w:r>
    </w:p>
    <w:bookmarkEnd w:id="49"/>
    <w:bookmarkStart w:id="50"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w:t>
      </w:r>
    </w:p>
    <w:bookmarkEnd w:id="50"/>
    <w:bookmarkEnd w:id="51"/>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2026-09-28T10:14:28Z</dcterms:created>
  <dcterms:modified xsi:type="dcterms:W3CDTF">2026-09-28T10:14:28Z</dcterms:modified>
</cp:coreProperties>
</file>

<file path=docProps/custom.xml><?xml version="1.0" encoding="utf-8"?>
<Properties xmlns="http://schemas.openxmlformats.org/officeDocument/2006/custom-properties" xmlns:vt="http://schemas.openxmlformats.org/officeDocument/2006/docPropsVTypes"/>
</file>