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dae26f9ac92f2bfb3c7b20da80471732cca90d"/>
    <w:p>
      <w:pPr>
        <w:pStyle w:val="Heading1"/>
        <w:jc w:val="center"/>
      </w:pPr>
      <w:r>
        <w:rPr>
          <w:sz w:val="32"/>
        </w:rPr>
        <w:t xml:space="preserve">Alzheimer’s disease–glioblastoma transcriptomic overlap is markedly reduced after adjustment for estimated cell composition: a pre-specified re-evaluation</w:t>
      </w:r>
    </w:p>
    <w:p>
      <w:pPr>
        <w:pStyle w:val="FirstParagraph"/>
        <w:jc w:val="center"/>
      </w:pPr>
      <w:r>
        <w:t xml:space="preserve">Ahmet Karakuş</w:t>
      </w:r>
      <w:r>
        <w:rPr>
          <w:vertAlign w:val="superscript"/>
        </w:rPr>
        <w:t xml:space="preserve">a</w:t>
      </w:r>
    </w:p>
    <w:p>
      <w:pPr>
        <w:pStyle w:val="BodyText"/>
        <w:jc w:val="center"/>
      </w:pPr>
      <w:r>
        <w:rPr>
          <w:vertAlign w:val="superscript"/>
        </w:rPr>
        <w:t xml:space="preserve">a</w:t>
      </w:r>
      <w:r>
        <w:t xml:space="preserve"> </w:t>
      </w:r>
      <w:r>
        <w:t xml:space="preserve">Bartın University, </w:t>
      </w:r>
      <w:r>
        <w:rPr>
          <w:highlight w:val="yellow"/>
        </w:rPr>
        <w:t>[CHECK: department]</w:t>
      </w:r>
      <w:r>
        <w:rPr/>
        <w:t xml:space="preserve">, </w:t>
      </w:r>
      <w:r>
        <w:rPr>
          <w:highlight w:val="yellow"/>
        </w:rPr>
        <w:t>[CHECK: postal address]</w:t>
      </w:r>
      <w:r>
        <w:rPr/>
        <w:t>, Bartın, Türkiye</w:t>
      </w:r>
    </w:p>
    <w:p>
      <w:pPr>
        <w:pStyle w:val="BodyText"/>
        <w:jc w:val="center"/>
      </w:pPr>
      <w:r>
        <w:t xml:space="preserve">Corresponding author: Ahmet Karakuş, akarakus@bartin.edu.tr</w:t>
      </w:r>
      <w:r>
        <w:br/>
      </w:r>
      <w:r>
        <w:t xml:space="preserve">ORCID: https://orcid.org/0000-0003-1458-808X</w:t>
      </w:r>
    </w:p>
    <w:bookmarkStart w:id="20" w:name="abstract"/>
    <w:p>
      <w:pPr>
        <w:pStyle w:val="Heading2"/>
      </w:pPr>
      <w:r>
        <w:t xml:space="preserve">Abstract</w:t>
      </w:r>
    </w:p>
    <w:p>
      <w:pPr>
        <w:pStyle w:val="FirstParagraph"/>
      </w:pPr>
      <w:r>
        <w:t xml:space="preserve">The inverse association between Alzheimer’s disease (AD) and cancer has prompted searches for transcriptomic signatures shared by AD and glioblastoma (GBM), but both diseases alter brain tissue composition, so genes that differ together in bulk samples may reflect cell composition. Under a time-stamped analysis plan, I tested two hypotheses. For the primary hypothesis (H1), shared differentially expressed genes (DEGs) between a neuropathologically defined hippocampal AD meta-cohort (n = 51) and TCGA-GBM/GTEx (n = 338) were compared with and without covariates from two deconvolution methods (BRETIGEA, and MuSiC replacing the planned bMIND), and the BRETIGEA test was repeated in an independent AD cohort (n = 195). The 1,458 shared DEGs fell to zero after BRETIGEA adjustment, supporting H1 and repeating an earlier exploratory result; MuSiC gave the same count but implausible proportions. Noise covariates did not reproduce this loss, whereas components from random genes, which also captured composition, did. In the independent cohort, 30% of AD DEGs remained significant after adjustment, but only 3.5% of shared DEGs remained shared. For the secondary hypothesis (H2), three pre-specified tests did not detect overlap between vulnerable RORB+ entorhinal neurons and neural-like GBM states, with three donors per group. A convergence-like signal in the original analysis disappeared when age, but not donor, was modelled, because age and Braak stage did not overlap in the discovery cohort. Most of the bulk signature shared by AD and GBM is therefore associated with estimated cell composition, and cross-disease comparisons need composition adjustment, donor-level inference and attention to age.</w:t>
      </w:r>
    </w:p>
    <w:p>
      <w:pPr>
        <w:pStyle w:val="BodyText"/>
      </w:pPr>
      <w:r>
        <w:rPr>
          <w:bCs/>
          <w:b/>
        </w:rPr>
        <w:t xml:space="preserve">Keywords:</w:t>
      </w:r>
      <w:r>
        <w:t xml:space="preserve"> </w:t>
      </w:r>
      <w:r>
        <w:t xml:space="preserve">Alzheimer’s disease; Glioblastoma; Transcriptomics; Deconvolution; Pseudoreplication; Preregistration; Age</w:t>
      </w:r>
    </w:p>
    <w:bookmarkEnd w:id="20"/>
    <w:bookmarkStart w:id="21" w:name="introduction"/>
    <w:p>
      <w:pPr>
        <w:pStyle w:val="Heading2"/>
      </w:pPr>
      <w:r>
        <w:t xml:space="preserve">1. Introduction</w:t>
      </w:r>
    </w:p>
    <w:p>
      <w:pPr>
        <w:pStyle w:val="FirstParagraph"/>
      </w:pPr>
      <w:r>
        <w:t xml:space="preserve">Alzheimer’s disease (AD) and cancer seem to avoid each other. In the Framingham Heart Study, cancer survivors had a lower risk of AD, and people with AD had a lower risk of subsequent cancer (Driver et al., 2012). A population-based incidence study in northern Italy found the same inverse pattern (Musicco et al., 2013). These observations led to the idea that neurodegeneration and tumour growth might share molecular processes that are regulated in opposite directions, and to transcriptomic meta-analyses that looked for such opposing differences across central nervous system disorders and cancers (Ibáñez et al., 2014). Mechanistic accounts have also been proposed; a recent review, for example, framed the inverse relationship in terms of opposite responses to chronic hypoxia, involving HIF-1α and glycolytic reprogramming (Su et al., 2023).</w:t>
      </w:r>
    </w:p>
    <w:p>
      <w:pPr>
        <w:pStyle w:val="BodyText"/>
      </w:pPr>
      <w:r>
        <w:t xml:space="preserve">Glioblastoma (GBM) is an attractive comparison for AD because both arise in the brain. One study used bulk microarray data to identify signalling pathways that were regulated in opposite directions in AD and GBM (Liu et al., 2013). More recent work combined bulk and single-cell transcriptomics with Mendelian randomisation and functional experiments to propose a candidate gene linking the two diseases (Liu et al., 2025), or used single-cell data to derive shared mitochondrial markers (Xu et al., 2025). Much of this literature starts from the same step: comparing genes whose expression differs between each disease and controls, measured in bulk tissue.</w:t>
      </w:r>
    </w:p>
    <w:p>
      <w:pPr>
        <w:pStyle w:val="BodyText"/>
      </w:pPr>
      <w:r>
        <w:t xml:space="preserve">That step has a well-known weakness. AD involves neuronal loss and a glial response, and in GBM malignant cells replace normal brain tissue. Both processes alter the cellular composition of the tissue sampled. In intact brain tissue, much of the covariation in gene expression is driven by differences in cell composition (Kelley et al., 2018), and adding estimated cell-type proportions to the model reduces false associations between AD phenotypes and gene expression (Patrick et al., 2020). Two diseases that both lose neurons will both show lower expression of neuronal genes, even if expression within individual cells does not differ. In a bulk comparison, that would look like a shared signature. This study grew out of that concern. In an earlier, unpublished analysis of largely the same bulk cohorts (Karakuş, 2026a), I had found 198 genes shared by AD and GBM and had seen them disappear when composition scores were added to the model. That analysis was exploratory: its cohorts, thresholds and models were chosen as the work went along. The present study was designed to find out whether the result holds when the analysis is fixed in advance, when donor structure and age are handled properly, and when it is repeated in a cohort the earlier analysis did not use.</w:t>
      </w:r>
    </w:p>
    <w:p>
      <w:pPr>
        <w:pStyle w:val="BodyText"/>
      </w:pPr>
      <w:r>
        <w:t xml:space="preserve">If some of the bulk signal is not compositional, a second question follows: does it correspond to something real at the level of cell types? In AD, RORB-expressing excitatory neurons of the entorhinal cortex are lost selectively and early (Leng et al., 2021). In GBM, part of the malignant population occupies transcriptional states that resemble neural and oligodendrocyte progenitors (NPC-like and OPC-like) (Neftel et al., 2019), and glioma cells can form synapses with neurons and integrate into neural circuits (Venkatesh et al., 2019). It is therefore reasonable to ask whether the neuronal programme lost by vulnerable AD neurons overlaps with the neural-like identity that some GBM cells adopt.</w:t>
      </w:r>
    </w:p>
    <w:p>
      <w:pPr>
        <w:pStyle w:val="BodyText"/>
      </w:pPr>
      <w:r>
        <w:t xml:space="preserve">I tested both questions under an analysis plan written before any data were analysed. The primary hypothesis (H1) predicted that shared differentially expressed genes (DEGs) between AD and GBM would largely disappear once cell composition was controlled with two independent deconvolution methods. The secondary hypothesis (H2) predicted that any remaining signal would reflect overlap between the AD vulnerable-neuron signature and the GBM neural-mimicry signature, assessed with three complementary tests. Because the outcome of H1 had already been seen in the earlier analysis, H1 is here a pre-specified re-test, and its replication in an independent cohort carries more weight than the primary test. Flexible, data-dependent analysis decisions inflate false-positive rates (Simmons et al., 2011), so the hypotheses, thresholds, decision rules and publication framings for both possible outcomes were fixed in advance (Nosek et al., 2018), and every deviation from the plan was logged with its date. Age runs through both questions. AD and GBM are diseases of older age, cohorts of post-mortem brain often differ in age between groups, and age-related differences in cell composition and gene expression can mimic disease effects. Age was therefore a covariate in every model. Because comparisons between donors in single-cell data need donor-level inference (Squair et al., 2021), I also audited the implementation against the plan during the study and report how the problems it uncovered affected the results.</w:t>
      </w:r>
    </w:p>
    <w:bookmarkEnd w:id="21"/>
    <w:bookmarkStart w:id="30" w:name="methods"/>
    <w:p>
      <w:pPr>
        <w:pStyle w:val="Heading2"/>
      </w:pPr>
      <w:r>
        <w:t xml:space="preserve">2. Methods</w:t>
      </w:r>
    </w:p>
    <w:bookmarkStart w:id="22" w:name="X4c6f99fedb6ca3ea25fd066fb673ea3d5726c2f"/>
    <w:p>
      <w:pPr>
        <w:pStyle w:val="Heading3"/>
      </w:pPr>
      <w:r>
        <w:t xml:space="preserve">2.1 Pre-specified analysis plan and deviation register</w:t>
      </w:r>
    </w:p>
    <w:p>
      <w:pPr>
        <w:pStyle w:val="FirstParagraph"/>
      </w:pPr>
      <w:r>
        <w:t xml:space="preserve">The hypotheses, decision rules, thresholds and outcome-dependent publication scenarios were defined in an analysis plan before any data analysis (Supplementary File 1). The plan was committed to the project’s git repository as its first commit on 20 September 2026 (commit 3fcf8d1) and has not been modified since. The plan also committed to uploading it to a public repository before analysis; this was not done. The repository, with its full commit history, was made public at submission (https://github.com/akarakus-bartin/ad-gbm-composition); the submitted version is archived on Zenodo (Karakuş, 2026b). The commit timestamps were therefore generated on the author’s computer and have not been verified by an independent registry. The study rests on a time-stamped, pre-specified plan, not on a formal preregistration such as OSF.</w:t>
      </w:r>
    </w:p>
    <w:p>
      <w:pPr>
        <w:pStyle w:val="BodyText"/>
      </w:pPr>
      <w:r>
        <w:t xml:space="preserve">The plan was written after the earlier exploratory analysis (Karakuş, 2026a), which used overlapping data (GSE48350, GSE36980 and TCGA-GBM/GTEx) and had reported that shared DEGs disappear under BRETIGEA adjustment; the plan refers to the 198-gene shared signature of that analysis. Pre-specification therefore constrained the analytic choices of the present study, but it could not keep the likely outcome of H1 unknown to the author. The analyses that had not been run before, namely H2 at cell-type resolution, the donor and age analyses and the replication in GSE125583, did not have this limitation.</w:t>
      </w:r>
    </w:p>
    <w:p>
      <w:pPr>
        <w:pStyle w:val="BodyText"/>
      </w:pPr>
      <w:r>
        <w:t xml:space="preserve">Every deviation from the plan is recorded, with its date, reason and the analyses it affected, in a deviation register (DEVIATIONS.md; Supplementary File 2). Partway through the project, an audit of the implementation against the plan showed that the primary analyses had departed from the plan at several points without documentation (Section 2.7 and Table 2). After the audit, all hypothesis tests were re-run in a plan-conformant way. For each re-run, the analysis choices were written into the script header and committed before results were produced, so every results commit follows the commit that fixed its decisions. There is one exception. The Stage 1 code was first executed in the R console; the script file was created a few minutes later, with identical code and before the results were inspected, and this is noted in the register.</w:t>
      </w:r>
    </w:p>
    <w:p>
      <w:pPr>
        <w:pStyle w:val="BodyText"/>
      </w:pPr>
      <w:r>
        <w:t xml:space="preserve">The primary hypothesis (H1) was that shared DEGs between AD and GBM at the bulk transcriptomic level are substantially reduced when cell-type composition is included as a covariate, and that this reduction does not depend on the deconvolution method. The secondary hypothesis (H2) was that any residual shared neuronal-programme signal reflects overlap between the transcriptional identity of AD-vulnerable RORB+ entorhinal excitatory neurons and that of the neural-lineage-like (NPC-like and OPC-like) malignant states in GBM. Figure 1 summarises the design and the decision flow for both hypotheses.</w:t>
      </w:r>
    </w:p>
    <w:bookmarkEnd w:id="22"/>
    <w:bookmarkStart w:id="23" w:name="data-sources"/>
    <w:p>
      <w:pPr>
        <w:pStyle w:val="Heading3"/>
      </w:pPr>
      <w:r>
        <w:t xml:space="preserve">2.2 Data sources</w:t>
      </w:r>
    </w:p>
    <w:p>
      <w:pPr>
        <w:pStyle w:val="FirstParagraph"/>
      </w:pPr>
      <w:r>
        <w:t xml:space="preserve">Table 1 lists the datasets and their roles. All are publicly available. In every AD cohort, group membership rests on post-mortem neuropathology rather than clinical symptoms: Braak neurofibrillary stage in the Leng data and GSE48350, the neuropathological diagnosis of the Hisayama study in GSE36980 </w:t>
      </w:r>
      <w:r>
        <w:rPr>
          <w:highlight w:val="yellow"/>
        </w:rPr>
        <w:t>[CHECK: exact criterion]</w:t>
      </w:r>
      <w:r>
        <w:rPr/>
        <w:t xml:space="preserve">, and Braak stage V–VI for the advanced AD group of GSE125583 </w:t>
      </w:r>
      <w:r>
        <w:rPr>
          <w:highlight w:val="yellow"/>
        </w:rPr>
        <w:t>[CHECK]</w:t>
      </w:r>
      <w:r>
        <w:rPr/>
        <w:t>. Sex refers to biological sex as recorded in each source; gender information was not available.</w:t>
      </w:r>
    </w:p>
    <w:p>
      <w:pPr>
        <w:pStyle w:val="BodyText"/>
      </w:pPr>
      <w:r>
        <w:rPr>
          <w:bCs/>
          <w:b/>
        </w:rPr>
        <w:t xml:space="preserve">Table 1.</w:t>
      </w:r>
      <w:r>
        <w:t xml:space="preserve"> </w:t>
      </w:r>
      <w:r>
        <w:t xml:space="preserve">Data sources.</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980"/>
        <w:gridCol w:w="1980"/>
        <w:gridCol w:w="1980"/>
        <w:gridCol w:w="1980"/>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Dataset</w:t>
            </w:r>
          </w:p>
        </w:tc>
        <w:tc>
          <w:tcPr>
            <w:tcBorders>
              <w:bottom w:val="single" w:sz="4" w:color="000000"/>
            </w:tcBorders>
          </w:tcPr>
          <w:p>
            <w:pPr>
              <w:pStyle w:val="Compact"/>
              <w:spacing w:line="240" w:lineRule="auto" w:after="0"/>
              <w:jc w:val="left"/>
            </w:pPr>
            <w:r>
              <w:rPr>
                <w:rFonts w:ascii="Times New Roman" w:hAnsi="Times New Roman"/>
                <w:b/>
                <w:sz w:val="20"/>
              </w:rPr>
              <w:t xml:space="preserve">Platform</w:t>
            </w:r>
          </w:p>
        </w:tc>
        <w:tc>
          <w:tcPr>
            <w:tcBorders>
              <w:bottom w:val="single" w:sz="4" w:color="000000"/>
            </w:tcBorders>
          </w:tcPr>
          <w:p>
            <w:pPr>
              <w:pStyle w:val="Compact"/>
              <w:spacing w:line="240" w:lineRule="auto" w:after="0"/>
              <w:jc w:val="left"/>
            </w:pPr>
            <w:r>
              <w:rPr>
                <w:rFonts w:ascii="Times New Roman" w:hAnsi="Times New Roman"/>
                <w:b/>
                <w:sz w:val="20"/>
              </w:rPr>
              <w:t xml:space="preserve">Role</w:t>
            </w:r>
          </w:p>
        </w:tc>
        <w:tc>
          <w:tcPr>
            <w:tcBorders>
              <w:bottom w:val="single" w:sz="4" w:color="000000"/>
            </w:tcBorders>
          </w:tcPr>
          <w:p>
            <w:pPr>
              <w:pStyle w:val="Compact"/>
              <w:spacing w:line="240" w:lineRule="auto" w:after="0"/>
              <w:jc w:val="left"/>
            </w:pPr>
            <w:r>
              <w:rPr>
                <w:rFonts w:ascii="Times New Roman" w:hAnsi="Times New Roman"/>
                <w:b/>
                <w:sz w:val="20"/>
              </w:rPr>
              <w:t xml:space="preserve">Samples used</w:t>
            </w:r>
          </w:p>
        </w:tc>
      </w:tr>
      <w:tr>
        <w:tc>
          <w:tcPr/>
          <w:p>
            <w:pPr>
              <w:pStyle w:val="Compact"/>
              <w:spacing w:line="240" w:lineRule="auto" w:after="0"/>
              <w:jc w:val="left"/>
            </w:pPr>
            <w:r>
              <w:rPr>
                <w:rFonts w:ascii="Times New Roman" w:hAnsi="Times New Roman"/>
                <w:sz w:val="20"/>
              </w:rPr>
              <w:t xml:space="preserve">GSE147528 (Leng et al., 2021)</w:t>
            </w:r>
          </w:p>
        </w:tc>
        <w:tc>
          <w:tcPr/>
          <w:p>
            <w:pPr>
              <w:pStyle w:val="Compact"/>
              <w:spacing w:line="240" w:lineRule="auto" w:after="0"/>
              <w:jc w:val="left"/>
            </w:pPr>
            <w:r>
              <w:rPr>
                <w:rFonts w:ascii="Times New Roman" w:hAnsi="Times New Roman"/>
                <w:sz w:val="20"/>
              </w:rPr>
              <w:t xml:space="preserve">snRNA-seq (10x)</w:t>
            </w:r>
          </w:p>
        </w:tc>
        <w:tc>
          <w:tcPr/>
          <w:p>
            <w:pPr>
              <w:pStyle w:val="Compact"/>
              <w:spacing w:line="240" w:lineRule="auto" w:after="0"/>
              <w:jc w:val="left"/>
            </w:pPr>
            <w:r>
              <w:rPr>
                <w:rFonts w:ascii="Times New Roman" w:hAnsi="Times New Roman"/>
                <w:sz w:val="20"/>
              </w:rPr>
              <w:t xml:space="preserve">Stage 1: AD vulnerable-neuron signature</w:t>
            </w:r>
          </w:p>
        </w:tc>
        <w:tc>
          <w:tcPr/>
          <w:p>
            <w:pPr>
              <w:pStyle w:val="Compact"/>
              <w:spacing w:line="240" w:lineRule="auto" w:after="0"/>
              <w:jc w:val="left"/>
            </w:pPr>
            <w:r>
              <w:rPr>
                <w:rFonts w:ascii="Times New Roman" w:hAnsi="Times New Roman"/>
                <w:sz w:val="20"/>
              </w:rPr>
              <w:t xml:space="preserve">Entorhinal cortex, 10 donors (Braak 0: 3, Braak II: 4, Braak VI: 3), all male</w:t>
            </w:r>
          </w:p>
        </w:tc>
      </w:tr>
      <w:tr>
        <w:tc>
          <w:tcPr/>
          <w:p>
            <w:pPr>
              <w:pStyle w:val="Compact"/>
              <w:spacing w:line="240" w:lineRule="auto" w:after="0"/>
              <w:jc w:val="left"/>
            </w:pPr>
            <w:r>
              <w:rPr>
                <w:rFonts w:ascii="Times New Roman" w:hAnsi="Times New Roman"/>
                <w:sz w:val="20"/>
              </w:rPr>
              <w:t xml:space="preserve">GSE131928 (Neftel et al., 2019)</w:t>
            </w:r>
          </w:p>
        </w:tc>
        <w:tc>
          <w:tcPr/>
          <w:p>
            <w:pPr>
              <w:pStyle w:val="Compact"/>
              <w:spacing w:line="240" w:lineRule="auto" w:after="0"/>
              <w:jc w:val="left"/>
            </w:pPr>
            <w:r>
              <w:rPr>
                <w:rFonts w:ascii="Times New Roman" w:hAnsi="Times New Roman"/>
                <w:sz w:val="20"/>
              </w:rPr>
              <w:t xml:space="preserve">scRNA-seq (Smart-seq2)</w:t>
            </w:r>
          </w:p>
        </w:tc>
        <w:tc>
          <w:tcPr/>
          <w:p>
            <w:pPr>
              <w:pStyle w:val="Compact"/>
              <w:spacing w:line="240" w:lineRule="auto" w:after="0"/>
              <w:jc w:val="left"/>
            </w:pPr>
            <w:r>
              <w:rPr>
                <w:rFonts w:ascii="Times New Roman" w:hAnsi="Times New Roman"/>
                <w:sz w:val="20"/>
              </w:rPr>
              <w:t xml:space="preserve">Stage 2: GBM neural-mimicry signature</w:t>
            </w:r>
          </w:p>
        </w:tc>
        <w:tc>
          <w:tcPr/>
          <w:p>
            <w:pPr>
              <w:pStyle w:val="Compact"/>
              <w:spacing w:line="240" w:lineRule="auto" w:after="0"/>
              <w:jc w:val="left"/>
            </w:pPr>
            <w:r>
              <w:rPr>
                <w:rFonts w:ascii="Times New Roman" w:hAnsi="Times New Roman"/>
                <w:sz w:val="20"/>
              </w:rPr>
              <w:t xml:space="preserve">Malignant cells from adult IDH-wild-type primary GBM; 36 pseudobulk samples from 20 tumours (both groups present in 16)</w:t>
            </w:r>
          </w:p>
        </w:tc>
      </w:tr>
      <w:tr>
        <w:tc>
          <w:tcPr/>
          <w:p>
            <w:pPr>
              <w:pStyle w:val="Compact"/>
              <w:spacing w:line="240" w:lineRule="auto" w:after="0"/>
              <w:jc w:val="left"/>
            </w:pPr>
            <w:r>
              <w:rPr>
                <w:rFonts w:ascii="Times New Roman" w:hAnsi="Times New Roman"/>
                <w:sz w:val="20"/>
              </w:rPr>
              <w:t xml:space="preserve">GSE48350 (Berchtold et al., 2013) + GSE36980 (Hokama et al., 2014)</w:t>
            </w:r>
          </w:p>
        </w:tc>
        <w:tc>
          <w:tcPr/>
          <w:p>
            <w:pPr>
              <w:pStyle w:val="Compact"/>
              <w:spacing w:line="240" w:lineRule="auto" w:after="0"/>
              <w:jc w:val="left"/>
            </w:pPr>
            <w:r>
              <w:rPr>
                <w:rFonts w:ascii="Times New Roman" w:hAnsi="Times New Roman"/>
                <w:sz w:val="20"/>
              </w:rPr>
              <w:t xml:space="preserve">Affymetrix HG-U133 Plus 2.0 and HuGene 1.0 ST</w:t>
            </w:r>
          </w:p>
        </w:tc>
        <w:tc>
          <w:tcPr/>
          <w:p>
            <w:pPr>
              <w:pStyle w:val="Compact"/>
              <w:spacing w:line="240" w:lineRule="auto" w:after="0"/>
              <w:jc w:val="left"/>
            </w:pPr>
            <w:r>
              <w:rPr>
                <w:rFonts w:ascii="Times New Roman" w:hAnsi="Times New Roman"/>
                <w:sz w:val="20"/>
              </w:rPr>
              <w:t xml:space="preserve">Stage 4: AD bulk meta-cohort</w:t>
            </w:r>
          </w:p>
        </w:tc>
        <w:tc>
          <w:tcPr/>
          <w:p>
            <w:pPr>
              <w:pStyle w:val="Compact"/>
              <w:spacing w:line="240" w:lineRule="auto" w:after="0"/>
              <w:jc w:val="left"/>
            </w:pPr>
            <w:r>
              <w:rPr>
                <w:rFonts w:ascii="Times New Roman" w:hAnsi="Times New Roman"/>
                <w:sz w:val="20"/>
              </w:rPr>
              <w:t xml:space="preserve">Hippocampus, n = 51 (AD 18, control 33; GSE48350: 34, GSE36980: 17)</w:t>
            </w:r>
          </w:p>
        </w:tc>
      </w:tr>
      <w:tr>
        <w:tc>
          <w:tcPr/>
          <w:p>
            <w:pPr>
              <w:pStyle w:val="Compact"/>
              <w:spacing w:line="240" w:lineRule="auto" w:after="0"/>
              <w:jc w:val="left"/>
            </w:pPr>
            <w:r>
              <w:rPr>
                <w:rFonts w:ascii="Times New Roman" w:hAnsi="Times New Roman"/>
                <w:sz w:val="20"/>
              </w:rPr>
              <w:t xml:space="preserve">TCGA-GBM (Brennan et al., 2013) + GTEx (GTEx Consortium, 2020); UCSC Xena (Goldman et al., 2020), TOIL (Vivian et al., 2017)</w:t>
            </w:r>
          </w:p>
        </w:tc>
        <w:tc>
          <w:tcPr/>
          <w:p>
            <w:pPr>
              <w:pStyle w:val="Compact"/>
              <w:spacing w:line="240" w:lineRule="auto" w:after="0"/>
              <w:jc w:val="left"/>
            </w:pPr>
            <w:r>
              <w:rPr>
                <w:rFonts w:ascii="Times New Roman" w:hAnsi="Times New Roman"/>
                <w:sz w:val="20"/>
              </w:rPr>
              <w:t xml:space="preserve">RNA-seq</w:t>
            </w:r>
          </w:p>
        </w:tc>
        <w:tc>
          <w:tcPr/>
          <w:p>
            <w:pPr>
              <w:pStyle w:val="Compact"/>
              <w:spacing w:line="240" w:lineRule="auto" w:after="0"/>
              <w:jc w:val="left"/>
            </w:pPr>
            <w:r>
              <w:rPr>
                <w:rFonts w:ascii="Times New Roman" w:hAnsi="Times New Roman"/>
                <w:sz w:val="20"/>
              </w:rPr>
              <w:t xml:space="preserve">Stage 4: GBM bulk cohort</w:t>
            </w:r>
          </w:p>
        </w:tc>
        <w:tc>
          <w:tcPr/>
          <w:p>
            <w:pPr>
              <w:pStyle w:val="Compact"/>
              <w:spacing w:line="240" w:lineRule="auto" w:after="0"/>
              <w:jc w:val="left"/>
            </w:pPr>
            <w:r>
              <w:rPr>
                <w:rFonts w:ascii="Times New Roman" w:hAnsi="Times New Roman"/>
                <w:sz w:val="20"/>
              </w:rPr>
              <w:t xml:space="preserve">152 primary tumours; 186 controls (hippocampus 84, frontal cortex BA9 102)</w:t>
            </w:r>
          </w:p>
        </w:tc>
      </w:tr>
      <w:tr>
        <w:tc>
          <w:tcPr/>
          <w:p>
            <w:pPr>
              <w:pStyle w:val="Compact"/>
              <w:spacing w:line="240" w:lineRule="auto" w:after="0"/>
              <w:jc w:val="left"/>
            </w:pPr>
            <w:r>
              <w:rPr>
                <w:rFonts w:ascii="Times New Roman" w:hAnsi="Times New Roman"/>
                <w:sz w:val="20"/>
              </w:rPr>
              <w:t xml:space="preserve">Allen Brain Map, human M1 10x (Bakken et al., 2021)</w:t>
            </w:r>
          </w:p>
        </w:tc>
        <w:tc>
          <w:tcPr/>
          <w:p>
            <w:pPr>
              <w:pStyle w:val="Compact"/>
              <w:spacing w:line="240" w:lineRule="auto" w:after="0"/>
              <w:jc w:val="left"/>
            </w:pPr>
            <w:r>
              <w:rPr>
                <w:rFonts w:ascii="Times New Roman" w:hAnsi="Times New Roman"/>
                <w:sz w:val="20"/>
              </w:rPr>
              <w:t xml:space="preserve">snRNA-seq</w:t>
            </w:r>
          </w:p>
        </w:tc>
        <w:tc>
          <w:tcPr/>
          <w:p>
            <w:pPr>
              <w:pStyle w:val="Compact"/>
              <w:spacing w:line="240" w:lineRule="auto" w:after="0"/>
              <w:jc w:val="left"/>
            </w:pPr>
            <w:r>
              <w:rPr>
                <w:rFonts w:ascii="Times New Roman" w:hAnsi="Times New Roman"/>
                <w:sz w:val="20"/>
              </w:rPr>
              <w:t xml:space="preserve">Stage 4: MuSiC reference</w:t>
            </w:r>
          </w:p>
        </w:tc>
        <w:tc>
          <w:tcPr/>
          <w:p>
            <w:pPr>
              <w:pStyle w:val="Compact"/>
              <w:spacing w:line="240" w:lineRule="auto" w:after="0"/>
              <w:jc w:val="left"/>
            </w:pPr>
            <w:r>
              <w:rPr>
                <w:rFonts w:ascii="Times New Roman" w:hAnsi="Times New Roman"/>
                <w:sz w:val="20"/>
              </w:rPr>
              <w:t xml:space="preserve">3,023 nuclei selected from 76,533, 2 donors</w:t>
            </w:r>
          </w:p>
        </w:tc>
      </w:tr>
      <w:tr>
        <w:tc>
          <w:tcPr/>
          <w:p>
            <w:pPr>
              <w:pStyle w:val="Compact"/>
              <w:spacing w:line="240" w:lineRule="auto" w:after="0"/>
              <w:jc w:val="left"/>
            </w:pPr>
            <w:r>
              <w:rPr>
                <w:rFonts w:ascii="Times New Roman" w:hAnsi="Times New Roman"/>
                <w:sz w:val="20"/>
              </w:rPr>
              <w:t xml:space="preserve">GSE125583 (SRP181886) </w:t>
            </w:r>
            <w:r>
              <w:rPr>
                <w:rFonts w:ascii="Times New Roman" w:hAnsi="Times New Roman"/>
                <w:sz w:val="20"/>
                <w:highlight w:val="yellow"/>
              </w:rPr>
              <w:t>[CHECK: source publication; candidate Srinivasan et al., 2020]</w:t>
            </w:r>
          </w:p>
        </w:tc>
        <w:tc>
          <w:tcPr/>
          <w:p>
            <w:pPr>
              <w:pStyle w:val="Compact"/>
              <w:spacing w:line="240" w:lineRule="auto" w:after="0"/>
              <w:jc w:val="left"/>
            </w:pPr>
            <w:r>
              <w:rPr>
                <w:rFonts w:ascii="Times New Roman" w:hAnsi="Times New Roman"/>
                <w:sz w:val="20"/>
              </w:rPr>
              <w:t xml:space="preserve">RNA-seq, recount3 (Wilks et al., 2021)</w:t>
            </w:r>
          </w:p>
        </w:tc>
        <w:tc>
          <w:tcPr/>
          <w:p>
            <w:pPr>
              <w:pStyle w:val="Compact"/>
              <w:spacing w:line="240" w:lineRule="auto" w:after="0"/>
              <w:jc w:val="left"/>
            </w:pPr>
            <w:r>
              <w:rPr>
                <w:rFonts w:ascii="Times New Roman" w:hAnsi="Times New Roman"/>
                <w:sz w:val="20"/>
              </w:rPr>
              <w:t xml:space="preserve">Not in the plan: independent replication of H1, added after external review and pre-declared before running; exploratory stress-gene analysis</w:t>
            </w:r>
          </w:p>
        </w:tc>
        <w:tc>
          <w:tcPr/>
          <w:p>
            <w:pPr>
              <w:pStyle w:val="Compact"/>
              <w:spacing w:line="240" w:lineRule="auto" w:after="0"/>
              <w:jc w:val="left"/>
            </w:pPr>
            <w:r>
              <w:rPr>
                <w:rFonts w:ascii="Times New Roman" w:hAnsi="Times New Roman"/>
                <w:sz w:val="20"/>
              </w:rPr>
              <w:t xml:space="preserve">Fusiform cortex; advanced AD 125, control 70</w:t>
            </w:r>
          </w:p>
        </w:tc>
      </w:tr>
    </w:tbl>
    <w:p>
      <w:pPr>
        <w:pStyle w:val="BodyText"/>
      </w:pPr>
      <w:r>
        <w:rPr>
          <w:iCs/>
          <w:i/>
        </w:rPr>
        <w:t xml:space="preserve">Abbreviations:</w:t>
      </w:r>
      <w:r>
        <w:t xml:space="preserve"> </w:t>
      </w:r>
      <w:r>
        <w:t xml:space="preserve">AD, Alzheimer’s disease; BA9, Brodmann area 9; GBM, glioblastoma; GTEx, Genotype-Tissue Expression project; H1, primary hypothesis; IDH, isocitrate dehydrogenase; M1, primary motor cortex; scRNA-seq, single-cell RNA sequencing; snRNA-seq, single-nucleus RNA sequencing; TCGA, The Cancer Genome Atlas; TOIL, the Toil recompute of TCGA and GTEx; TPM, transcripts per million.</w:t>
      </w:r>
    </w:p>
    <w:bookmarkEnd w:id="23"/>
    <w:bookmarkStart w:id="24" w:name="stage-1-ad-vulnerable-neuron-signature"/>
    <w:p>
      <w:pPr>
        <w:pStyle w:val="Heading3"/>
      </w:pPr>
      <w:r>
        <w:t xml:space="preserve">2.3 Stage 1: AD vulnerable-neuron signature</w:t>
      </w:r>
    </w:p>
    <w:p>
      <w:pPr>
        <w:pStyle w:val="FirstParagraph"/>
      </w:pPr>
      <w:r>
        <w:t xml:space="preserve">I used the processed entorhinal cortex excitatory-neuron object released by Leng et al. (2021), with its scAlign (Johansen and Quon, 2019) subcluster labels. The plan defined vulnerable neurons by the 75th percentile of RORB expression. Instead, I used the three RORB+ subclusters that the original study identified as vulnerable (EC:Exc.s1, EC:Exc.s2 and EC:Exc.s4), a documented deviation (Table 2). Raw counts were summed for each donor × subcluster combination, and combinations with fewer than 10 nuclei were dropped.</w:t>
      </w:r>
    </w:p>
    <w:p>
      <w:pPr>
        <w:pStyle w:val="BodyText"/>
      </w:pPr>
      <w:r>
        <w:t xml:space="preserve">Because the plan assumed a single vulnerable subtype, its</w:t>
      </w:r>
      <w:r>
        <w:t xml:space="preserve"> </w:t>
      </w:r>
      <w:r>
        <w:t xml:space="preserve">“</w:t>
      </w:r>
      <w:r>
        <w:t xml:space="preserve">donor × subtype</w:t>
      </w:r>
      <w:r>
        <w:t xml:space="preserve">”</w:t>
      </w:r>
      <w:r>
        <w:t xml:space="preserve"> </w:t>
      </w:r>
      <w:r>
        <w:t xml:space="preserve">definition meant one sample per donor. Using three subclusters produced several samples per donor, so for the primary analysis I summed the three subclusters within each donor to obtain one pseudobulk sample per donor.</w:t>
      </w:r>
    </w:p>
    <w:p>
      <w:pPr>
        <w:pStyle w:val="BodyText"/>
      </w:pPr>
      <w:r>
        <w:t xml:space="preserve">As specified in the plan, the primary contrast was Braak VI versus Braak 0. A Braak II versus Braak 0 contrast is reported as a secondary analysis; this deviation was decided and documented while inspecting the data, before any results, on the grounds that RORB+ neuron loss becomes apparent between Braak 0 and Braak II. Differential expression was tested with the edgeR (Robinson et al., 2010) (version 4.10.3) quasi-likelihood F-test (Chen et al., 2016). Genes were filtered with</w:t>
      </w:r>
      <w:r>
        <w:t xml:space="preserve"> </w:t>
      </w:r>
      <w:r>
        <w:rPr>
          <w:rStyle w:val="VerbatimChar"/>
        </w:rPr>
        <w:t xml:space="preserve">filterByExpr</w:t>
      </w:r>
      <w:r>
        <w:t xml:space="preserve">, library sizes were normalised with TMM (Robinson and Oshlack, 2010), and dispersions and quasi-likelihood models were estimated with the robust option. The design was</w:t>
      </w:r>
      <w:r>
        <w:t xml:space="preserve"> </w:t>
      </w:r>
      <w:r>
        <w:rPr>
          <w:rStyle w:val="VerbatimChar"/>
        </w:rPr>
        <w:t xml:space="preserve">~ braak + age</w:t>
      </w:r>
      <w:r>
        <w:t xml:space="preserve">. The plan also listed sex as a covariate, but all donors were male, so it was dropped. Following the plan, a gene entered the AD vulnerable-neuron signature if its Benjamini-Hochberg (Benjamini and Hochberg, 1995) FDR was below 0.05 and its log2 fold change was below −0.5. For Stage 3, genes were ranked by sign(log2FC) × −log10(P).</w:t>
      </w:r>
    </w:p>
    <w:p>
      <w:pPr>
        <w:pStyle w:val="BodyText"/>
      </w:pPr>
      <w:r>
        <w:t xml:space="preserve">As a sensitivity analysis, I fitted a model that keeps the subcluster information (</w:t>
      </w:r>
      <w:r>
        <w:rPr>
          <w:rStyle w:val="VerbatimChar"/>
        </w:rPr>
        <w:t xml:space="preserve">~ braak + subcluster + age</w:t>
      </w:r>
      <w:r>
        <w:t xml:space="preserve">) with limma-voom (Law et al., 2014; Ritchie et al., 2015), modelling donor as a blocking factor with</w:t>
      </w:r>
      <w:r>
        <w:t xml:space="preserve"> </w:t>
      </w:r>
      <w:r>
        <w:rPr>
          <w:rStyle w:val="VerbatimChar"/>
        </w:rPr>
        <w:t xml:space="preserve">duplicateCorrelation</w:t>
      </w:r>
      <w:r>
        <w:t xml:space="preserve"> </w:t>
      </w:r>
      <w:r>
        <w:t xml:space="preserve">(Smyth et al., 2005). With few donors, this approach can be anti-conservative for between-donor contrasts (Squair et al., 2021; Zimmerman et al., 2021), so I decided before seeing results that it would not be used for decisions.</w:t>
      </w:r>
    </w:p>
    <w:bookmarkEnd w:id="24"/>
    <w:bookmarkStart w:id="25" w:name="stage-2-gbm-neural-mimicry-signature"/>
    <w:p>
      <w:pPr>
        <w:pStyle w:val="Heading3"/>
      </w:pPr>
      <w:r>
        <w:t xml:space="preserve">2.4 Stage 2: GBM neural-mimicry signature</w:t>
      </w:r>
    </w:p>
    <w:p>
      <w:pPr>
        <w:pStyle w:val="FirstParagraph"/>
      </w:pPr>
      <w:r>
        <w:t xml:space="preserve">In the malignant-cell data of Neftel et al. (2019), NPC-like and OPC-like cells were grouped as</w:t>
      </w:r>
      <w:r>
        <w:t xml:space="preserve"> </w:t>
      </w:r>
      <w:r>
        <w:t xml:space="preserve">“</w:t>
      </w:r>
      <w:r>
        <w:t xml:space="preserve">neural lineage</w:t>
      </w:r>
      <w:r>
        <w:t xml:space="preserve">”</w:t>
      </w:r>
      <w:r>
        <w:t xml:space="preserve"> </w:t>
      </w:r>
      <w:r>
        <w:t xml:space="preserve">and AC-like and MES-like cells as</w:t>
      </w:r>
      <w:r>
        <w:t xml:space="preserve"> </w:t>
      </w:r>
      <w:r>
        <w:t xml:space="preserve">“</w:t>
      </w:r>
      <w:r>
        <w:t xml:space="preserve">other</w:t>
      </w:r>
      <w:r>
        <w:t xml:space="preserve">”</w:t>
      </w:r>
      <w:r>
        <w:t xml:space="preserve">, following the original meta-module assignments. Cycling cells and cells assigned to two intermediate states were excluded. Pseudobulk profiles were built for each tumour × group combination; after the minimum-cell filter, 36 samples from 20 tumours remained (17 neural lineage, 19 other). The plan expected 24 tumours (deviation; Table 2). Because tumour enters the model as a fixed effect, the group contrast draws its information from the 16 tumours that contribute samples to both groups. As planned, differential expression was tested with a paired design that blocks on tumour (</w:t>
      </w:r>
      <w:r>
        <w:rPr>
          <w:rStyle w:val="VerbatimChar"/>
        </w:rPr>
        <w:t xml:space="preserve">~ tumour + group</w:t>
      </w:r>
      <w:r>
        <w:t xml:space="preserve">) using the edgeR quasi-likelihood F-test. The pseudobulk profiles were built from summed and rounded TPM values. I used the adult malignant cells from the Smart-seq2 data (GSM3828672) and converted the GEO values, stored as log2(TPM/10 + 1), back to linear TPM with 10 × (2^x − 1). The GEO archive (GSE131928_RAW.tar) contains only processed TPM matrices, so an analysis on raw counts was not possible. This is a limitation for a negative binomial model, which assumes counts, so I also ran a limma-trend sensitivity analysis on log-scaled TPM (Section 2.7). A gene entered the GBM neural-mimicry signature if its FDR was below 0.05 and its log2FC was above 0.5.</w:t>
      </w:r>
    </w:p>
    <w:bookmarkEnd w:id="25"/>
    <w:bookmarkStart w:id="26" w:name="stage-3-convergence-test-h2"/>
    <w:p>
      <w:pPr>
        <w:pStyle w:val="Heading3"/>
      </w:pPr>
      <w:r>
        <w:t xml:space="preserve">2.5 Stage 3: convergence test (H2)</w:t>
      </w:r>
    </w:p>
    <w:p>
      <w:pPr>
        <w:pStyle w:val="FirstParagraph"/>
      </w:pPr>
      <w:r>
        <w:t xml:space="preserve">H2 was tested on the 3,857 genes shared by the two platforms, using the three tests defined in the plan.</w:t>
      </w:r>
    </w:p>
    <w:p>
      <w:pPr>
        <w:pStyle w:val="BodyText"/>
      </w:pPr>
      <w:r>
        <w:rPr>
          <w:iCs/>
          <w:i/>
        </w:rPr>
        <w:t xml:space="preserve">Test 1 (RRHO2).</w:t>
      </w:r>
      <w:r>
        <w:t xml:space="preserve"> </w:t>
      </w:r>
      <w:r>
        <w:t xml:space="preserve">Both signatures were passed to RRHO2 (Cahill et al., 2018) (version 1.0) as complete gene lists ranked by sign(log2FC) × −log10(P), with a step size of 100 and the hypergeometric method (a 43 × 43 map). As required by the plan, significance was assessed at the highest −log10(P) in the quadrant for genes down in AD and up in GBM (DU). Quadrant boundaries are defined where RRHO2 splits each list into up- and down-regulated genes, that is, where the ranking statistic changes sign. The first version of the re-analysis script assumed the boundaries lay at the midpoint of the map. I noticed this while making the figures and corrected it; the DU values, and therefore the H2 decisions, did not change (see the deviation register). The plan specified a BH adjustment at this point; for consistency with the original implementation, I multiplied the raw P value by the number of pixels, which is more conservative (deviation; Table 2). The threshold was an adjusted P below 0.001. The maxima of the other three quadrants are reported for comparison.</w:t>
      </w:r>
    </w:p>
    <w:p>
      <w:pPr>
        <w:pStyle w:val="BodyText"/>
      </w:pPr>
      <w:r>
        <w:rPr>
          <w:iCs/>
          <w:i/>
        </w:rPr>
        <w:t xml:space="preserve">Test 2 (hypergeometric).</w:t>
      </w:r>
      <w:r>
        <w:t xml:space="preserve"> </w:t>
      </w:r>
      <w:r>
        <w:t xml:space="preserve">I took the top 200 genes of each signature and tested their overlap against the shared universe with a hypergeometric test. As in the original implementation, the top 200 genes were those with the most negative log2FC in AD and the most positive log2FC in GBM. The odds ratio was computed from the 2 × 2 table, and the P value was Bonferroni-adjusted for the three H2 tests (× 3). The threshold was an odds ratio of at least 3 and an adjusted P below 0.001.</w:t>
      </w:r>
    </w:p>
    <w:p>
      <w:pPr>
        <w:pStyle w:val="BodyText"/>
      </w:pPr>
      <w:r>
        <w:rPr>
          <w:iCs/>
          <w:i/>
        </w:rPr>
        <w:t xml:space="preserve">Test 3 (permutation).</w:t>
      </w:r>
      <w:r>
        <w:t xml:space="preserve"> </w:t>
      </w:r>
      <w:r>
        <w:t xml:space="preserve">I drew 1,000 random pairs of 200-gene sets from the shared universe and computed the odds ratio for each pair. The empirical P value was the proportion of pairs with an odds ratio at least as large as the observed one, (k + 1)/(1,000 + 1). The threshold was an empirical P below 0.01.</w:t>
      </w:r>
    </w:p>
    <w:p>
      <w:pPr>
        <w:pStyle w:val="BodyText"/>
      </w:pPr>
      <w:r>
        <w:rPr>
          <w:iCs/>
          <w:i/>
        </w:rPr>
        <w:t xml:space="preserve">Decision rule.</w:t>
      </w:r>
      <w:r>
        <w:t xml:space="preserve"> </w:t>
      </w:r>
      <w:r>
        <w:t xml:space="preserve">H2 was supported if all three tests passed, rejected if any two failed, and inconclusive if exactly one failed.</w:t>
      </w:r>
    </w:p>
    <w:p>
      <w:pPr>
        <w:pStyle w:val="BodyText"/>
      </w:pPr>
      <w:r>
        <w:t xml:space="preserve">Only the AD input changed in Stage 3; the GBM input and the implementation of all three tests were kept identical to the original code. I checked the implementation by running it on the original AD input and reproducing the original result exactly.</w:t>
      </w:r>
    </w:p>
    <w:bookmarkEnd w:id="26"/>
    <w:bookmarkStart w:id="27" w:name="Xa9c8c5fb82ac0562269843d4bbfe17ff5d71b7c"/>
    <w:p>
      <w:pPr>
        <w:pStyle w:val="Heading3"/>
      </w:pPr>
      <w:r>
        <w:t xml:space="preserve">2.6 Stage 4: composition-controlled bulk re-analysis (H1)</w:t>
      </w:r>
    </w:p>
    <w:p>
      <w:pPr>
        <w:pStyle w:val="FirstParagraph"/>
      </w:pPr>
      <w:r>
        <w:rPr>
          <w:iCs/>
          <w:i/>
        </w:rPr>
        <w:t xml:space="preserve">AD meta-cohort.</w:t>
      </w:r>
      <w:r>
        <w:t xml:space="preserve"> </w:t>
      </w:r>
      <w:r>
        <w:t xml:space="preserve">The GSE48350 and GSE36980 microarrays were normalised with RMA (Irizarry et al., 2003), and where several probes mapped to one gene symbol, the probe with the highest mean expression was kept. GSE48350 has no direct diagnosis field, so AD was defined by Braak stage (deviation). The only brain region shared by the two platforms is the hippocampus, so the analysis was restricted to hippocampal samples (deviation). Batch effects between datasets were removed with ComBat (Johnson et al., 2007; Leek et al., 2012) (sva 3.60.0). The plan named diagnosis and brain region as covariates to preserve. In practice, the candidate covariates were diagnosis, brain region and sex, and only those with at least two levels were included; after the hippocampal restriction brain region had a single level, so diagnosis and sex were preserved (deviation; Table 2). The plan’s acceptance criterion was met: the correlation between PC1 and dataset was r = −0.999 before correction and r = 0.093 after (threshold |r| &lt; 0.20), and the correlations of diagnosis with PC1 and PC2 were 0.485 and 0.405. Preserving diagnosis in ComBat can inflate significance in downstream tests when groups are unevenly distributed across batches (Nygaard et al., 2016), and I discuss this as a limitation.</w:t>
      </w:r>
    </w:p>
    <w:p>
      <w:pPr>
        <w:pStyle w:val="BodyText"/>
      </w:pPr>
      <w:r>
        <w:rPr>
          <w:iCs/>
          <w:i/>
        </w:rPr>
        <w:t xml:space="preserve">GBM cohort.</w:t>
      </w:r>
      <w:r>
        <w:t xml:space="preserve"> </w:t>
      </w:r>
      <w:r>
        <w:t xml:space="preserve">TCGA-GBM primary tumours (sample type 01) and GTEx hippocampus and frontal cortex BA9 samples were taken from the UCSC Xena (Goldman et al., 2020) TOIL (Vivian et al., 2017) files on the log2(TPM + 0.001) scale. The sample counts in the plan’s Table 1 were reproduced exactly (153 tumours, 84 hippocampus, 102 BA9). Ensembl identifiers were mapped to gene symbols through GENCODE, keeping the gene with the highest mean where several mapped to one symbol. Genes with log2 TPM ≥ 1 in fewer than 20% of samples were removed. One tumour sample without sex information was excluded, leaving 152 tumours. The plan’s exclusion criteria for GTEx RNA quality and Hardy scale could not be applied because these fields are not in the Xena phenotype file (deviation).</w:t>
      </w:r>
    </w:p>
    <w:p>
      <w:pPr>
        <w:pStyle w:val="BodyText"/>
      </w:pPr>
      <w:r>
        <w:rPr>
          <w:iCs/>
          <w:i/>
        </w:rPr>
        <w:t xml:space="preserve">Deconvolution method 1 (BRETIGEA).</w:t>
      </w:r>
      <w:r>
        <w:t xml:space="preserve"> </w:t>
      </w:r>
      <w:r>
        <w:t xml:space="preserve">Cell-type scores were computed with the BRETIGEA (McKenzie et al., 2018) (version 1.0.4)</w:t>
      </w:r>
      <w:r>
        <w:t xml:space="preserve"> </w:t>
      </w:r>
      <w:r>
        <w:rPr>
          <w:rStyle w:val="VerbatimChar"/>
        </w:rPr>
        <w:t xml:space="preserve">brainCells</w:t>
      </w:r>
      <w:r>
        <w:t xml:space="preserve"> </w:t>
      </w:r>
      <w:r>
        <w:t xml:space="preserve">function, using 50 markers per cell type, for astrocytes, endothelial cells, microglia, neurons, oligodendrocytes and oligodendrocyte precursor cells.</w:t>
      </w:r>
    </w:p>
    <w:p>
      <w:pPr>
        <w:pStyle w:val="BodyText"/>
      </w:pPr>
      <w:r>
        <w:rPr>
          <w:iCs/>
          <w:i/>
        </w:rPr>
        <w:t xml:space="preserve">Deconvolution method 2 (MuSiC).</w:t>
      </w:r>
      <w:r>
        <w:t xml:space="preserve"> </w:t>
      </w:r>
      <w:r>
        <w:t xml:space="preserve">The plan named bMIND (Wang et al., 2021) as the second method. Because the package was not available, I used MuSiC (Wang et al., 2019) (version 1.0.0), which is also reference-based (deviation). The plan called for an Allen Brain Map reference and cited Tasic et al. (2018), a mouse dataset. I used the human primary motor cortex (M1) 10x Chromium v3 snRNA-seq data published by Bakken et al. (2021) (two donors, 76,533 nuclei). In that dataset, nuclei were sorted with NeuN to enrich for neurons (90% NeuN+), so non-neuronal cells are a minority of the reference (5.2%; 64 endothelial and 108 microglial nuclei), and glial profiles are estimated from fewer nuclei. MuSiC estimates proportions from the bulk data, not from the cell frequencies of the reference, so this enrichment does not bias the proportion estimates directly. I collapsed the reference into six classes comparable to BRETIGEA: glutamatergic and GABAergic cells became neurons,</w:t>
      </w:r>
      <w:r>
        <w:t xml:space="preserve"> </w:t>
      </w:r>
      <w:r>
        <w:t xml:space="preserve">“</w:t>
      </w:r>
      <w:r>
        <w:t xml:space="preserve">Micro-PVM</w:t>
      </w:r>
      <w:r>
        <w:t xml:space="preserve">”</w:t>
      </w:r>
      <w:r>
        <w:t xml:space="preserve"> </w:t>
      </w:r>
      <w:r>
        <w:t xml:space="preserve">became microglia, and other classes such as VLMC were dropped. To keep memory use manageable, I randomly selected at most 500 nuclei per class and donor using the metadata only (3,023 nuclei in total), and committed the selection list before reading any expression data. Bulk data were converted to a linear scale (AD: 2^expression; GBM: 2^expression − 0.001, floored at zero), and the package’s default estimate (</w:t>
      </w:r>
      <w:r>
        <w:rPr>
          <w:rStyle w:val="VerbatimChar"/>
        </w:rPr>
        <w:t xml:space="preserve">Est.prop.weighted</w:t>
      </w:r>
      <w:r>
        <w:t xml:space="preserve">) was used. Because the proportions sum to one, the endothelial proportion was left out of the model to avoid exact collinearity. MuSiC is retained because the plan specified it, but its results are interpreted in the light of how plausible its estimates are (Section 3.1).</w:t>
      </w:r>
    </w:p>
    <w:p>
      <w:pPr>
        <w:pStyle w:val="BodyText"/>
      </w:pPr>
      <w:r>
        <w:rPr>
          <w:iCs/>
          <w:i/>
        </w:rPr>
        <w:t xml:space="preserve">Models.</w:t>
      </w:r>
      <w:r>
        <w:t xml:space="preserve"> </w:t>
      </w:r>
      <w:r>
        <w:t xml:space="preserve">In each cohort I fitted four models with limma (Ritchie et al., 2015) (version 3.68.2). Model A (no composition control) was</w:t>
      </w:r>
      <w:r>
        <w:t xml:space="preserve"> </w:t>
      </w:r>
      <w:r>
        <w:rPr>
          <w:rStyle w:val="VerbatimChar"/>
        </w:rPr>
        <w:t xml:space="preserve">~ diagnosis + sex + age + dataset</w:t>
      </w:r>
      <w:r>
        <w:t xml:space="preserve"> </w:t>
      </w:r>
      <w:r>
        <w:t xml:space="preserve">for AD and</w:t>
      </w:r>
      <w:r>
        <w:t xml:space="preserve"> </w:t>
      </w:r>
      <w:r>
        <w:rPr>
          <w:rStyle w:val="VerbatimChar"/>
        </w:rPr>
        <w:t xml:space="preserve">~ diagnosis + sex</w:t>
      </w:r>
      <w:r>
        <w:t xml:space="preserve"> </w:t>
      </w:r>
      <w:r>
        <w:t xml:space="preserve">for GBM. The plan included brain region in both; I removed it because it had a single level in the AD cohort and was completely confounded with diagnosis for tumour samples in the GBM cohort (deviation). Model B added the six BRETIGEA scores to Model A, and Model C added the MuSiC proportions. Model D, with both sets of covariates, is reported as exploratory. I computed the variance inflation factor (VIF) of the diagnosis coefficient for each model.</w:t>
      </w:r>
    </w:p>
    <w:p>
      <w:pPr>
        <w:pStyle w:val="BodyText"/>
      </w:pPr>
      <w:r>
        <w:rPr>
          <w:iCs/>
          <w:i/>
        </w:rPr>
        <w:t xml:space="preserve">Shared DEGs and decision rule.</w:t>
      </w:r>
      <w:r>
        <w:t xml:space="preserve"> </w:t>
      </w:r>
      <w:r>
        <w:t xml:space="preserve">Following the plan, a shared DEG was a gene with FDR below 0.05 in both cohorts and the same direction of difference from controls. In a sensitivity analysis I also required |log2FC| &gt; 0.5 in AD and |log2FC| &gt; 1 in GBM. H1 was supported if the ratios of shared DEGs in Model B to Model A and in Model C to Model A were both at most 0.20, rejected if either ratio was at least 0.50, and inconclusive otherwise. I also ran sensitivity analyses in which the control group was limited to a single region (BA9 only, or hippocampus only).</w:t>
      </w:r>
    </w:p>
    <w:bookmarkEnd w:id="27"/>
    <w:bookmarkStart w:id="28" w:name="exploratory-analyses"/>
    <w:p>
      <w:pPr>
        <w:pStyle w:val="Heading3"/>
      </w:pPr>
      <w:r>
        <w:t xml:space="preserve">2.7 Exploratory analyses</w:t>
      </w:r>
    </w:p>
    <w:p>
      <w:pPr>
        <w:pStyle w:val="FirstParagraph"/>
      </w:pPr>
      <w:r>
        <w:t xml:space="preserve">None of the analyses in this section enter the hypothesis decisions.</w:t>
      </w:r>
    </w:p>
    <w:p>
      <w:pPr>
        <w:pStyle w:val="BodyText"/>
      </w:pPr>
      <w:r>
        <w:rPr>
          <w:iCs/>
          <w:i/>
        </w:rPr>
        <w:t xml:space="preserve">Evaluation of the original Stage 1 implementation.</w:t>
      </w:r>
      <w:r>
        <w:t xml:space="preserve"> </w:t>
      </w:r>
      <w:r>
        <w:t xml:space="preserve">The original Stage 1 code treated the three subclusters as separate samples without modelling donor (</w:t>
      </w:r>
      <w:r>
        <w:rPr>
          <w:rStyle w:val="VerbatimChar"/>
        </w:rPr>
        <w:t xml:space="preserve">~ 0 + braak + subcluster</w:t>
      </w:r>
      <w:r>
        <w:t xml:space="preserve">), left out the age covariate required by the plan, and compared Braak II with Braak 0 instead of the plan’s primary contrast. To assess the effect of pseudoreplication, I estimated the within-donor correlation with</w:t>
      </w:r>
      <w:r>
        <w:t xml:space="preserve"> </w:t>
      </w:r>
      <w:r>
        <w:rPr>
          <w:rStyle w:val="VerbatimChar"/>
        </w:rPr>
        <w:t xml:space="preserve">duplicateCorrelation</w:t>
      </w:r>
      <w:r>
        <w:t xml:space="preserve"> </w:t>
      </w:r>
      <w:r>
        <w:t xml:space="preserve">and compared the original result with a limma-voom model that included a donor block and with a donor-summed edgeR model. I examined how sensitive the</w:t>
      </w:r>
      <w:r>
        <w:t xml:space="preserve"> </w:t>
      </w:r>
      <w:r>
        <w:t xml:space="preserve">“</w:t>
      </w:r>
      <w:r>
        <w:t xml:space="preserve">down in both diseases</w:t>
      </w:r>
      <w:r>
        <w:t xml:space="preserve">”</w:t>
      </w:r>
      <w:r>
        <w:t xml:space="preserve"> </w:t>
      </w:r>
      <w:r>
        <w:t xml:space="preserve">(DD) quadrant signal of the original analysis was to these corrections using four-quadrant overlap tests at four thresholds fixed in advance (top 100, 200, 300 and 500 genes). All four thresholds are reported, whatever the result.</w:t>
      </w:r>
    </w:p>
    <w:p>
      <w:pPr>
        <w:pStyle w:val="BodyText"/>
      </w:pPr>
      <w:r>
        <w:rPr>
          <w:iCs/>
          <w:i/>
        </w:rPr>
        <w:t xml:space="preserve">Stress genes in GSE125583.</w:t>
      </w:r>
      <w:r>
        <w:t xml:space="preserve"> </w:t>
      </w:r>
      <w:r>
        <w:t xml:space="preserve">I looked at the behaviour of six stress genes taken from the DD quadrant of the original analysis in an independent AD cohort. The recount3 (Wilks et al., 2021) counts are base-pair coverage values, not read counts, so instead of negative binomial methods I used limma-trend on log-CPM values. Advanced AD (n = 125) was compared with controls (n = 70) using</w:t>
      </w:r>
      <w:r>
        <w:t xml:space="preserve"> </w:t>
      </w:r>
      <w:r>
        <w:rPr>
          <w:rStyle w:val="VerbatimChar"/>
        </w:rPr>
        <w:t xml:space="preserve">~ group + age + sex</w:t>
      </w:r>
      <w:r>
        <w:t xml:space="preserve">, and I then added neuron, astrocyte and microglia marker scores (the mean z-score of each marker set) as covariates. The cohort as analysed is saved to disk by a script (R/12_build_gse125583_bulk.R), but the upstream download and log-CPM steps are not yet scripted </w:t>
      </w:r>
      <w:r>
        <w:rPr>
          <w:highlight w:val="yellow"/>
        </w:rPr>
        <w:t>[CHECK: loading script to be added before submission]</w:t>
      </w:r>
      <w:r>
        <w:rPr/>
        <w:t>.</w:t>
      </w:r>
    </w:p>
    <w:p>
      <w:pPr>
        <w:pStyle w:val="BodyText"/>
      </w:pPr>
      <w:r>
        <w:rPr>
          <w:iCs/>
          <w:i/>
        </w:rPr>
        <w:t xml:space="preserve">Negative control for H1.</w:t>
      </w:r>
      <w:r>
        <w:t xml:space="preserve"> </w:t>
      </w:r>
      <w:r>
        <w:t xml:space="preserve">To test whether the loss of shared DEGs in H1 reflects a loss of statistical power, or simply the effect of adding any data-derived covariates, I ran a two-arm negative control with rules defined before the results were seen. In arm 1, six independent standard normal variables were added to Model A. In arm 2, I added the first principal component scores of six random 50-gene sets drawn from all genes outside the BRETIGEA marker lists. Each arm had 1,000 iterations. The primary metric was retention of AD DEGs (the median number of AD DEGs per iteration divided by the number in Model A). In arm 2, I measured how much composition the random covariates captured as the mean R² from regressing each of the six BRETIGEA scores on the six random components. In arm 1, a retention of at least 0.80 meant power loss did not explain the decline, and a retention below 0.20 meant the decline was largely due to power loss. In arm 2, a median R² of at least 0.25 meant the arm could not discriminate; below 0.25, a retention below 0.20 would indicate a decline that is not specific to composition, and a retention of at least 0.80 one that is.</w:t>
      </w:r>
    </w:p>
    <w:p>
      <w:pPr>
        <w:pStyle w:val="BodyText"/>
      </w:pPr>
      <w:r>
        <w:rPr>
          <w:iCs/>
          <w:i/>
        </w:rPr>
        <w:t xml:space="preserve">Analyses added after external review.</w:t>
      </w:r>
      <w:r>
        <w:t xml:space="preserve"> </w:t>
      </w:r>
      <w:r>
        <w:t xml:space="preserve">After an external review of an earlier draft, I pre-declared and committed three further analyses before running them. (i) Replication of H1: the AD side of H1 was repeated in GSE125583 (advanced AD 125, controls 70), with Model A</w:t>
      </w:r>
      <w:r>
        <w:t xml:space="preserve"> </w:t>
      </w:r>
      <w:r>
        <w:rPr>
          <w:rStyle w:val="VerbatimChar"/>
        </w:rPr>
        <w:t xml:space="preserve">~ diagnosis + sex + age</w:t>
      </w:r>
      <w:r>
        <w:t xml:space="preserve"> </w:t>
      </w:r>
      <w:r>
        <w:t xml:space="preserve">and Model B adding the six BRETIGEA scores, fitted with limma-trend; the GBM models were left unchanged. This analysis used the gene-symbol-level matrix and the six BRETIGEA scores, whereas the stress-gene analysis above used the Ensembl-level matrix and three marker scores, so their genome-wide DEG counts differ slightly. The shared-DEG ratio B/A was labelled as replicating H1 if at most 0.20, not replicating if at least 0.50, and partial otherwise. MuSiC was not run, for the reasons given in Section 3.1. (ii) A 2 × 2 decomposition of the original DD signal: with the Braak II versus Braak 0 contrast held fixed, the RRHO2 DD and DU maxima and the top-200 DD overlap were computed with and without donor modelling (donor-summed edgeR) and with and without age. All four cells are reported, without a decision rule. (iii) A GBM sensitivity analysis: the Neftel pseudobulk profiles were scaled to one million per sample, transformed as log2(x + 1) and fitted with limma-trend (</w:t>
      </w:r>
      <w:r>
        <w:rPr>
          <w:rStyle w:val="VerbatimChar"/>
        </w:rPr>
        <w:t xml:space="preserve">~ tumour + group</w:t>
      </w:r>
      <w:r>
        <w:t xml:space="preserve">, robust empirical Bayes), and the three Stage 3 tests were re-run with the plan and deviation AD inputs and the same thresholds.</w:t>
      </w:r>
    </w:p>
    <w:bookmarkEnd w:id="28"/>
    <w:bookmarkStart w:id="29" w:name="software-and-reproducibility"/>
    <w:p>
      <w:pPr>
        <w:pStyle w:val="Heading3"/>
      </w:pPr>
      <w:r>
        <w:t xml:space="preserve">2.8 Software and reproducibility</w:t>
      </w:r>
    </w:p>
    <w:p>
      <w:pPr>
        <w:pStyle w:val="FirstParagraph"/>
      </w:pPr>
      <w:r>
        <w:t xml:space="preserve">All analyses were run in R 4.6.0 with edgeR 4.10.3, limma 3.68.2, sva 3.60.0, BRETIGEA 1.0.4, MuSiC 1.0.0 and RRHO2 1.0. A fixed random seed (20260101) was used wherever randomness was involved. The analysis scripts, intermediate results, deviation register and a facts sheet (a script that generates every number in the manuscript from the locked result files) are in the project repository at https://github.com/akarakus-bartin/ad-gbm-composition, archived on Zenodo (Karakuş, 2026b).</w:t>
      </w:r>
    </w:p>
    <w:p>
      <w:pPr>
        <w:pStyle w:val="BodyText"/>
      </w:pPr>
      <w:r>
        <w:rPr>
          <w:bCs/>
          <w:b/>
        </w:rPr>
        <w:t xml:space="preserve">Table 2.</w:t>
      </w:r>
      <w:r>
        <w:t xml:space="preserve"> </w:t>
      </w:r>
      <w:r>
        <w:t xml:space="preserve">Deviations from the plan (summary; full register in Supplementary File 2).</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980"/>
        <w:gridCol w:w="1980"/>
        <w:gridCol w:w="1980"/>
        <w:gridCol w:w="1980"/>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Plan</w:t>
            </w:r>
          </w:p>
        </w:tc>
        <w:tc>
          <w:tcPr>
            <w:tcBorders>
              <w:bottom w:val="single" w:sz="4" w:color="000000"/>
            </w:tcBorders>
          </w:tcPr>
          <w:p>
            <w:pPr>
              <w:pStyle w:val="Compact"/>
              <w:spacing w:line="240" w:lineRule="auto" w:after="0"/>
              <w:jc w:val="left"/>
            </w:pPr>
            <w:r>
              <w:rPr>
                <w:rFonts w:ascii="Times New Roman" w:hAnsi="Times New Roman"/>
                <w:b/>
                <w:sz w:val="20"/>
              </w:rPr>
              <w:t xml:space="preserve">Implementation</w:t>
            </w:r>
          </w:p>
        </w:tc>
        <w:tc>
          <w:tcPr>
            <w:tcBorders>
              <w:bottom w:val="single" w:sz="4" w:color="000000"/>
            </w:tcBorders>
          </w:tcPr>
          <w:p>
            <w:pPr>
              <w:pStyle w:val="Compact"/>
              <w:spacing w:line="240" w:lineRule="auto" w:after="0"/>
              <w:jc w:val="left"/>
            </w:pPr>
            <w:r>
              <w:rPr>
                <w:rFonts w:ascii="Times New Roman" w:hAnsi="Times New Roman"/>
                <w:b/>
                <w:sz w:val="20"/>
              </w:rPr>
              <w:t xml:space="preserve">Reason</w:t>
            </w:r>
          </w:p>
        </w:tc>
        <w:tc>
          <w:tcPr>
            <w:tcBorders>
              <w:bottom w:val="single" w:sz="4" w:color="000000"/>
            </w:tcBorders>
          </w:tcPr>
          <w:p>
            <w:pPr>
              <w:pStyle w:val="Compact"/>
              <w:spacing w:line="240" w:lineRule="auto" w:after="0"/>
              <w:jc w:val="left"/>
            </w:pPr>
            <w:r>
              <w:rPr>
                <w:rFonts w:ascii="Times New Roman" w:hAnsi="Times New Roman"/>
                <w:b/>
                <w:sz w:val="20"/>
              </w:rPr>
              <w:t xml:space="preserve">When documented</w:t>
            </w:r>
          </w:p>
        </w:tc>
      </w:tr>
      <w:tr>
        <w:tc>
          <w:tcPr/>
          <w:p>
            <w:pPr>
              <w:pStyle w:val="Compact"/>
              <w:spacing w:line="240" w:lineRule="auto" w:after="0"/>
              <w:jc w:val="left"/>
            </w:pPr>
            <w:r>
              <w:rPr>
                <w:rFonts w:ascii="Times New Roman" w:hAnsi="Times New Roman"/>
                <w:sz w:val="20"/>
              </w:rPr>
              <w:t xml:space="preserve">Stage 1: single subtype defined by the 75th RORB percentile</w:t>
            </w:r>
          </w:p>
        </w:tc>
        <w:tc>
          <w:tcPr/>
          <w:p>
            <w:pPr>
              <w:pStyle w:val="Compact"/>
              <w:spacing w:line="240" w:lineRule="auto" w:after="0"/>
              <w:jc w:val="left"/>
            </w:pPr>
            <w:r>
              <w:rPr>
                <w:rFonts w:ascii="Times New Roman" w:hAnsi="Times New Roman"/>
                <w:sz w:val="20"/>
              </w:rPr>
              <w:t xml:space="preserve">Three RORB+ subclusters (s1, s2, s4) of Leng et al. (2021), summed per donor</w:t>
            </w:r>
          </w:p>
        </w:tc>
        <w:tc>
          <w:tcPr/>
          <w:p>
            <w:pPr>
              <w:pStyle w:val="Compact"/>
              <w:spacing w:line="240" w:lineRule="auto" w:after="0"/>
              <w:jc w:val="left"/>
            </w:pPr>
            <w:r>
              <w:rPr>
                <w:rFonts w:ascii="Times New Roman" w:hAnsi="Times New Roman"/>
                <w:sz w:val="20"/>
              </w:rPr>
              <w:t xml:space="preserve">Vulnerable-subcluster definition of the original study</w:t>
            </w:r>
          </w:p>
        </w:tc>
        <w:tc>
          <w:tcPr/>
          <w:p>
            <w:pPr>
              <w:pStyle w:val="Compact"/>
              <w:spacing w:line="240" w:lineRule="auto" w:after="0"/>
              <w:jc w:val="left"/>
            </w:pPr>
            <w:r>
              <w:rPr>
                <w:rFonts w:ascii="Times New Roman" w:hAnsi="Times New Roman"/>
                <w:sz w:val="20"/>
              </w:rPr>
              <w:t xml:space="preserve">During data inspection, before results</w:t>
            </w:r>
          </w:p>
        </w:tc>
      </w:tr>
      <w:tr>
        <w:tc>
          <w:tcPr/>
          <w:p>
            <w:pPr>
              <w:pStyle w:val="Compact"/>
              <w:spacing w:line="240" w:lineRule="auto" w:after="0"/>
              <w:jc w:val="left"/>
            </w:pPr>
            <w:r>
              <w:rPr>
                <w:rFonts w:ascii="Times New Roman" w:hAnsi="Times New Roman"/>
                <w:sz w:val="20"/>
              </w:rPr>
              <w:t xml:space="preserve">Stage 1: Braak VI vs 0</w:t>
            </w:r>
          </w:p>
        </w:tc>
        <w:tc>
          <w:tcPr/>
          <w:p>
            <w:pPr>
              <w:pStyle w:val="Compact"/>
              <w:spacing w:line="240" w:lineRule="auto" w:after="0"/>
              <w:jc w:val="left"/>
            </w:pPr>
            <w:r>
              <w:rPr>
                <w:rFonts w:ascii="Times New Roman" w:hAnsi="Times New Roman"/>
                <w:sz w:val="20"/>
              </w:rPr>
              <w:t xml:space="preserve">Kept as primary; Braak II vs 0 added as secondary contrast</w:t>
            </w:r>
          </w:p>
        </w:tc>
        <w:tc>
          <w:tcPr/>
          <w:p>
            <w:pPr>
              <w:pStyle w:val="Compact"/>
              <w:spacing w:line="240" w:lineRule="auto" w:after="0"/>
              <w:jc w:val="left"/>
            </w:pPr>
            <w:r>
              <w:rPr>
                <w:rFonts w:ascii="Times New Roman" w:hAnsi="Times New Roman"/>
                <w:sz w:val="20"/>
              </w:rPr>
              <w:t xml:space="preserve">Neuron loss already apparent at Braak II</w:t>
            </w:r>
          </w:p>
        </w:tc>
        <w:tc>
          <w:tcPr/>
          <w:p>
            <w:pPr>
              <w:pStyle w:val="Compact"/>
              <w:spacing w:line="240" w:lineRule="auto" w:after="0"/>
              <w:jc w:val="left"/>
            </w:pPr>
            <w:r>
              <w:rPr>
                <w:rFonts w:ascii="Times New Roman" w:hAnsi="Times New Roman"/>
                <w:sz w:val="20"/>
              </w:rPr>
              <w:t xml:space="preserve">Before results</w:t>
            </w:r>
          </w:p>
        </w:tc>
      </w:tr>
      <w:tr>
        <w:tc>
          <w:tcPr/>
          <w:p>
            <w:pPr>
              <w:pStyle w:val="Compact"/>
              <w:spacing w:line="240" w:lineRule="auto" w:after="0"/>
              <w:jc w:val="left"/>
            </w:pPr>
            <w:r>
              <w:rPr>
                <w:rFonts w:ascii="Times New Roman" w:hAnsi="Times New Roman"/>
                <w:sz w:val="20"/>
              </w:rPr>
              <w:t xml:space="preserve">Stage 1: age and sex as covariates</w:t>
            </w:r>
          </w:p>
        </w:tc>
        <w:tc>
          <w:tcPr/>
          <w:p>
            <w:pPr>
              <w:pStyle w:val="Compact"/>
              <w:spacing w:line="240" w:lineRule="auto" w:after="0"/>
              <w:jc w:val="left"/>
            </w:pPr>
            <w:r>
              <w:rPr>
                <w:rFonts w:ascii="Times New Roman" w:hAnsi="Times New Roman"/>
                <w:sz w:val="20"/>
              </w:rPr>
              <w:t xml:space="preserve">Age included; sex dropped</w:t>
            </w:r>
          </w:p>
        </w:tc>
        <w:tc>
          <w:tcPr/>
          <w:p>
            <w:pPr>
              <w:pStyle w:val="Compact"/>
              <w:spacing w:line="240" w:lineRule="auto" w:after="0"/>
              <w:jc w:val="left"/>
            </w:pPr>
            <w:r>
              <w:rPr>
                <w:rFonts w:ascii="Times New Roman" w:hAnsi="Times New Roman"/>
                <w:sz w:val="20"/>
              </w:rPr>
              <w:t xml:space="preserve">All donors male</w:t>
            </w:r>
          </w:p>
        </w:tc>
        <w:tc>
          <w:tcPr/>
          <w:p>
            <w:pPr>
              <w:pStyle w:val="Compact"/>
              <w:spacing w:line="240" w:lineRule="auto" w:after="0"/>
              <w:jc w:val="left"/>
            </w:pPr>
            <w:r>
              <w:rPr>
                <w:rFonts w:ascii="Times New Roman" w:hAnsi="Times New Roman"/>
                <w:sz w:val="20"/>
              </w:rPr>
              <w:t xml:space="preserve">Before results</w:t>
            </w:r>
          </w:p>
        </w:tc>
      </w:tr>
      <w:tr>
        <w:tc>
          <w:tcPr/>
          <w:p>
            <w:pPr>
              <w:pStyle w:val="Compact"/>
              <w:spacing w:line="240" w:lineRule="auto" w:after="0"/>
              <w:jc w:val="left"/>
            </w:pPr>
            <w:r>
              <w:rPr>
                <w:rFonts w:ascii="Times New Roman" w:hAnsi="Times New Roman"/>
                <w:sz w:val="20"/>
              </w:rPr>
              <w:t xml:space="preserve">Stage 1: donor-level inference</w:t>
            </w:r>
          </w:p>
        </w:tc>
        <w:tc>
          <w:tcPr/>
          <w:p>
            <w:pPr>
              <w:pStyle w:val="Compact"/>
              <w:spacing w:line="240" w:lineRule="auto" w:after="0"/>
              <w:jc w:val="left"/>
            </w:pPr>
            <w:r>
              <w:rPr>
                <w:rFonts w:ascii="Times New Roman" w:hAnsi="Times New Roman"/>
                <w:sz w:val="20"/>
              </w:rPr>
              <w:t xml:space="preserve">Original code did not model donor; re-analysis at donor level</w:t>
            </w:r>
          </w:p>
        </w:tc>
        <w:tc>
          <w:tcPr/>
          <w:p>
            <w:pPr>
              <w:pStyle w:val="Compact"/>
              <w:spacing w:line="240" w:lineRule="auto" w:after="0"/>
              <w:jc w:val="left"/>
            </w:pPr>
            <w:r>
              <w:rPr>
                <w:rFonts w:ascii="Times New Roman" w:hAnsi="Times New Roman"/>
                <w:sz w:val="20"/>
              </w:rPr>
              <w:t xml:space="preserve">Pseudoreplication</w:t>
            </w:r>
          </w:p>
        </w:tc>
        <w:tc>
          <w:tcPr/>
          <w:p>
            <w:pPr>
              <w:pStyle w:val="Compact"/>
              <w:spacing w:line="240" w:lineRule="auto" w:after="0"/>
              <w:jc w:val="left"/>
            </w:pPr>
            <w:r>
              <w:rPr>
                <w:rFonts w:ascii="Times New Roman" w:hAnsi="Times New Roman"/>
                <w:sz w:val="20"/>
              </w:rPr>
              <w:t xml:space="preserve">Found in the audit</w:t>
            </w:r>
          </w:p>
        </w:tc>
      </w:tr>
      <w:tr>
        <w:tc>
          <w:tcPr/>
          <w:p>
            <w:pPr>
              <w:pStyle w:val="Compact"/>
              <w:spacing w:line="240" w:lineRule="auto" w:after="0"/>
              <w:jc w:val="left"/>
            </w:pPr>
            <w:r>
              <w:rPr>
                <w:rFonts w:ascii="Times New Roman" w:hAnsi="Times New Roman"/>
                <w:sz w:val="20"/>
              </w:rPr>
              <w:t xml:space="preserve">Stage 1: signature requires log2FC &lt; −0.5</w:t>
            </w:r>
          </w:p>
        </w:tc>
        <w:tc>
          <w:tcPr/>
          <w:p>
            <w:pPr>
              <w:pStyle w:val="Compact"/>
              <w:spacing w:line="240" w:lineRule="auto" w:after="0"/>
              <w:jc w:val="left"/>
            </w:pPr>
            <w:r>
              <w:rPr>
                <w:rFonts w:ascii="Times New Roman" w:hAnsi="Times New Roman"/>
                <w:sz w:val="20"/>
              </w:rPr>
              <w:t xml:space="preserve">Not applied in the original code; applied in the re-analysis</w:t>
            </w:r>
          </w:p>
        </w:tc>
        <w:tc>
          <w:tcPr/>
          <w:p>
            <w:pPr>
              <w:pStyle w:val="Compact"/>
              <w:spacing w:line="240" w:lineRule="auto" w:after="0"/>
              <w:jc w:val="left"/>
            </w:pPr>
            <w:r>
              <w:rPr>
                <w:rFonts w:ascii="Times New Roman" w:hAnsi="Times New Roman"/>
                <w:sz w:val="20"/>
              </w:rPr>
              <w:t xml:space="preserve">Return to the plan</w:t>
            </w:r>
          </w:p>
        </w:tc>
        <w:tc>
          <w:tcPr/>
          <w:p>
            <w:pPr>
              <w:pStyle w:val="Compact"/>
              <w:spacing w:line="240" w:lineRule="auto" w:after="0"/>
              <w:jc w:val="left"/>
            </w:pPr>
            <w:r>
              <w:rPr>
                <w:rFonts w:ascii="Times New Roman" w:hAnsi="Times New Roman"/>
                <w:sz w:val="20"/>
              </w:rPr>
              <w:t xml:space="preserve">Found in the audit</w:t>
            </w:r>
          </w:p>
        </w:tc>
      </w:tr>
      <w:tr>
        <w:tc>
          <w:tcPr/>
          <w:p>
            <w:pPr>
              <w:pStyle w:val="Compact"/>
              <w:spacing w:line="240" w:lineRule="auto" w:after="0"/>
              <w:jc w:val="left"/>
            </w:pPr>
            <w:r>
              <w:rPr>
                <w:rFonts w:ascii="Times New Roman" w:hAnsi="Times New Roman"/>
                <w:sz w:val="20"/>
              </w:rPr>
              <w:t xml:space="preserve">Stage 2: 24 tumours</w:t>
            </w:r>
          </w:p>
        </w:tc>
        <w:tc>
          <w:tcPr/>
          <w:p>
            <w:pPr>
              <w:pStyle w:val="Compact"/>
              <w:spacing w:line="240" w:lineRule="auto" w:after="0"/>
              <w:jc w:val="left"/>
            </w:pPr>
            <w:r>
              <w:rPr>
                <w:rFonts w:ascii="Times New Roman" w:hAnsi="Times New Roman"/>
                <w:sz w:val="20"/>
              </w:rPr>
              <w:t xml:space="preserve">20 tumours (36 pseudobulk samples)</w:t>
            </w:r>
          </w:p>
        </w:tc>
        <w:tc>
          <w:tcPr/>
          <w:p>
            <w:pPr>
              <w:pStyle w:val="Compact"/>
              <w:spacing w:line="240" w:lineRule="auto" w:after="0"/>
              <w:jc w:val="left"/>
            </w:pPr>
            <w:r>
              <w:rPr>
                <w:rFonts w:ascii="Times New Roman" w:hAnsi="Times New Roman"/>
                <w:sz w:val="20"/>
              </w:rPr>
              <w:t xml:space="preserve">Minimum-cell filter</w:t>
            </w:r>
          </w:p>
        </w:tc>
        <w:tc>
          <w:tcPr/>
          <w:p>
            <w:pPr>
              <w:pStyle w:val="Compact"/>
              <w:spacing w:line="240" w:lineRule="auto" w:after="0"/>
              <w:jc w:val="left"/>
            </w:pPr>
            <w:r>
              <w:rPr>
                <w:rFonts w:ascii="Times New Roman" w:hAnsi="Times New Roman"/>
                <w:sz w:val="20"/>
              </w:rPr>
              <w:t xml:space="preserve">During analysis</w:t>
            </w:r>
          </w:p>
        </w:tc>
      </w:tr>
      <w:tr>
        <w:tc>
          <w:tcPr/>
          <w:p>
            <w:pPr>
              <w:pStyle w:val="Compact"/>
              <w:spacing w:line="240" w:lineRule="auto" w:after="0"/>
              <w:jc w:val="left"/>
            </w:pPr>
            <w:r>
              <w:rPr>
                <w:rFonts w:ascii="Times New Roman" w:hAnsi="Times New Roman"/>
                <w:sz w:val="20"/>
              </w:rPr>
              <w:t xml:space="preserve">Stage 3, Test 1: BH adjustment at the DU position</w:t>
            </w:r>
          </w:p>
        </w:tc>
        <w:tc>
          <w:tcPr/>
          <w:p>
            <w:pPr>
              <w:pStyle w:val="Compact"/>
              <w:spacing w:line="240" w:lineRule="auto" w:after="0"/>
              <w:jc w:val="left"/>
            </w:pPr>
            <w:r>
              <w:rPr>
                <w:rFonts w:ascii="Times New Roman" w:hAnsi="Times New Roman"/>
                <w:sz w:val="20"/>
              </w:rPr>
              <w:t xml:space="preserve">DU position, P multiplied by the number of pixels</w:t>
            </w:r>
          </w:p>
        </w:tc>
        <w:tc>
          <w:tcPr/>
          <w:p>
            <w:pPr>
              <w:pStyle w:val="Compact"/>
              <w:spacing w:line="240" w:lineRule="auto" w:after="0"/>
              <w:jc w:val="left"/>
            </w:pPr>
            <w:r>
              <w:rPr>
                <w:rFonts w:ascii="Times New Roman" w:hAnsi="Times New Roman"/>
                <w:sz w:val="20"/>
              </w:rPr>
              <w:t xml:space="preserve">Consistency with the original code (more conservative)</w:t>
            </w:r>
          </w:p>
        </w:tc>
        <w:tc>
          <w:tcPr/>
          <w:p>
            <w:pPr>
              <w:pStyle w:val="Compact"/>
              <w:spacing w:line="240" w:lineRule="auto" w:after="0"/>
              <w:jc w:val="left"/>
            </w:pPr>
            <w:r>
              <w:rPr>
                <w:rFonts w:ascii="Times New Roman" w:hAnsi="Times New Roman"/>
                <w:sz w:val="20"/>
              </w:rPr>
              <w:t xml:space="preserve">Before the re-analysis</w:t>
            </w:r>
          </w:p>
        </w:tc>
      </w:tr>
      <w:tr>
        <w:tc>
          <w:tcPr/>
          <w:p>
            <w:pPr>
              <w:pStyle w:val="Compact"/>
              <w:spacing w:line="240" w:lineRule="auto" w:after="0"/>
              <w:jc w:val="left"/>
            </w:pPr>
            <w:r>
              <w:rPr>
                <w:rFonts w:ascii="Times New Roman" w:hAnsi="Times New Roman"/>
                <w:sz w:val="20"/>
              </w:rPr>
              <w:t xml:space="preserve">Stage 4: bMIND</w:t>
            </w:r>
          </w:p>
        </w:tc>
        <w:tc>
          <w:tcPr/>
          <w:p>
            <w:pPr>
              <w:pStyle w:val="Compact"/>
              <w:spacing w:line="240" w:lineRule="auto" w:after="0"/>
              <w:jc w:val="left"/>
            </w:pPr>
            <w:r>
              <w:rPr>
                <w:rFonts w:ascii="Times New Roman" w:hAnsi="Times New Roman"/>
                <w:sz w:val="20"/>
              </w:rPr>
              <w:t xml:space="preserve">MuSiC with an Allen human M1 reference</w:t>
            </w:r>
          </w:p>
        </w:tc>
        <w:tc>
          <w:tcPr/>
          <w:p>
            <w:pPr>
              <w:pStyle w:val="Compact"/>
              <w:spacing w:line="240" w:lineRule="auto" w:after="0"/>
              <w:jc w:val="left"/>
            </w:pPr>
            <w:r>
              <w:rPr>
                <w:rFonts w:ascii="Times New Roman" w:hAnsi="Times New Roman"/>
                <w:sz w:val="20"/>
              </w:rPr>
              <w:t xml:space="preserve">Package availability</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reference cited as Tasic et al. (2018)</w:t>
            </w:r>
          </w:p>
        </w:tc>
        <w:tc>
          <w:tcPr/>
          <w:p>
            <w:pPr>
              <w:pStyle w:val="Compact"/>
              <w:spacing w:line="240" w:lineRule="auto" w:after="0"/>
              <w:jc w:val="left"/>
            </w:pPr>
            <w:r>
              <w:rPr>
                <w:rFonts w:ascii="Times New Roman" w:hAnsi="Times New Roman"/>
                <w:sz w:val="20"/>
              </w:rPr>
              <w:t xml:space="preserve">Bakken et al. (2021)</w:t>
            </w:r>
          </w:p>
        </w:tc>
        <w:tc>
          <w:tcPr/>
          <w:p>
            <w:pPr>
              <w:pStyle w:val="Compact"/>
              <w:spacing w:line="240" w:lineRule="auto" w:after="0"/>
              <w:jc w:val="left"/>
            </w:pPr>
            <w:r>
              <w:rPr>
                <w:rFonts w:ascii="Times New Roman" w:hAnsi="Times New Roman"/>
                <w:sz w:val="20"/>
              </w:rPr>
              <w:t xml:space="preserve">The plan’s citation refers to mouse data</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hippocampus and entorhinal cortex in the AD cohort</w:t>
            </w:r>
          </w:p>
        </w:tc>
        <w:tc>
          <w:tcPr/>
          <w:p>
            <w:pPr>
              <w:pStyle w:val="Compact"/>
              <w:spacing w:line="240" w:lineRule="auto" w:after="0"/>
              <w:jc w:val="left"/>
            </w:pPr>
            <w:r>
              <w:rPr>
                <w:rFonts w:ascii="Times New Roman" w:hAnsi="Times New Roman"/>
                <w:sz w:val="20"/>
              </w:rPr>
              <w:t xml:space="preserve">Hippocampus only</w:t>
            </w:r>
          </w:p>
        </w:tc>
        <w:tc>
          <w:tcPr/>
          <w:p>
            <w:pPr>
              <w:pStyle w:val="Compact"/>
              <w:spacing w:line="240" w:lineRule="auto" w:after="0"/>
              <w:jc w:val="left"/>
            </w:pPr>
            <w:r>
              <w:rPr>
                <w:rFonts w:ascii="Times New Roman" w:hAnsi="Times New Roman"/>
                <w:sz w:val="20"/>
              </w:rPr>
              <w:t xml:space="preserve">Only region shared by both platforms</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GSE48350 diagnosis field</w:t>
            </w:r>
          </w:p>
        </w:tc>
        <w:tc>
          <w:tcPr/>
          <w:p>
            <w:pPr>
              <w:pStyle w:val="Compact"/>
              <w:spacing w:line="240" w:lineRule="auto" w:after="0"/>
              <w:jc w:val="left"/>
            </w:pPr>
            <w:r>
              <w:rPr>
                <w:rFonts w:ascii="Times New Roman" w:hAnsi="Times New Roman"/>
                <w:sz w:val="20"/>
              </w:rPr>
              <w:t xml:space="preserve">Braak-based AD definition</w:t>
            </w:r>
          </w:p>
        </w:tc>
        <w:tc>
          <w:tcPr/>
          <w:p>
            <w:pPr>
              <w:pStyle w:val="Compact"/>
              <w:spacing w:line="240" w:lineRule="auto" w:after="0"/>
              <w:jc w:val="left"/>
            </w:pPr>
            <w:r>
              <w:rPr>
                <w:rFonts w:ascii="Times New Roman" w:hAnsi="Times New Roman"/>
                <w:sz w:val="20"/>
              </w:rPr>
              <w:t xml:space="preserve">No diagnosis field in the metadata</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ComBat preserves diagnosis and brain region</w:t>
            </w:r>
          </w:p>
        </w:tc>
        <w:tc>
          <w:tcPr/>
          <w:p>
            <w:pPr>
              <w:pStyle w:val="Compact"/>
              <w:spacing w:line="240" w:lineRule="auto" w:after="0"/>
              <w:jc w:val="left"/>
            </w:pPr>
            <w:r>
              <w:rPr>
                <w:rFonts w:ascii="Times New Roman" w:hAnsi="Times New Roman"/>
                <w:sz w:val="20"/>
              </w:rPr>
              <w:t xml:space="preserve">Diagnosis and sex preserved</w:t>
            </w:r>
          </w:p>
        </w:tc>
        <w:tc>
          <w:tcPr/>
          <w:p>
            <w:pPr>
              <w:pStyle w:val="Compact"/>
              <w:spacing w:line="240" w:lineRule="auto" w:after="0"/>
              <w:jc w:val="left"/>
            </w:pPr>
            <w:r>
              <w:rPr>
                <w:rFonts w:ascii="Times New Roman" w:hAnsi="Times New Roman"/>
                <w:sz w:val="20"/>
              </w:rPr>
              <w:t xml:space="preserve">Region has one level; sex was among the candidate covariates in the code</w:t>
            </w:r>
          </w:p>
        </w:tc>
        <w:tc>
          <w:tcPr/>
          <w:p>
            <w:pPr>
              <w:pStyle w:val="Compact"/>
              <w:spacing w:line="240" w:lineRule="auto" w:after="0"/>
              <w:jc w:val="left"/>
            </w:pPr>
            <w:r>
              <w:rPr>
                <w:rFonts w:ascii="Times New Roman" w:hAnsi="Times New Roman"/>
                <w:sz w:val="20"/>
              </w:rPr>
              <w:t xml:space="preserve">Before analysis (in code)</w:t>
            </w:r>
          </w:p>
        </w:tc>
      </w:tr>
      <w:tr>
        <w:tc>
          <w:tcPr/>
          <w:p>
            <w:pPr>
              <w:pStyle w:val="Compact"/>
              <w:spacing w:line="240" w:lineRule="auto" w:after="0"/>
              <w:jc w:val="left"/>
            </w:pPr>
            <w:r>
              <w:rPr>
                <w:rFonts w:ascii="Times New Roman" w:hAnsi="Times New Roman"/>
                <w:sz w:val="20"/>
              </w:rPr>
              <w:t xml:space="preserve">Stage 4: brain region in Model A</w:t>
            </w:r>
          </w:p>
        </w:tc>
        <w:tc>
          <w:tcPr/>
          <w:p>
            <w:pPr>
              <w:pStyle w:val="Compact"/>
              <w:spacing w:line="240" w:lineRule="auto" w:after="0"/>
              <w:jc w:val="left"/>
            </w:pPr>
            <w:r>
              <w:rPr>
                <w:rFonts w:ascii="Times New Roman" w:hAnsi="Times New Roman"/>
                <w:sz w:val="20"/>
              </w:rPr>
              <w:t xml:space="preserve">Removed</w:t>
            </w:r>
          </w:p>
        </w:tc>
        <w:tc>
          <w:tcPr/>
          <w:p>
            <w:pPr>
              <w:pStyle w:val="Compact"/>
              <w:spacing w:line="240" w:lineRule="auto" w:after="0"/>
              <w:jc w:val="left"/>
            </w:pPr>
            <w:r>
              <w:rPr>
                <w:rFonts w:ascii="Times New Roman" w:hAnsi="Times New Roman"/>
                <w:sz w:val="20"/>
              </w:rPr>
              <w:t xml:space="preserve">One level in AD; confounded with diagnosis in GBM</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GTEx exclusion for RIN &lt; 6 and Hardy &gt; 3</w:t>
            </w:r>
          </w:p>
        </w:tc>
        <w:tc>
          <w:tcPr/>
          <w:p>
            <w:pPr>
              <w:pStyle w:val="Compact"/>
              <w:spacing w:line="240" w:lineRule="auto" w:after="0"/>
              <w:jc w:val="left"/>
            </w:pPr>
            <w:r>
              <w:rPr>
                <w:rFonts w:ascii="Times New Roman" w:hAnsi="Times New Roman"/>
                <w:sz w:val="20"/>
              </w:rPr>
              <w:t xml:space="preserve">Not applied</w:t>
            </w:r>
          </w:p>
        </w:tc>
        <w:tc>
          <w:tcPr/>
          <w:p>
            <w:pPr>
              <w:pStyle w:val="Compact"/>
              <w:spacing w:line="240" w:lineRule="auto" w:after="0"/>
              <w:jc w:val="left"/>
            </w:pPr>
            <w:r>
              <w:rPr>
                <w:rFonts w:ascii="Times New Roman" w:hAnsi="Times New Roman"/>
                <w:sz w:val="20"/>
              </w:rPr>
              <w:t xml:space="preserve">Fields absent from the Xena phenotype file</w:t>
            </w:r>
          </w:p>
        </w:tc>
        <w:tc>
          <w:tcPr/>
          <w:p>
            <w:pPr>
              <w:pStyle w:val="Compact"/>
              <w:spacing w:line="240" w:lineRule="auto" w:after="0"/>
              <w:jc w:val="left"/>
            </w:pPr>
            <w:r>
              <w:rPr>
                <w:rFonts w:ascii="Times New Roman" w:hAnsi="Times New Roman"/>
                <w:sz w:val="20"/>
              </w:rPr>
              <w:t xml:space="preserve">Before analysis</w:t>
            </w:r>
          </w:p>
        </w:tc>
      </w:tr>
      <w:tr>
        <w:tc>
          <w:tcPr/>
          <w:p>
            <w:pPr>
              <w:pStyle w:val="Compact"/>
              <w:spacing w:line="240" w:lineRule="auto" w:after="0"/>
              <w:jc w:val="left"/>
            </w:pPr>
            <w:r>
              <w:rPr>
                <w:rFonts w:ascii="Times New Roman" w:hAnsi="Times New Roman"/>
                <w:sz w:val="20"/>
              </w:rPr>
              <w:t xml:space="preserve">Stage 4: H1 set aside (register entry of 22 September)</w:t>
            </w:r>
          </w:p>
        </w:tc>
        <w:tc>
          <w:tcPr/>
          <w:p>
            <w:pPr>
              <w:pStyle w:val="Compact"/>
              <w:spacing w:line="240" w:lineRule="auto" w:after="0"/>
              <w:jc w:val="left"/>
            </w:pPr>
            <w:r>
              <w:rPr>
                <w:rFonts w:ascii="Times New Roman" w:hAnsi="Times New Roman"/>
                <w:sz w:val="20"/>
              </w:rPr>
              <w:t xml:space="preserve">H1 tested as planned</w:t>
            </w:r>
          </w:p>
        </w:tc>
        <w:tc>
          <w:tcPr/>
          <w:p>
            <w:pPr>
              <w:pStyle w:val="Compact"/>
              <w:spacing w:line="240" w:lineRule="auto" w:after="0"/>
              <w:jc w:val="left"/>
            </w:pPr>
            <w:r>
              <w:rPr>
                <w:rFonts w:ascii="Times New Roman" w:hAnsi="Times New Roman"/>
                <w:sz w:val="20"/>
              </w:rPr>
              <w:t xml:space="preserve">The stated reason (data access agreement) was wrong</w:t>
            </w:r>
          </w:p>
        </w:tc>
        <w:tc>
          <w:tcPr/>
          <w:p>
            <w:pPr>
              <w:pStyle w:val="Compact"/>
              <w:spacing w:line="240" w:lineRule="auto" w:after="0"/>
              <w:jc w:val="left"/>
            </w:pPr>
            <w:r>
              <w:rPr>
                <w:rFonts w:ascii="Times New Roman" w:hAnsi="Times New Roman"/>
                <w:sz w:val="20"/>
              </w:rPr>
              <w:t xml:space="preserve">Found in the audit</w:t>
            </w:r>
          </w:p>
        </w:tc>
      </w:tr>
      <w:tr>
        <w:tc>
          <w:tcPr/>
          <w:p>
            <w:pPr>
              <w:pStyle w:val="Compact"/>
              <w:spacing w:line="240" w:lineRule="auto" w:after="0"/>
              <w:jc w:val="left"/>
            </w:pPr>
            <w:r>
              <w:rPr>
                <w:rFonts w:ascii="Times New Roman" w:hAnsi="Times New Roman"/>
                <w:sz w:val="20"/>
              </w:rPr>
              <w:t xml:space="preserve">Title (plan section 12.2)</w:t>
            </w:r>
          </w:p>
        </w:tc>
        <w:tc>
          <w:tcPr/>
          <w:p>
            <w:pPr>
              <w:pStyle w:val="Compact"/>
              <w:spacing w:line="240" w:lineRule="auto" w:after="0"/>
              <w:jc w:val="left"/>
            </w:pPr>
            <w:r>
              <w:rPr>
                <w:rFonts w:ascii="Times New Roman" w:hAnsi="Times New Roman"/>
                <w:sz w:val="20"/>
              </w:rPr>
              <w:t xml:space="preserve">Shortened; H2 clause removed;</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markedly reduced after adjustment for estimated cell composition</w:t>
            </w:r>
            <w:r>
              <w:rPr>
                <w:rFonts w:ascii="Times New Roman" w:hAnsi="Times New Roman"/>
                <w:sz w:val="20"/>
              </w:rPr>
              <w:t xml:space="preserve">’</w:t>
            </w:r>
          </w:p>
        </w:tc>
        <w:tc>
          <w:tcPr/>
          <w:p>
            <w:pPr>
              <w:pStyle w:val="Compact"/>
              <w:spacing w:line="240" w:lineRule="auto" w:after="0"/>
              <w:jc w:val="left"/>
            </w:pPr>
            <w:r>
              <w:rPr>
                <w:rFonts w:ascii="Times New Roman" w:hAnsi="Times New Roman"/>
                <w:sz w:val="20"/>
              </w:rPr>
              <w:t xml:space="preserve">Length; the H2 clause claimed more than a 6-donor analysis can support; composition specificity not shown; 288 shared DEGs remained in the replication cohort</w:t>
            </w:r>
          </w:p>
        </w:tc>
        <w:tc>
          <w:tcPr/>
          <w:p>
            <w:pPr>
              <w:pStyle w:val="Compact"/>
              <w:spacing w:line="240" w:lineRule="auto" w:after="0"/>
              <w:jc w:val="left"/>
            </w:pPr>
            <w:r>
              <w:rPr>
                <w:rFonts w:ascii="Times New Roman" w:hAnsi="Times New Roman"/>
                <w:sz w:val="20"/>
              </w:rPr>
              <w:t xml:space="preserve">After results</w:t>
            </w:r>
          </w:p>
        </w:tc>
      </w:tr>
      <w:tr>
        <w:tc>
          <w:tcPr/>
          <w:p>
            <w:pPr>
              <w:pStyle w:val="Compact"/>
              <w:spacing w:line="240" w:lineRule="auto" w:after="0"/>
              <w:jc w:val="left"/>
            </w:pPr>
            <w:r>
              <w:rPr>
                <w:rFonts w:ascii="Times New Roman" w:hAnsi="Times New Roman"/>
                <w:sz w:val="20"/>
              </w:rPr>
              <w:t xml:space="preserve">Not in the plan</w:t>
            </w:r>
          </w:p>
        </w:tc>
        <w:tc>
          <w:tcPr/>
          <w:p>
            <w:pPr>
              <w:pStyle w:val="Compact"/>
              <w:spacing w:line="240" w:lineRule="auto" w:after="0"/>
              <w:jc w:val="left"/>
            </w:pPr>
            <w:r>
              <w:rPr>
                <w:rFonts w:ascii="Times New Roman" w:hAnsi="Times New Roman"/>
                <w:sz w:val="20"/>
              </w:rPr>
              <w:t xml:space="preserve">H1 replication in GSE125583; 2 × 2 DD decomposition; GBM limma-trend sensitivity</w:t>
            </w:r>
          </w:p>
        </w:tc>
        <w:tc>
          <w:tcPr/>
          <w:p>
            <w:pPr>
              <w:pStyle w:val="Compact"/>
              <w:spacing w:line="240" w:lineRule="auto" w:after="0"/>
              <w:jc w:val="left"/>
            </w:pPr>
            <w:r>
              <w:rPr>
                <w:rFonts w:ascii="Times New Roman" w:hAnsi="Times New Roman"/>
                <w:sz w:val="20"/>
              </w:rPr>
              <w:t xml:space="preserve">External review</w:t>
            </w:r>
          </w:p>
        </w:tc>
        <w:tc>
          <w:tcPr/>
          <w:p>
            <w:pPr>
              <w:pStyle w:val="Compact"/>
              <w:spacing w:line="240" w:lineRule="auto" w:after="0"/>
              <w:jc w:val="left"/>
            </w:pPr>
            <w:r>
              <w:rPr>
                <w:rFonts w:ascii="Times New Roman" w:hAnsi="Times New Roman"/>
                <w:sz w:val="20"/>
              </w:rPr>
              <w:t xml:space="preserve">Pre-declared before running</w:t>
            </w:r>
          </w:p>
        </w:tc>
      </w:tr>
      <w:tr>
        <w:tc>
          <w:tcPr/>
          <w:p>
            <w:pPr>
              <w:pStyle w:val="Compact"/>
              <w:spacing w:line="240" w:lineRule="auto" w:after="0"/>
              <w:jc w:val="left"/>
            </w:pPr>
            <w:r>
              <w:rPr>
                <w:rFonts w:ascii="Times New Roman" w:hAnsi="Times New Roman"/>
                <w:sz w:val="20"/>
              </w:rPr>
              <w:t xml:space="preserve">Not in the plan</w:t>
            </w:r>
          </w:p>
        </w:tc>
        <w:tc>
          <w:tcPr/>
          <w:p>
            <w:pPr>
              <w:pStyle w:val="Compact"/>
              <w:spacing w:line="240" w:lineRule="auto" w:after="0"/>
              <w:jc w:val="left"/>
            </w:pPr>
            <w:r>
              <w:rPr>
                <w:rFonts w:ascii="Times New Roman" w:hAnsi="Times New Roman"/>
                <w:sz w:val="20"/>
              </w:rPr>
              <w:t xml:space="preserve">GSE125583 cohort</w:t>
            </w:r>
          </w:p>
        </w:tc>
        <w:tc>
          <w:tcPr/>
          <w:p>
            <w:pPr>
              <w:pStyle w:val="Compact"/>
              <w:spacing w:line="240" w:lineRule="auto" w:after="0"/>
              <w:jc w:val="left"/>
            </w:pPr>
            <w:r>
              <w:rPr>
                <w:rFonts w:ascii="Times New Roman" w:hAnsi="Times New Roman"/>
                <w:sz w:val="20"/>
              </w:rPr>
              <w:t xml:space="preserve">Exploratory only</w:t>
            </w:r>
          </w:p>
        </w:tc>
        <w:tc>
          <w:tcPr/>
          <w:p>
            <w:pPr>
              <w:pStyle w:val="Compact"/>
              <w:spacing w:line="240" w:lineRule="auto" w:after="0"/>
              <w:jc w:val="left"/>
            </w:pPr>
            <w:r>
              <w:rPr>
                <w:rFonts w:ascii="Times New Roman" w:hAnsi="Times New Roman"/>
                <w:sz w:val="20"/>
              </w:rPr>
              <w:t xml:space="preserve">Labelled as exploratory</w:t>
            </w:r>
          </w:p>
        </w:tc>
      </w:tr>
    </w:tbl>
    <w:p>
      <w:pPr>
        <w:pStyle w:val="BodyText"/>
      </w:pPr>
      <w:r>
        <w:rPr>
          <w:iCs/>
          <w:i/>
        </w:rPr>
        <w:t xml:space="preserve">Abbreviations:</w:t>
      </w:r>
      <w:r>
        <w:t xml:space="preserve"> </w:t>
      </w:r>
      <w:r>
        <w:t xml:space="preserve">BH, Benjamini-Hochberg; DD, down in both diseases; DU, down in AD and up in GBM; GBM, glioblastoma; GTEx, Genotype-Tissue Expression project; RIN, RNA integrity number; RORB, RAR-related orphan receptor B; TOIL, the Toil recompute of TCGA and GTEx.</w:t>
      </w:r>
    </w:p>
    <w:bookmarkEnd w:id="29"/>
    <w:bookmarkEnd w:id="30"/>
    <w:bookmarkStart w:id="37" w:name="results"/>
    <w:p>
      <w:pPr>
        <w:pStyle w:val="Heading2"/>
      </w:pPr>
      <w:r>
        <w:t xml:space="preserve">3. Results</w:t>
      </w:r>
    </w:p>
    <w:p>
      <w:pPr>
        <w:pStyle w:val="FirstParagraph"/>
      </w:pPr>
      <w:r>
        <w:t xml:space="preserve">I first report the tests of the two pre-specified hypotheses (Sections 3.1–3.3) and then the exploratory analyses, which do not enter the hypothesis decisions (Sections 3.4–3.6). All numbers come from the facts sheet generated from the locked result files.</w:t>
      </w:r>
    </w:p>
    <w:bookmarkStart w:id="31" w:name="X68c9f0b60a362206b7b8bb2369086a73b9de177"/>
    <w:p>
      <w:pPr>
        <w:pStyle w:val="Heading3"/>
      </w:pPr>
      <w:r>
        <w:t xml:space="preserve">3.1 H1: shared DEGs are lost after adjustment for estimated cell composition</w:t>
      </w:r>
    </w:p>
    <w:p>
      <w:pPr>
        <w:pStyle w:val="FirstParagraph"/>
      </w:pPr>
      <w:r>
        <w:t xml:space="preserve">In the hippocampal AD meta-cohort (n = 51; 18 AD, 33 controls) and the TCGA-GBM/GTEx cohort (n = 338; 152 tumours, 186 controls), Model A without composition control gave 4,449 DEGs for AD and 14,811 for GBM at FDR &lt; 0.05 (Figure 2A). Of these, 1,458 genes differed in the same direction in both cohorts (Table 3; the full list, with estimates under every model, is in Supplementary Table S1a).</w:t>
      </w:r>
    </w:p>
    <w:p>
      <w:pPr>
        <w:pStyle w:val="BodyText"/>
      </w:pPr>
      <w:r>
        <w:t xml:space="preserve">Adding composition covariates reduced the number of shared DEGs to zero with both deconvolution methods (Model B, BRETIGEA: 0; Model C, MuSiC: 0; Figure 2C). Both ratios to Model A were 0.000, below the pre-specified threshold of 0.20, so H1 was supported under the plan’s decision rule. The result did not change in any of the pre-specified sensitivity analyses. With the fold-change threshold (413 shared DEGs under Model A), with controls restricted to BA9 (1,587) or to the hippocampus (1,240), and with the fold-change threshold applied to single-region controls (BA9: 485; hippocampus: 340), Models B and C gave zero shared DEGs in every case (Figure 2C). The exploratory Model D, with both sets of covariates, also gave none.</w:t>
      </w:r>
    </w:p>
    <w:p>
      <w:pPr>
        <w:pStyle w:val="BodyText"/>
      </w:pPr>
      <w:r>
        <w:rPr>
          <w:bCs/>
          <w:b/>
        </w:rPr>
        <w:t xml:space="preserve">Table 3.</w:t>
      </w:r>
      <w:r>
        <w:t xml:space="preserve"> </w:t>
      </w:r>
      <w:r>
        <w:t xml:space="preserve">H1: DEGs and shared DEGs by model (FDR &lt; 0.05).</w:t>
      </w:r>
    </w:p>
    <w:tbl>
      <w:tblPr>
        <w:tblStyle w:val="Table"/>
        <w:tblW w:type="auto" w:w="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584"/>
        <w:gridCol w:w="1584"/>
        <w:gridCol w:w="1584"/>
        <w:gridCol w:w="1584"/>
        <w:gridCol w:w="1584"/>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Model</w:t>
            </w:r>
          </w:p>
        </w:tc>
        <w:tc>
          <w:tcPr>
            <w:tcBorders>
              <w:bottom w:val="single" w:sz="4" w:color="000000"/>
            </w:tcBorders>
          </w:tcPr>
          <w:p>
            <w:pPr>
              <w:pStyle w:val="Compact"/>
              <w:spacing w:line="240" w:lineRule="auto" w:after="0"/>
              <w:jc w:val="left"/>
            </w:pPr>
            <w:r>
              <w:rPr>
                <w:rFonts w:ascii="Times New Roman" w:hAnsi="Times New Roman"/>
                <w:b/>
                <w:sz w:val="20"/>
              </w:rPr>
              <w:t xml:space="preserve">AD DEGs</w:t>
            </w:r>
          </w:p>
        </w:tc>
        <w:tc>
          <w:tcPr>
            <w:tcBorders>
              <w:bottom w:val="single" w:sz="4" w:color="000000"/>
            </w:tcBorders>
          </w:tcPr>
          <w:p>
            <w:pPr>
              <w:pStyle w:val="Compact"/>
              <w:spacing w:line="240" w:lineRule="auto" w:after="0"/>
              <w:jc w:val="left"/>
            </w:pPr>
            <w:r>
              <w:rPr>
                <w:rFonts w:ascii="Times New Roman" w:hAnsi="Times New Roman"/>
                <w:b/>
                <w:sz w:val="20"/>
              </w:rPr>
              <w:t xml:space="preserve">GBM DEGs</w:t>
            </w:r>
          </w:p>
        </w:tc>
        <w:tc>
          <w:tcPr>
            <w:tcBorders>
              <w:bottom w:val="single" w:sz="4" w:color="000000"/>
            </w:tcBorders>
          </w:tcPr>
          <w:p>
            <w:pPr>
              <w:pStyle w:val="Compact"/>
              <w:spacing w:line="240" w:lineRule="auto" w:after="0"/>
              <w:jc w:val="left"/>
            </w:pPr>
            <w:r>
              <w:rPr>
                <w:rFonts w:ascii="Times New Roman" w:hAnsi="Times New Roman"/>
                <w:b/>
                <w:sz w:val="20"/>
              </w:rPr>
              <w:t xml:space="preserve">Shared DEGs</w:t>
            </w:r>
          </w:p>
        </w:tc>
        <w:tc>
          <w:tcPr>
            <w:tcBorders>
              <w:bottom w:val="single" w:sz="4" w:color="000000"/>
            </w:tcBorders>
          </w:tcPr>
          <w:p>
            <w:pPr>
              <w:pStyle w:val="Compact"/>
              <w:spacing w:line="240" w:lineRule="auto" w:after="0"/>
              <w:jc w:val="left"/>
            </w:pPr>
            <w:r>
              <w:rPr>
                <w:rFonts w:ascii="Times New Roman" w:hAnsi="Times New Roman"/>
                <w:b/>
                <w:sz w:val="20"/>
              </w:rPr>
              <w:t xml:space="preserve">Ratio to Model A</w:t>
            </w:r>
          </w:p>
        </w:tc>
      </w:tr>
      <w:tr>
        <w:tc>
          <w:tcPr/>
          <w:p>
            <w:pPr>
              <w:pStyle w:val="Compact"/>
              <w:spacing w:line="240" w:lineRule="auto" w:after="0"/>
              <w:jc w:val="left"/>
            </w:pPr>
            <w:r>
              <w:rPr>
                <w:rFonts w:ascii="Times New Roman" w:hAnsi="Times New Roman"/>
                <w:sz w:val="20"/>
              </w:rPr>
              <w:t xml:space="preserve">A: unadjusted</w:t>
            </w:r>
          </w:p>
        </w:tc>
        <w:tc>
          <w:tcPr/>
          <w:p>
            <w:pPr>
              <w:pStyle w:val="Compact"/>
              <w:spacing w:line="240" w:lineRule="auto" w:after="0"/>
              <w:jc w:val="left"/>
            </w:pPr>
            <w:r>
              <w:rPr>
                <w:rFonts w:ascii="Times New Roman" w:hAnsi="Times New Roman"/>
                <w:sz w:val="20"/>
              </w:rPr>
              <w:t xml:space="preserve">4,449</w:t>
            </w:r>
          </w:p>
        </w:tc>
        <w:tc>
          <w:tcPr/>
          <w:p>
            <w:pPr>
              <w:pStyle w:val="Compact"/>
              <w:spacing w:line="240" w:lineRule="auto" w:after="0"/>
              <w:jc w:val="left"/>
            </w:pPr>
            <w:r>
              <w:rPr>
                <w:rFonts w:ascii="Times New Roman" w:hAnsi="Times New Roman"/>
                <w:sz w:val="20"/>
              </w:rPr>
              <w:t xml:space="preserve">14,811</w:t>
            </w:r>
          </w:p>
        </w:tc>
        <w:tc>
          <w:tcPr/>
          <w:p>
            <w:pPr>
              <w:pStyle w:val="Compact"/>
              <w:spacing w:line="240" w:lineRule="auto" w:after="0"/>
              <w:jc w:val="left"/>
            </w:pPr>
            <w:r>
              <w:rPr>
                <w:rFonts w:ascii="Times New Roman" w:hAnsi="Times New Roman"/>
                <w:sz w:val="20"/>
              </w:rPr>
              <w:t xml:space="preserve">1,458</w:t>
            </w:r>
          </w:p>
        </w:tc>
        <w:tc>
          <w:tcPr/>
          <w:p>
            <w:pPr>
              <w:pStyle w:val="Compact"/>
              <w:spacing w:line="240" w:lineRule="auto" w:after="0"/>
              <w:jc w:val="left"/>
            </w:pPr>
            <w:r>
              <w:rPr>
                <w:rFonts w:ascii="Times New Roman" w:hAnsi="Times New Roman"/>
                <w:sz w:val="20"/>
              </w:rPr>
              <w:t xml:space="preserve">—</w:t>
            </w:r>
          </w:p>
        </w:tc>
      </w:tr>
      <w:tr>
        <w:tc>
          <w:tcPr/>
          <w:p>
            <w:pPr>
              <w:pStyle w:val="Compact"/>
              <w:spacing w:line="240" w:lineRule="auto" w:after="0"/>
              <w:jc w:val="left"/>
            </w:pPr>
            <w:r>
              <w:rPr>
                <w:rFonts w:ascii="Times New Roman" w:hAnsi="Times New Roman"/>
                <w:sz w:val="20"/>
              </w:rPr>
              <w:t xml:space="preserve">B: + BRETIGEA</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7,787</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0.000</w:t>
            </w:r>
          </w:p>
        </w:tc>
      </w:tr>
      <w:tr>
        <w:tc>
          <w:tcPr/>
          <w:p>
            <w:pPr>
              <w:pStyle w:val="Compact"/>
              <w:spacing w:line="240" w:lineRule="auto" w:after="0"/>
              <w:jc w:val="left"/>
            </w:pPr>
            <w:r>
              <w:rPr>
                <w:rFonts w:ascii="Times New Roman" w:hAnsi="Times New Roman"/>
                <w:sz w:val="20"/>
              </w:rPr>
              <w:t xml:space="preserve">C: + MuSiC</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14,853</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0.000</w:t>
            </w:r>
          </w:p>
        </w:tc>
      </w:tr>
      <w:tr>
        <w:tc>
          <w:tcPr/>
          <w:p>
            <w:pPr>
              <w:pStyle w:val="Compact"/>
              <w:spacing w:line="240" w:lineRule="auto" w:after="0"/>
              <w:jc w:val="left"/>
            </w:pPr>
            <w:r>
              <w:rPr>
                <w:rFonts w:ascii="Times New Roman" w:hAnsi="Times New Roman"/>
                <w:sz w:val="20"/>
              </w:rPr>
              <w:t xml:space="preserve">D: + both (exploratory)</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6,873</w:t>
            </w:r>
          </w:p>
        </w:tc>
        <w:tc>
          <w:tcPr/>
          <w:p>
            <w:pPr>
              <w:pStyle w:val="Compact"/>
              <w:spacing w:line="240" w:lineRule="auto" w:after="0"/>
              <w:jc w:val="left"/>
            </w:pPr>
            <w:r>
              <w:rPr>
                <w:rFonts w:ascii="Times New Roman" w:hAnsi="Times New Roman"/>
                <w:sz w:val="20"/>
              </w:rPr>
              <w:t xml:space="preserve">0</w:t>
            </w:r>
          </w:p>
        </w:tc>
        <w:tc>
          <w:tcPr/>
          <w:p>
            <w:pPr>
              <w:pStyle w:val="Compact"/>
              <w:spacing w:line="240" w:lineRule="auto" w:after="0"/>
              <w:jc w:val="left"/>
            </w:pPr>
            <w:r>
              <w:rPr>
                <w:rFonts w:ascii="Times New Roman" w:hAnsi="Times New Roman"/>
                <w:sz w:val="20"/>
              </w:rPr>
              <w:t xml:space="preserve">—</w:t>
            </w:r>
          </w:p>
        </w:tc>
      </w:tr>
    </w:tbl>
    <w:p>
      <w:pPr>
        <w:pStyle w:val="BodyText"/>
      </w:pPr>
      <w:r>
        <w:rPr>
          <w:iCs/>
          <w:i/>
        </w:rPr>
        <w:t xml:space="preserve">Abbreviations:</w:t>
      </w:r>
      <w:r>
        <w:t xml:space="preserve"> </w:t>
      </w:r>
      <w:r>
        <w:t xml:space="preserve">AD, Alzheimer’s disease; BRETIGEA, BRain cEll Type specIfic Gene Expression Analysis; DEG, differentially expressed gene; FDR, false discovery rate; GBM, glioblastoma; MuSiC, MUlti-Subject SIngle Cell deconvolution.</w:t>
      </w:r>
    </w:p>
    <w:p>
      <w:pPr>
        <w:pStyle w:val="BodyText"/>
      </w:pPr>
      <w:r>
        <w:t xml:space="preserve">The whole decline comes from the AD side. With composition covariates in the model, no gene in the AD cohort remained significant anywhere in the genome, even though the VIF of the diagnosis coefficient in Model B was only 2.2, so the loss cannot be put down to collinearity between diagnosis and the composition covariates. On the GBM side, BRETIGEA adjustment reduced the number of DEGs from 14,811 to 7,787 (diagnosis VIF 13.4), while MuSiC adjustment left it almost unchanged (14,853).</w:t>
      </w:r>
    </w:p>
    <w:p>
      <w:pPr>
        <w:pStyle w:val="BodyText"/>
      </w:pPr>
      <w:r>
        <w:t xml:space="preserve">The two methods have their own problems here. The MuSiC proportions are not biologically plausible in either cohort (Figure 2B). In control hippocampus, neurons made up 0.9% of the estimated composition, endothelial cells 43% and microglia 31%; in GTEx control cortex the figures were 0.7%, 46% and 16%; and in GBM tumours, neurons were estimated at 0.0% and endothelial cells at 60%. The markers behind the BRETIGEA astrocyte score behaved inconsistently in the GBM cohort (across all samples, correlations with the score were −0.19 for AQP4, −0.24 for GFAP and +0.88 for ETNPPL; Supplementary Table S2). Within tumours and within controls, all three correlations were positive, so the inconsistency arises between tumour and normal tissue, not within either group, which fits with malignant AC-like cells expressing astrocyte markers. The composition adjustment on the GBM side may therefore only partly reflect the proportions of normal glial cells. Given how implausible the MuSiC estimates are, I report Model C because the decision rule requires a second method, not as independent confirmation; the evidence for H1 rests mainly on BRETIGEA and on the replication in Section 3.4.</w:t>
      </w:r>
    </w:p>
    <w:bookmarkEnd w:id="31"/>
    <w:bookmarkStart w:id="32" w:name="Xcc280955954448ed138960cbde2b4af277359f7"/>
    <w:p>
      <w:pPr>
        <w:pStyle w:val="Heading3"/>
      </w:pPr>
      <w:r>
        <w:t xml:space="preserve">3.2 H2: no convergence between AD vulnerable-neuron identity and GBM neural-mimicry states</w:t>
      </w:r>
    </w:p>
    <w:p>
      <w:pPr>
        <w:pStyle w:val="FirstParagraph"/>
      </w:pPr>
      <w:r>
        <w:t xml:space="preserve">The plan-conformant Stage 1 analysis (Braak VI versus Braak 0, donor level, adjusted for age) had three donors per group and three residual degrees of freedom. No gene reached FDR &lt; 0.05, and the AD vulnerable-neuron signature defined by the plan’s criteria (FDR &lt; 0.05 and log2FC &lt; −0.5) was empty. In the secondary contrast (Braak II versus Braak 0; three versus four donors, four residual degrees of freedom), one gene was significant and the signature was again empty. The sensitivity analysis that keeps subcluster information and treats donor as a block gave 336 genes for the Braak VI contrast (within-donor correlation 0.41), but I had decided in advance not to use it for decisions, because with few donors it can be anti-conservative.</w:t>
      </w:r>
    </w:p>
    <w:p>
      <w:pPr>
        <w:pStyle w:val="BodyText"/>
      </w:pPr>
      <w:r>
        <w:t xml:space="preserve">Because the signature was empty, Stage 3 was run as the plan describes: on the full ranked gene lists (RRHO2) and on the top 200 genes of the ranking (hypergeometric and permutation tests). Running the implementation on the original Stage 1 input reproduced the original result exactly (highest value on the RRHO2 map: 6.54, row 35, column 38). Table 4 summarises the results and Figure 3 shows the RRHO2 maps; the maxima, positions and boundaries of all four quadrants in every analysis are given in Supplementary Table S3.</w:t>
      </w:r>
    </w:p>
    <w:p>
      <w:pPr>
        <w:pStyle w:val="BodyText"/>
      </w:pPr>
      <w:r>
        <w:rPr>
          <w:bCs/>
          <w:b/>
        </w:rPr>
        <w:t xml:space="preserve">Table 4.</w:t>
      </w:r>
      <w:r>
        <w:t xml:space="preserve"> </w:t>
      </w:r>
      <w:r>
        <w:t xml:space="preserve">H2: results of the three pre-specified tests. RRHO2 values are the highest −log10(P) in each quadrant; quadrant boundaries are set where the ranking statistic changes sign in each list. Adjusted P values are capped at 1.</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320"/>
        <w:gridCol w:w="1320"/>
        <w:gridCol w:w="1320"/>
        <w:gridCol w:w="1320"/>
        <w:gridCol w:w="1320"/>
        <w:gridCol w:w="1320"/>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Analysis</w:t>
            </w:r>
          </w:p>
        </w:tc>
        <w:tc>
          <w:tcPr>
            <w:tcBorders>
              <w:bottom w:val="single" w:sz="4" w:color="000000"/>
            </w:tcBorders>
          </w:tcPr>
          <w:p>
            <w:pPr>
              <w:pStyle w:val="Compact"/>
              <w:spacing w:line="240" w:lineRule="auto" w:after="0"/>
              <w:jc w:val="left"/>
            </w:pPr>
            <w:r>
              <w:rPr>
                <w:rFonts w:ascii="Times New Roman" w:hAnsi="Times New Roman"/>
                <w:b/>
                <w:sz w:val="20"/>
              </w:rPr>
              <w:t xml:space="preserve">Test 1: RRHO2, DU quadrant</w:t>
            </w:r>
          </w:p>
        </w:tc>
        <w:tc>
          <w:tcPr>
            <w:tcBorders>
              <w:bottom w:val="single" w:sz="4" w:color="000000"/>
            </w:tcBorders>
          </w:tcPr>
          <w:p>
            <w:pPr>
              <w:pStyle w:val="Compact"/>
              <w:spacing w:line="240" w:lineRule="auto" w:after="0"/>
              <w:jc w:val="left"/>
            </w:pPr>
            <w:r>
              <w:rPr>
                <w:rFonts w:ascii="Times New Roman" w:hAnsi="Times New Roman"/>
                <w:b/>
                <w:sz w:val="20"/>
              </w:rPr>
              <w:t xml:space="preserve">RRHO2, DD quadrant (comparison)</w:t>
            </w:r>
          </w:p>
        </w:tc>
        <w:tc>
          <w:tcPr>
            <w:tcBorders>
              <w:bottom w:val="single" w:sz="4" w:color="000000"/>
            </w:tcBorders>
          </w:tcPr>
          <w:p>
            <w:pPr>
              <w:pStyle w:val="Compact"/>
              <w:spacing w:line="240" w:lineRule="auto" w:after="0"/>
              <w:jc w:val="left"/>
            </w:pPr>
            <w:r>
              <w:rPr>
                <w:rFonts w:ascii="Times New Roman" w:hAnsi="Times New Roman"/>
                <w:b/>
                <w:sz w:val="20"/>
              </w:rPr>
              <w:t xml:space="preserve">Test 2: hypergeometric</w:t>
            </w:r>
          </w:p>
        </w:tc>
        <w:tc>
          <w:tcPr>
            <w:tcBorders>
              <w:bottom w:val="single" w:sz="4" w:color="000000"/>
            </w:tcBorders>
          </w:tcPr>
          <w:p>
            <w:pPr>
              <w:pStyle w:val="Compact"/>
              <w:spacing w:line="240" w:lineRule="auto" w:after="0"/>
              <w:jc w:val="left"/>
            </w:pPr>
            <w:r>
              <w:rPr>
                <w:rFonts w:ascii="Times New Roman" w:hAnsi="Times New Roman"/>
                <w:b/>
                <w:sz w:val="20"/>
              </w:rPr>
              <w:t xml:space="preserve">Test 3: permutation</w:t>
            </w:r>
          </w:p>
        </w:tc>
        <w:tc>
          <w:tcPr>
            <w:tcBorders>
              <w:bottom w:val="single" w:sz="4" w:color="000000"/>
            </w:tcBorders>
          </w:tcPr>
          <w:p>
            <w:pPr>
              <w:pStyle w:val="Compact"/>
              <w:spacing w:line="240" w:lineRule="auto" w:after="0"/>
              <w:jc w:val="left"/>
            </w:pPr>
            <w:r>
              <w:rPr>
                <w:rFonts w:ascii="Times New Roman" w:hAnsi="Times New Roman"/>
                <w:b/>
                <w:sz w:val="20"/>
              </w:rPr>
              <w:t xml:space="preserve">Decision</w:t>
            </w:r>
          </w:p>
        </w:tc>
      </w:tr>
      <w:tr>
        <w:tc>
          <w:tcPr/>
          <w:p>
            <w:pPr>
              <w:pStyle w:val="Compact"/>
              <w:spacing w:line="240" w:lineRule="auto" w:after="0"/>
              <w:jc w:val="left"/>
            </w:pPr>
            <w:r>
              <w:rPr>
                <w:rFonts w:ascii="Times New Roman" w:hAnsi="Times New Roman"/>
                <w:sz w:val="20"/>
              </w:rPr>
              <w:t xml:space="preserve">Plan: Braak VI vs 0, donor level, age</w:t>
            </w:r>
          </w:p>
        </w:tc>
        <w:tc>
          <w:tcPr/>
          <w:p>
            <w:pPr>
              <w:pStyle w:val="Compact"/>
              <w:spacing w:line="240" w:lineRule="auto" w:after="0"/>
              <w:jc w:val="left"/>
            </w:pPr>
            <w:r>
              <w:rPr>
                <w:rFonts w:ascii="Times New Roman" w:hAnsi="Times New Roman"/>
                <w:sz w:val="20"/>
              </w:rPr>
              <w:t xml:space="preserve">1.28 (adj. P = 1)</w:t>
            </w:r>
          </w:p>
        </w:tc>
        <w:tc>
          <w:tcPr/>
          <w:p>
            <w:pPr>
              <w:pStyle w:val="Compact"/>
              <w:spacing w:line="240" w:lineRule="auto" w:after="0"/>
              <w:jc w:val="left"/>
            </w:pPr>
            <w:r>
              <w:rPr>
                <w:rFonts w:ascii="Times New Roman" w:hAnsi="Times New Roman"/>
                <w:sz w:val="20"/>
              </w:rPr>
              <w:t xml:space="preserve">2.06 (adj. P = 1)</w:t>
            </w:r>
          </w:p>
        </w:tc>
        <w:tc>
          <w:tcPr/>
          <w:p>
            <w:pPr>
              <w:pStyle w:val="Compact"/>
              <w:spacing w:line="240" w:lineRule="auto" w:after="0"/>
              <w:jc w:val="left"/>
            </w:pPr>
            <w:r>
              <w:rPr>
                <w:rFonts w:ascii="Times New Roman" w:hAnsi="Times New Roman"/>
                <w:sz w:val="20"/>
              </w:rPr>
              <w:t xml:space="preserve">OR 1.40; adj. P = 0.458</w:t>
            </w:r>
          </w:p>
        </w:tc>
        <w:tc>
          <w:tcPr/>
          <w:p>
            <w:pPr>
              <w:pStyle w:val="Compact"/>
              <w:spacing w:line="240" w:lineRule="auto" w:after="0"/>
              <w:jc w:val="left"/>
            </w:pPr>
            <w:r>
              <w:rPr>
                <w:rFonts w:ascii="Times New Roman" w:hAnsi="Times New Roman"/>
                <w:sz w:val="20"/>
              </w:rPr>
              <w:t xml:space="preserve">P = 0.157</w:t>
            </w:r>
          </w:p>
        </w:tc>
        <w:tc>
          <w:tcPr/>
          <w:p>
            <w:pPr>
              <w:pStyle w:val="Compact"/>
              <w:spacing w:line="240" w:lineRule="auto" w:after="0"/>
              <w:jc w:val="left"/>
            </w:pPr>
            <w:r>
              <w:rPr>
                <w:rFonts w:ascii="Times New Roman" w:hAnsi="Times New Roman"/>
                <w:sz w:val="20"/>
              </w:rPr>
              <w:t xml:space="preserve">Rejected (0/3)</w:t>
            </w:r>
          </w:p>
        </w:tc>
      </w:tr>
      <w:tr>
        <w:tc>
          <w:tcPr/>
          <w:p>
            <w:pPr>
              <w:pStyle w:val="Compact"/>
              <w:spacing w:line="240" w:lineRule="auto" w:after="0"/>
              <w:jc w:val="left"/>
            </w:pPr>
            <w:r>
              <w:rPr>
                <w:rFonts w:ascii="Times New Roman" w:hAnsi="Times New Roman"/>
                <w:sz w:val="20"/>
              </w:rPr>
              <w:t xml:space="preserve">Deviation: Braak II vs 0, donor level, age</w:t>
            </w:r>
          </w:p>
        </w:tc>
        <w:tc>
          <w:tcPr/>
          <w:p>
            <w:pPr>
              <w:pStyle w:val="Compact"/>
              <w:spacing w:line="240" w:lineRule="auto" w:after="0"/>
              <w:jc w:val="left"/>
            </w:pPr>
            <w:r>
              <w:rPr>
                <w:rFonts w:ascii="Times New Roman" w:hAnsi="Times New Roman"/>
                <w:sz w:val="20"/>
              </w:rPr>
              <w:t xml:space="preserve">3.37 (adj. P = 0.796)</w:t>
            </w:r>
          </w:p>
        </w:tc>
        <w:tc>
          <w:tcPr/>
          <w:p>
            <w:pPr>
              <w:pStyle w:val="Compact"/>
              <w:spacing w:line="240" w:lineRule="auto" w:after="0"/>
              <w:jc w:val="left"/>
            </w:pPr>
            <w:r>
              <w:rPr>
                <w:rFonts w:ascii="Times New Roman" w:hAnsi="Times New Roman"/>
                <w:sz w:val="20"/>
              </w:rPr>
              <w:t xml:space="preserve">1.48 (adj. P = 1)</w:t>
            </w:r>
          </w:p>
        </w:tc>
        <w:tc>
          <w:tcPr/>
          <w:p>
            <w:pPr>
              <w:pStyle w:val="Compact"/>
              <w:spacing w:line="240" w:lineRule="auto" w:after="0"/>
              <w:jc w:val="left"/>
            </w:pPr>
            <w:r>
              <w:rPr>
                <w:rFonts w:ascii="Times New Roman" w:hAnsi="Times New Roman"/>
                <w:sz w:val="20"/>
              </w:rPr>
              <w:t xml:space="preserve">OR 1.40; adj. P = 0.458</w:t>
            </w:r>
          </w:p>
        </w:tc>
        <w:tc>
          <w:tcPr/>
          <w:p>
            <w:pPr>
              <w:pStyle w:val="Compact"/>
              <w:spacing w:line="240" w:lineRule="auto" w:after="0"/>
              <w:jc w:val="left"/>
            </w:pPr>
            <w:r>
              <w:rPr>
                <w:rFonts w:ascii="Times New Roman" w:hAnsi="Times New Roman"/>
                <w:sz w:val="20"/>
              </w:rPr>
              <w:t xml:space="preserve">P = 0.157</w:t>
            </w:r>
          </w:p>
        </w:tc>
        <w:tc>
          <w:tcPr/>
          <w:p>
            <w:pPr>
              <w:pStyle w:val="Compact"/>
              <w:spacing w:line="240" w:lineRule="auto" w:after="0"/>
              <w:jc w:val="left"/>
            </w:pPr>
            <w:r>
              <w:rPr>
                <w:rFonts w:ascii="Times New Roman" w:hAnsi="Times New Roman"/>
                <w:sz w:val="20"/>
              </w:rPr>
              <w:t xml:space="preserve">Rejected (0/3)</w:t>
            </w:r>
          </w:p>
        </w:tc>
      </w:tr>
      <w:tr>
        <w:tc>
          <w:tcPr/>
          <w:p>
            <w:pPr>
              <w:pStyle w:val="Compact"/>
              <w:spacing w:line="240" w:lineRule="auto" w:after="0"/>
              <w:jc w:val="left"/>
            </w:pPr>
            <w:r>
              <w:rPr>
                <w:rFonts w:ascii="Times New Roman" w:hAnsi="Times New Roman"/>
                <w:sz w:val="20"/>
              </w:rPr>
              <w:t xml:space="preserve">Original implementation (pseudoreplicated, no age, Braak II)</w:t>
            </w:r>
          </w:p>
        </w:tc>
        <w:tc>
          <w:tcPr/>
          <w:p>
            <w:pPr>
              <w:pStyle w:val="Compact"/>
              <w:spacing w:line="240" w:lineRule="auto" w:after="0"/>
              <w:jc w:val="left"/>
            </w:pPr>
            <w:r>
              <w:rPr>
                <w:rFonts w:ascii="Times New Roman" w:hAnsi="Times New Roman"/>
                <w:sz w:val="20"/>
              </w:rPr>
              <w:t xml:space="preserve">4.21 (adj. P = 0.114)</w:t>
            </w:r>
          </w:p>
        </w:tc>
        <w:tc>
          <w:tcPr/>
          <w:p>
            <w:pPr>
              <w:pStyle w:val="Compact"/>
              <w:spacing w:line="240" w:lineRule="auto" w:after="0"/>
              <w:jc w:val="left"/>
            </w:pPr>
            <w:r>
              <w:rPr>
                <w:rFonts w:ascii="Times New Roman" w:hAnsi="Times New Roman"/>
                <w:sz w:val="20"/>
              </w:rPr>
              <w:t xml:space="preserve">6.54 (adj. P = 5.3 × 10⁻⁴)</w:t>
            </w:r>
          </w:p>
        </w:tc>
        <w:tc>
          <w:tcPr/>
          <w:p>
            <w:pPr>
              <w:pStyle w:val="Compact"/>
              <w:spacing w:line="240" w:lineRule="auto" w:after="0"/>
              <w:jc w:val="left"/>
            </w:pPr>
            <w:r>
              <w:rPr>
                <w:rFonts w:ascii="Times New Roman" w:hAnsi="Times New Roman"/>
                <w:sz w:val="20"/>
              </w:rPr>
              <w:t xml:space="preserve">OR 1.52; adj. P = 0.278</w:t>
            </w:r>
          </w:p>
        </w:tc>
        <w:tc>
          <w:tcPr/>
          <w:p>
            <w:pPr>
              <w:pStyle w:val="Compact"/>
              <w:spacing w:line="240" w:lineRule="auto" w:after="0"/>
              <w:jc w:val="left"/>
            </w:pPr>
            <w:r>
              <w:rPr>
                <w:rFonts w:ascii="Times New Roman" w:hAnsi="Times New Roman"/>
                <w:sz w:val="20"/>
              </w:rPr>
              <w:t xml:space="preserve">P = 0.098</w:t>
            </w:r>
          </w:p>
        </w:tc>
        <w:tc>
          <w:tcPr/>
          <w:p>
            <w:pPr>
              <w:pStyle w:val="Compact"/>
              <w:spacing w:line="240" w:lineRule="auto" w:after="0"/>
              <w:jc w:val="left"/>
            </w:pPr>
            <w:r>
              <w:rPr>
                <w:rFonts w:ascii="Times New Roman" w:hAnsi="Times New Roman"/>
                <w:sz w:val="20"/>
              </w:rPr>
              <w:t xml:space="preserve">Rejected (0/3)</w:t>
            </w:r>
          </w:p>
        </w:tc>
      </w:tr>
    </w:tbl>
    <w:p>
      <w:pPr>
        <w:pStyle w:val="BodyText"/>
      </w:pPr>
      <w:r>
        <w:rPr>
          <w:iCs/>
          <w:i/>
        </w:rPr>
        <w:t xml:space="preserve">Abbreviations:</w:t>
      </w:r>
      <w:r>
        <w:t xml:space="preserve"> </w:t>
      </w:r>
      <w:r>
        <w:t xml:space="preserve">adj., adjusted; DD, down in both diseases; DU, down in Alzheimer’s disease and up in glioblastoma; OR, odds ratio; RRHO2, rank-rank hypergeometric overlap, version 2.</w:t>
      </w:r>
    </w:p>
    <w:p>
      <w:pPr>
        <w:pStyle w:val="BodyText"/>
      </w:pPr>
      <w:r>
        <w:t xml:space="preserve">None of the three tests passed in the plan-conformant analysis, and H2 was rejected. The documented Braak II deviation and the original implementation give the same answer. In the original implementation, the strong signal on the RRHO2 map (adjusted P = 5.3 × 10⁻⁴) sits not in the DU quadrant required by the plan but in the quadrant of genes down in both diseases (DD; Figure 3, left panel). Since the plan requires Test 1 to be judged in the DU quadrant, the original H2 evaluation also passed none of the three tests, not one of three as an earlier register entry stated.</w:t>
      </w:r>
    </w:p>
    <w:p>
      <w:pPr>
        <w:pStyle w:val="BodyText"/>
      </w:pPr>
      <w:r>
        <w:t xml:space="preserve">The identical Test 2 and Test 3 results in the plan and deviation rows are a coincidence. The top 200 AD genes of the two contrasts share only 30 genes, and the overlapping sets differ; only the overlap counts (14) are equal. The top 200 genes selected for the hypergeometric test have a slightly lower median expression than all genes (logCPM 4.19 versus 4.57).</w:t>
      </w:r>
    </w:p>
    <w:p>
      <w:pPr>
        <w:pStyle w:val="BodyText"/>
      </w:pPr>
      <w:r>
        <w:t xml:space="preserve">The rejection does not depend on how the GBM signature was estimated. With limma-trend on log-scaled TPM instead of edgeR on rounded TPM, the GBM log2FC values correlated at r = 0.879 with the original ones, and H2 was again rejected in both the plan analysis (DU maximum 2.50, adjusted P = 1; odds ratio 1.52; permutation P = 0.098) and the deviation analysis (DU maximum 3.37, adjusted P = 0.788; odds ratio 1.40; permutation P = 0.157).</w:t>
      </w:r>
    </w:p>
    <w:bookmarkEnd w:id="32"/>
    <w:bookmarkStart w:id="33" w:name="X86e4b00608a0ba286f9dbfeae0b65df96fda2a1"/>
    <w:p>
      <w:pPr>
        <w:pStyle w:val="Heading3"/>
      </w:pPr>
      <w:r>
        <w:t xml:space="preserve">3.3 Robustness of the H1 result: negative control</w:t>
      </w:r>
    </w:p>
    <w:p>
      <w:pPr>
        <w:pStyle w:val="FirstParagraph"/>
      </w:pPr>
      <w:r>
        <w:t xml:space="preserve">To see whether the decline in H1 came from the degrees of freedom used by the added covariates, or from the effect of any data-derived covariate, I ran a two-arm negative control (Figure 4).</w:t>
      </w:r>
    </w:p>
    <w:p>
      <w:pPr>
        <w:pStyle w:val="BodyText"/>
      </w:pPr>
      <w:r>
        <w:t xml:space="preserve">With six independent noise variables added to Model A (arm 1; 1,000 iterations), the median number of AD DEGs was 3,784, so 85.1% of the DEGs were retained (Figure 4A). The median number of shared DEGs was 1,279 (Model A: 1,458). Under the pre-specified rule (retention ≥ 0.80), power loss does not explain the decline.</w:t>
      </w:r>
    </w:p>
    <w:p>
      <w:pPr>
        <w:pStyle w:val="BodyText"/>
      </w:pPr>
      <w:r>
        <w:t xml:space="preserve">With six principal component scores from random gene sets added to Model A (arm 2; 1,000 iterations), the median number of AD DEGs fell to zero (Figure 4B). These random components, however, also explained a large share of the variance in the BRETIGEA cell-type scores (median mean R² = 0.501; minimum 0.249; Figure 4C). Under the pre-specified rule (median R² ≥ 0.25), this arm cannot discriminate. Put simply, in bulk brain tissue even randomly chosen genes pick up the composition axis.</w:t>
      </w:r>
    </w:p>
    <w:p>
      <w:pPr>
        <w:pStyle w:val="BodyText"/>
      </w:pPr>
      <w:r>
        <w:t xml:space="preserve">Taken together, the two arms show that the AD bulk DEGs are carried by a dominant expression axis that the composition scores and the random-gene components share. The decline in H1 is not explained by lost power, but these data cannot show that this axis reflects cell composition alone.</w:t>
      </w:r>
    </w:p>
    <w:bookmarkEnd w:id="33"/>
    <w:bookmarkStart w:id="34" w:name="X2541854ce5690d0da2d51d826a2a2859799f730"/>
    <w:p>
      <w:pPr>
        <w:pStyle w:val="Heading3"/>
      </w:pPr>
      <w:r>
        <w:t xml:space="preserve">3.4 Exploratory: H1 replicates in an independent AD cohort</w:t>
      </w:r>
    </w:p>
    <w:p>
      <w:pPr>
        <w:pStyle w:val="FirstParagraph"/>
      </w:pPr>
      <w:r>
        <w:t xml:space="preserve">In GSE125583 (125 advanced AD, 70 controls), Model A gave 9,306 AD DEGs, of which 3,912 were shared with GBM. With the BRETIGEA scores added, the model gave 4,242 AD DEGs (diagnosis VIF 1.4) and 288 shared DEGs. The pre-declared shared-DEG ratio (288/3,912 = 0.074) was below the threshold of 0.20, so H1 replicated. With the fold-change thresholds, shared DEGs fell from 1,105 to 3 (ratio 0.003). Figure S1 compares the two AD cohorts. Supplementary Table S1b lists the 3,912 shared genes and marks those that remained shared, and Table S1c lists the genes that became shared only after adjustment.</w:t>
      </w:r>
    </w:p>
    <w:p>
      <w:pPr>
        <w:pStyle w:val="BodyText"/>
      </w:pPr>
      <w:r>
        <w:t xml:space="preserve">The ratio compares counts, not genes, so I also looked at which genes remained (this was not pre-declared). Of the 9,306 AD DEGs under Model A, 2,800 (30.1%) were still significant under Model B, and of the 14,811 GBM DEGs, 6,718 (45.4%) were. Of the 3,912 shared DEGs, only 138 (3.5%) were still shared after adjustment; the other 150 genes shared under Model B became shared only after adjustment.</w:t>
      </w:r>
    </w:p>
    <w:p>
      <w:pPr>
        <w:pStyle w:val="BodyText"/>
      </w:pPr>
      <w:r>
        <w:t xml:space="preserve">Two things stand out. In this larger RNA-seq cohort, composition adjustment did not wipe out the disease signal: almost a third of the AD DEGs remained significant. The complete loss seen in the 51-sample meta-cohort was therefore probably a feature of that small, ComBat-merged cohort. The shared genes, on the other hand, fared much worse than DEGs in either cohort taken separately. Shared DEGs are a selected set, defined by being significant in both cohorts, so these retention figures cannot be combined into an expected value, and this comparison is descriptive, not a test. A formal assessment would need a null built from gene sets matched for expression level and initial effect size.</w:t>
      </w:r>
    </w:p>
    <w:bookmarkEnd w:id="34"/>
    <w:bookmarkStart w:id="35" w:name="X66ac2047e287e9b1a8ad10a2e80d7f370079ec4"/>
    <w:p>
      <w:pPr>
        <w:pStyle w:val="Heading3"/>
      </w:pPr>
      <w:r>
        <w:t xml:space="preserve">3.5 Exploratory: the DD signal in the original analysis does not survive adjustment for age</w:t>
      </w:r>
    </w:p>
    <w:p>
      <w:pPr>
        <w:pStyle w:val="FirstParagraph"/>
      </w:pPr>
      <w:r>
        <w:t xml:space="preserve">The original Stage 1 implementation departed from the plan in three ways: it treated three subclusters from the same donor as independent samples (21 samples from seven donors), it left out the age covariate required by the plan, and it used Braak II versus Braak 0 as the primary contrast. It produced 486 significant genes and a visible signal in the DD quadrant in Stage 3 (Table 4, last row). I examined how this signal and the gene counts depend on those analytic choices (Figure 5).</w:t>
      </w:r>
    </w:p>
    <w:p>
      <w:pPr>
        <w:pStyle w:val="BodyText"/>
      </w:pPr>
      <w:r>
        <w:rPr>
          <w:iCs/>
          <w:i/>
        </w:rPr>
        <w:t xml:space="preserve">Pseudoreplication.</w:t>
      </w:r>
      <w:r>
        <w:t xml:space="preserve"> </w:t>
      </w:r>
      <w:r>
        <w:t xml:space="preserve">The correlation between subclusters from the same donor was estimated at 0.346. Once donor was modelled, the number of significant genes fell from 486 to 27 (limma-voom with a donor block) or to zero (donor-summed edgeR) (Figure 5A). The effect estimates, by contrast, were largely preserved: the correlation between the original and donor-level log2FC values was 0.981 (Figure 5B), the Spearman correlation between the gene rankings was 0.970, and 153 of the 200 most down-regulated genes were shared by the two rankings. Pseudoreplication changed the statistical certainty attached to the effects, not their direction.</w:t>
      </w:r>
    </w:p>
    <w:p>
      <w:pPr>
        <w:pStyle w:val="BodyText"/>
      </w:pPr>
      <w:r>
        <w:rPr>
          <w:iCs/>
          <w:i/>
        </w:rPr>
        <w:t xml:space="preserve">Threshold profile.</w:t>
      </w:r>
      <w:r>
        <w:t xml:space="preserve"> </w:t>
      </w:r>
      <w:r>
        <w:t xml:space="preserve">I repeated the four-quadrant overlap test at four thresholds fixed in advance (top 100, 200, 300 and 500 genes), using both the original ranking and a donor-level ranking from limma-voom with a donor block (Table 5; Figure 5C). With the original ranking, the DD quadrant was significant at three of the four thresholds (BH-adjusted P &lt; 0.05); with the donor-block ranking, it was significant at only one (top 300 genes). The DU quadrant was significant at three thresholds with the donor-level ranking, but its highest odds ratio (2.42 for the top 200 genes) stayed below the pre-specified H2 threshold of 3. That the DD and DU quadrants are enriched at the same time suggests that genes down in AD are over-represented at both ends of the GBM ranking. This pattern may reflect genes that tend to take extreme values in both datasets, not a directional convergence.</w:t>
      </w:r>
    </w:p>
    <w:p>
      <w:pPr>
        <w:pStyle w:val="BodyText"/>
      </w:pPr>
      <w:r>
        <w:rPr>
          <w:bCs/>
          <w:b/>
        </w:rPr>
        <w:t xml:space="preserve">Table 5.</w:t>
      </w:r>
      <w:r>
        <w:t xml:space="preserve"> </w:t>
      </w:r>
      <w:r>
        <w:t xml:space="preserve">Threshold profile of the four-quadrant overlap test (observed / expected overlap; BH-adjusted P across the four quadrants).</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584"/>
        <w:gridCol w:w="1584"/>
        <w:gridCol w:w="1584"/>
        <w:gridCol w:w="1584"/>
        <w:gridCol w:w="1584"/>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Top N genes</w:t>
            </w:r>
          </w:p>
        </w:tc>
        <w:tc>
          <w:tcPr>
            <w:tcBorders>
              <w:bottom w:val="single" w:sz="4" w:color="000000"/>
            </w:tcBorders>
          </w:tcPr>
          <w:p>
            <w:pPr>
              <w:pStyle w:val="Compact"/>
              <w:spacing w:line="240" w:lineRule="auto" w:after="0"/>
              <w:jc w:val="left"/>
            </w:pPr>
            <w:r>
              <w:rPr>
                <w:rFonts w:ascii="Times New Roman" w:hAnsi="Times New Roman"/>
                <w:b/>
                <w:sz w:val="20"/>
              </w:rPr>
              <w:t xml:space="preserve">DD, original</w:t>
            </w:r>
          </w:p>
        </w:tc>
        <w:tc>
          <w:tcPr>
            <w:tcBorders>
              <w:bottom w:val="single" w:sz="4" w:color="000000"/>
            </w:tcBorders>
          </w:tcPr>
          <w:p>
            <w:pPr>
              <w:pStyle w:val="Compact"/>
              <w:spacing w:line="240" w:lineRule="auto" w:after="0"/>
              <w:jc w:val="left"/>
            </w:pPr>
            <w:r>
              <w:rPr>
                <w:rFonts w:ascii="Times New Roman" w:hAnsi="Times New Roman"/>
                <w:b/>
                <w:sz w:val="20"/>
              </w:rPr>
              <w:t xml:space="preserve">DD, donor level</w:t>
            </w:r>
          </w:p>
        </w:tc>
        <w:tc>
          <w:tcPr>
            <w:tcBorders>
              <w:bottom w:val="single" w:sz="4" w:color="000000"/>
            </w:tcBorders>
          </w:tcPr>
          <w:p>
            <w:pPr>
              <w:pStyle w:val="Compact"/>
              <w:spacing w:line="240" w:lineRule="auto" w:after="0"/>
              <w:jc w:val="left"/>
            </w:pPr>
            <w:r>
              <w:rPr>
                <w:rFonts w:ascii="Times New Roman" w:hAnsi="Times New Roman"/>
                <w:b/>
                <w:sz w:val="20"/>
              </w:rPr>
              <w:t xml:space="preserve">DU, original</w:t>
            </w:r>
          </w:p>
        </w:tc>
        <w:tc>
          <w:tcPr>
            <w:tcBorders>
              <w:bottom w:val="single" w:sz="4" w:color="000000"/>
            </w:tcBorders>
          </w:tcPr>
          <w:p>
            <w:pPr>
              <w:pStyle w:val="Compact"/>
              <w:spacing w:line="240" w:lineRule="auto" w:after="0"/>
              <w:jc w:val="left"/>
            </w:pPr>
            <w:r>
              <w:rPr>
                <w:rFonts w:ascii="Times New Roman" w:hAnsi="Times New Roman"/>
                <w:b/>
                <w:sz w:val="20"/>
              </w:rPr>
              <w:t xml:space="preserve">DU, donor level</w:t>
            </w:r>
          </w:p>
        </w:tc>
      </w:tr>
      <w:tr>
        <w:tc>
          <w:tcPr/>
          <w:p>
            <w:pPr>
              <w:pStyle w:val="Compact"/>
              <w:spacing w:line="240" w:lineRule="auto" w:after="0"/>
              <w:jc w:val="left"/>
            </w:pPr>
            <w:r>
              <w:rPr>
                <w:rFonts w:ascii="Times New Roman" w:hAnsi="Times New Roman"/>
                <w:sz w:val="20"/>
              </w:rPr>
              <w:t xml:space="preserve">100</w:t>
            </w:r>
          </w:p>
        </w:tc>
        <w:tc>
          <w:tcPr/>
          <w:p>
            <w:pPr>
              <w:pStyle w:val="Compact"/>
              <w:spacing w:line="240" w:lineRule="auto" w:after="0"/>
              <w:jc w:val="left"/>
            </w:pPr>
            <w:r>
              <w:rPr>
                <w:rFonts w:ascii="Times New Roman" w:hAnsi="Times New Roman"/>
                <w:sz w:val="20"/>
              </w:rPr>
              <w:t xml:space="preserve">4 / 2.6; P = 0.520</w:t>
            </w:r>
          </w:p>
        </w:tc>
        <w:tc>
          <w:tcPr/>
          <w:p>
            <w:pPr>
              <w:pStyle w:val="Compact"/>
              <w:spacing w:line="240" w:lineRule="auto" w:after="0"/>
              <w:jc w:val="left"/>
            </w:pPr>
            <w:r>
              <w:rPr>
                <w:rFonts w:ascii="Times New Roman" w:hAnsi="Times New Roman"/>
                <w:sz w:val="20"/>
              </w:rPr>
              <w:t xml:space="preserve">3 / 2.6; P = 0.930</w:t>
            </w:r>
          </w:p>
        </w:tc>
        <w:tc>
          <w:tcPr/>
          <w:p>
            <w:pPr>
              <w:pStyle w:val="Compact"/>
              <w:spacing w:line="240" w:lineRule="auto" w:after="0"/>
              <w:jc w:val="left"/>
            </w:pPr>
            <w:r>
              <w:rPr>
                <w:rFonts w:ascii="Times New Roman" w:hAnsi="Times New Roman"/>
                <w:sz w:val="20"/>
              </w:rPr>
              <w:t xml:space="preserve">6 / 2.6; P = 0.176</w:t>
            </w:r>
          </w:p>
        </w:tc>
        <w:tc>
          <w:tcPr/>
          <w:p>
            <w:pPr>
              <w:pStyle w:val="Compact"/>
              <w:spacing w:line="240" w:lineRule="auto" w:after="0"/>
              <w:jc w:val="left"/>
            </w:pPr>
            <w:r>
              <w:rPr>
                <w:rFonts w:ascii="Times New Roman" w:hAnsi="Times New Roman"/>
                <w:sz w:val="20"/>
              </w:rPr>
              <w:t xml:space="preserve">4 / 2.6; P = 0.930</w:t>
            </w:r>
          </w:p>
        </w:tc>
      </w:tr>
      <w:tr>
        <w:tc>
          <w:tcPr/>
          <w:p>
            <w:pPr>
              <w:pStyle w:val="Compact"/>
              <w:spacing w:line="240" w:lineRule="auto" w:after="0"/>
              <w:jc w:val="left"/>
            </w:pPr>
            <w:r>
              <w:rPr>
                <w:rFonts w:ascii="Times New Roman" w:hAnsi="Times New Roman"/>
                <w:sz w:val="20"/>
              </w:rPr>
              <w:t xml:space="preserve">200</w:t>
            </w:r>
          </w:p>
        </w:tc>
        <w:tc>
          <w:tcPr/>
          <w:p>
            <w:pPr>
              <w:pStyle w:val="Compact"/>
              <w:spacing w:line="240" w:lineRule="auto" w:after="0"/>
              <w:jc w:val="left"/>
            </w:pPr>
            <w:r>
              <w:rPr>
                <w:rFonts w:ascii="Times New Roman" w:hAnsi="Times New Roman"/>
                <w:sz w:val="20"/>
              </w:rPr>
              <w:t xml:space="preserve">20 / 10.4; P = 0.012</w:t>
            </w:r>
          </w:p>
        </w:tc>
        <w:tc>
          <w:tcPr/>
          <w:p>
            <w:pPr>
              <w:pStyle w:val="Compact"/>
              <w:spacing w:line="240" w:lineRule="auto" w:after="0"/>
              <w:jc w:val="left"/>
            </w:pPr>
            <w:r>
              <w:rPr>
                <w:rFonts w:ascii="Times New Roman" w:hAnsi="Times New Roman"/>
                <w:sz w:val="20"/>
              </w:rPr>
              <w:t xml:space="preserve">16 / 10.4; P = 0.106</w:t>
            </w:r>
          </w:p>
        </w:tc>
        <w:tc>
          <w:tcPr/>
          <w:p>
            <w:pPr>
              <w:pStyle w:val="Compact"/>
              <w:spacing w:line="240" w:lineRule="auto" w:after="0"/>
              <w:jc w:val="left"/>
            </w:pPr>
            <w:r>
              <w:rPr>
                <w:rFonts w:ascii="Times New Roman" w:hAnsi="Times New Roman"/>
                <w:sz w:val="20"/>
              </w:rPr>
              <w:t xml:space="preserve">18 / 10.4; P = 0.029</w:t>
            </w:r>
          </w:p>
        </w:tc>
        <w:tc>
          <w:tcPr/>
          <w:p>
            <w:pPr>
              <w:pStyle w:val="Compact"/>
              <w:spacing w:line="240" w:lineRule="auto" w:after="0"/>
              <w:jc w:val="left"/>
            </w:pPr>
            <w:r>
              <w:rPr>
                <w:rFonts w:ascii="Times New Roman" w:hAnsi="Times New Roman"/>
                <w:sz w:val="20"/>
              </w:rPr>
              <w:t xml:space="preserve">22 / 10.4; P = 0.002</w:t>
            </w:r>
          </w:p>
        </w:tc>
      </w:tr>
      <w:tr>
        <w:tc>
          <w:tcPr/>
          <w:p>
            <w:pPr>
              <w:pStyle w:val="Compact"/>
              <w:spacing w:line="240" w:lineRule="auto" w:after="0"/>
              <w:jc w:val="left"/>
            </w:pPr>
            <w:r>
              <w:rPr>
                <w:rFonts w:ascii="Times New Roman" w:hAnsi="Times New Roman"/>
                <w:sz w:val="20"/>
              </w:rPr>
              <w:t xml:space="preserve">300</w:t>
            </w:r>
          </w:p>
        </w:tc>
        <w:tc>
          <w:tcPr/>
          <w:p>
            <w:pPr>
              <w:pStyle w:val="Compact"/>
              <w:spacing w:line="240" w:lineRule="auto" w:after="0"/>
              <w:jc w:val="left"/>
            </w:pPr>
            <w:r>
              <w:rPr>
                <w:rFonts w:ascii="Times New Roman" w:hAnsi="Times New Roman"/>
                <w:sz w:val="20"/>
              </w:rPr>
              <w:t xml:space="preserve">38 / 23.3; P = 0.005</w:t>
            </w:r>
          </w:p>
        </w:tc>
        <w:tc>
          <w:tcPr/>
          <w:p>
            <w:pPr>
              <w:pStyle w:val="Compact"/>
              <w:spacing w:line="240" w:lineRule="auto" w:after="0"/>
              <w:jc w:val="left"/>
            </w:pPr>
            <w:r>
              <w:rPr>
                <w:rFonts w:ascii="Times New Roman" w:hAnsi="Times New Roman"/>
                <w:sz w:val="20"/>
              </w:rPr>
              <w:t xml:space="preserve">34 / 23.3; P = 0.029</w:t>
            </w:r>
          </w:p>
        </w:tc>
        <w:tc>
          <w:tcPr/>
          <w:p>
            <w:pPr>
              <w:pStyle w:val="Compact"/>
              <w:spacing w:line="240" w:lineRule="auto" w:after="0"/>
              <w:jc w:val="left"/>
            </w:pPr>
            <w:r>
              <w:rPr>
                <w:rFonts w:ascii="Times New Roman" w:hAnsi="Times New Roman"/>
                <w:sz w:val="20"/>
              </w:rPr>
              <w:t xml:space="preserve">37 / 23.3; P = 0.005</w:t>
            </w:r>
          </w:p>
        </w:tc>
        <w:tc>
          <w:tcPr/>
          <w:p>
            <w:pPr>
              <w:pStyle w:val="Compact"/>
              <w:spacing w:line="240" w:lineRule="auto" w:after="0"/>
              <w:jc w:val="left"/>
            </w:pPr>
            <w:r>
              <w:rPr>
                <w:rFonts w:ascii="Times New Roman" w:hAnsi="Times New Roman"/>
                <w:sz w:val="20"/>
              </w:rPr>
              <w:t xml:space="preserve">39 / 23.3; P = 0.003</w:t>
            </w:r>
          </w:p>
        </w:tc>
      </w:tr>
      <w:tr>
        <w:tc>
          <w:tcPr/>
          <w:p>
            <w:pPr>
              <w:pStyle w:val="Compact"/>
              <w:spacing w:line="240" w:lineRule="auto" w:after="0"/>
              <w:jc w:val="left"/>
            </w:pPr>
            <w:r>
              <w:rPr>
                <w:rFonts w:ascii="Times New Roman" w:hAnsi="Times New Roman"/>
                <w:sz w:val="20"/>
              </w:rPr>
              <w:t xml:space="preserve">500</w:t>
            </w:r>
          </w:p>
        </w:tc>
        <w:tc>
          <w:tcPr/>
          <w:p>
            <w:pPr>
              <w:pStyle w:val="Compact"/>
              <w:spacing w:line="240" w:lineRule="auto" w:after="0"/>
              <w:jc w:val="left"/>
            </w:pPr>
            <w:r>
              <w:rPr>
                <w:rFonts w:ascii="Times New Roman" w:hAnsi="Times New Roman"/>
                <w:sz w:val="20"/>
              </w:rPr>
              <w:t xml:space="preserve">88 / 64.8; P = 0.003</w:t>
            </w:r>
          </w:p>
        </w:tc>
        <w:tc>
          <w:tcPr/>
          <w:p>
            <w:pPr>
              <w:pStyle w:val="Compact"/>
              <w:spacing w:line="240" w:lineRule="auto" w:after="0"/>
              <w:jc w:val="left"/>
            </w:pPr>
            <w:r>
              <w:rPr>
                <w:rFonts w:ascii="Times New Roman" w:hAnsi="Times New Roman"/>
                <w:sz w:val="20"/>
              </w:rPr>
              <w:t xml:space="preserve">79 / 64.8; P = 0.055</w:t>
            </w:r>
          </w:p>
        </w:tc>
        <w:tc>
          <w:tcPr/>
          <w:p>
            <w:pPr>
              <w:pStyle w:val="Compact"/>
              <w:spacing w:line="240" w:lineRule="auto" w:after="0"/>
              <w:jc w:val="left"/>
            </w:pPr>
            <w:r>
              <w:rPr>
                <w:rFonts w:ascii="Times New Roman" w:hAnsi="Times New Roman"/>
                <w:sz w:val="20"/>
              </w:rPr>
              <w:t xml:space="preserve">79 / 64.8; P = 0.055</w:t>
            </w:r>
          </w:p>
        </w:tc>
        <w:tc>
          <w:tcPr/>
          <w:p>
            <w:pPr>
              <w:pStyle w:val="Compact"/>
              <w:spacing w:line="240" w:lineRule="auto" w:after="0"/>
              <w:jc w:val="left"/>
            </w:pPr>
            <w:r>
              <w:rPr>
                <w:rFonts w:ascii="Times New Roman" w:hAnsi="Times New Roman"/>
                <w:sz w:val="20"/>
              </w:rPr>
              <w:t xml:space="preserve">82 / 64.8; P = 0.040</w:t>
            </w:r>
          </w:p>
        </w:tc>
      </w:tr>
    </w:tbl>
    <w:p>
      <w:pPr>
        <w:pStyle w:val="BodyText"/>
      </w:pPr>
      <w:r>
        <w:rPr>
          <w:iCs/>
          <w:i/>
        </w:rPr>
        <w:t xml:space="preserve">Abbreviations:</w:t>
      </w:r>
      <w:r>
        <w:t xml:space="preserve"> </w:t>
      </w:r>
      <w:r>
        <w:t xml:space="preserve">BH, Benjamini-Hochberg; DD, down in both diseases; DU, down in Alzheimer’s disease and up in glioblastoma.</w:t>
      </w:r>
    </w:p>
    <w:p>
      <w:pPr>
        <w:pStyle w:val="BodyText"/>
      </w:pPr>
      <w:r>
        <w:rPr>
          <w:iCs/>
          <w:i/>
        </w:rPr>
        <w:t xml:space="preserve">Donor modelling versus age.</w:t>
      </w:r>
      <w:r>
        <w:t xml:space="preserve"> </w:t>
      </w:r>
      <w:r>
        <w:t xml:space="preserve">To separate the two corrections, I held the Braak II versus Braak 0 contrast fixed and varied donor modelling and age independently (Table 6; Supplementary Table S3). Modelling donor on its own did not remove the DD signal; with donor-summed counts it was, if anything, slightly stronger (RRHO2 DD maximum 7.25; top-200 overlap 21 against 10.4 expected, P = 0.001). Adding age removed it whether or not donor was modelled (DD maximum 1.29 and 1.48; overlaps 9 and 8). The weakening seen with the donor-block ranking in Table 5 is therefore specific to that method. What removes the DD signal is the age term.</w:t>
      </w:r>
    </w:p>
    <w:p>
      <w:pPr>
        <w:pStyle w:val="BodyText"/>
      </w:pPr>
      <w:r>
        <w:rPr>
          <w:bCs/>
          <w:b/>
        </w:rPr>
        <w:t xml:space="preserve">Table 6.</w:t>
      </w:r>
      <w:r>
        <w:t xml:space="preserve"> </w:t>
      </w:r>
      <w:r>
        <w:t xml:space="preserve">DD signal under donor modelling and age adjustment (Braak II versus Braak 0 fixed). P values are unadjusted one-sided hypergeometric P values for the top-200 DD overlap, one test per model.</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584"/>
        <w:gridCol w:w="1584"/>
        <w:gridCol w:w="1584"/>
        <w:gridCol w:w="1584"/>
        <w:gridCol w:w="1584"/>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Model</w:t>
            </w:r>
          </w:p>
        </w:tc>
        <w:tc>
          <w:tcPr>
            <w:tcBorders>
              <w:bottom w:val="single" w:sz="4" w:color="000000"/>
            </w:tcBorders>
          </w:tcPr>
          <w:p>
            <w:pPr>
              <w:pStyle w:val="Compact"/>
              <w:spacing w:line="240" w:lineRule="auto" w:after="0"/>
              <w:jc w:val="left"/>
            </w:pPr>
            <w:r>
              <w:rPr>
                <w:rFonts w:ascii="Times New Roman" w:hAnsi="Times New Roman"/>
                <w:b/>
                <w:sz w:val="20"/>
              </w:rPr>
              <w:t xml:space="preserve">RRHO2 DD maximum</w:t>
            </w:r>
          </w:p>
        </w:tc>
        <w:tc>
          <w:tcPr>
            <w:tcBorders>
              <w:bottom w:val="single" w:sz="4" w:color="000000"/>
            </w:tcBorders>
          </w:tcPr>
          <w:p>
            <w:pPr>
              <w:pStyle w:val="Compact"/>
              <w:spacing w:line="240" w:lineRule="auto" w:after="0"/>
              <w:jc w:val="left"/>
            </w:pPr>
            <w:r>
              <w:rPr>
                <w:rFonts w:ascii="Times New Roman" w:hAnsi="Times New Roman"/>
                <w:b/>
                <w:sz w:val="20"/>
              </w:rPr>
              <w:t xml:space="preserve">RRHO2 DU maximum</w:t>
            </w:r>
          </w:p>
        </w:tc>
        <w:tc>
          <w:tcPr>
            <w:tcBorders>
              <w:bottom w:val="single" w:sz="4" w:color="000000"/>
            </w:tcBorders>
          </w:tcPr>
          <w:p>
            <w:pPr>
              <w:pStyle w:val="Compact"/>
              <w:spacing w:line="240" w:lineRule="auto" w:after="0"/>
              <w:jc w:val="left"/>
            </w:pPr>
            <w:r>
              <w:rPr>
                <w:rFonts w:ascii="Times New Roman" w:hAnsi="Times New Roman"/>
                <w:b/>
                <w:sz w:val="20"/>
              </w:rPr>
              <w:t xml:space="preserve">Top-200 DD overlap (expected 10.4)</w:t>
            </w:r>
          </w:p>
        </w:tc>
        <w:tc>
          <w:tcPr>
            <w:tcBorders>
              <w:bottom w:val="single" w:sz="4" w:color="000000"/>
            </w:tcBorders>
          </w:tcPr>
          <w:p>
            <w:pPr>
              <w:pStyle w:val="Compact"/>
              <w:spacing w:line="240" w:lineRule="auto" w:after="0"/>
              <w:jc w:val="left"/>
            </w:pPr>
            <w:r>
              <w:rPr>
                <w:rFonts w:ascii="Times New Roman" w:hAnsi="Times New Roman"/>
                <w:b/>
                <w:sz w:val="20"/>
              </w:rPr>
              <w:t xml:space="preserve">P</w:t>
            </w:r>
          </w:p>
        </w:tc>
      </w:tr>
      <w:tr>
        <w:tc>
          <w:tcPr/>
          <w:p>
            <w:pPr>
              <w:pStyle w:val="Compact"/>
              <w:spacing w:line="240" w:lineRule="auto" w:after="0"/>
              <w:jc w:val="left"/>
            </w:pPr>
            <w:r>
              <w:rPr>
                <w:rFonts w:ascii="Times New Roman" w:hAnsi="Times New Roman"/>
                <w:sz w:val="20"/>
              </w:rPr>
              <w:t xml:space="preserve">No donor, no age (original)</w:t>
            </w:r>
          </w:p>
        </w:tc>
        <w:tc>
          <w:tcPr/>
          <w:p>
            <w:pPr>
              <w:pStyle w:val="Compact"/>
              <w:spacing w:line="240" w:lineRule="auto" w:after="0"/>
              <w:jc w:val="left"/>
            </w:pPr>
            <w:r>
              <w:rPr>
                <w:rFonts w:ascii="Times New Roman" w:hAnsi="Times New Roman"/>
                <w:sz w:val="20"/>
              </w:rPr>
              <w:t xml:space="preserve">6.54</w:t>
            </w:r>
          </w:p>
        </w:tc>
        <w:tc>
          <w:tcPr/>
          <w:p>
            <w:pPr>
              <w:pStyle w:val="Compact"/>
              <w:spacing w:line="240" w:lineRule="auto" w:after="0"/>
              <w:jc w:val="left"/>
            </w:pPr>
            <w:r>
              <w:rPr>
                <w:rFonts w:ascii="Times New Roman" w:hAnsi="Times New Roman"/>
                <w:sz w:val="20"/>
              </w:rPr>
              <w:t xml:space="preserve">4.21</w:t>
            </w:r>
          </w:p>
        </w:tc>
        <w:tc>
          <w:tcPr/>
          <w:p>
            <w:pPr>
              <w:pStyle w:val="Compact"/>
              <w:spacing w:line="240" w:lineRule="auto" w:after="0"/>
              <w:jc w:val="left"/>
            </w:pPr>
            <w:r>
              <w:rPr>
                <w:rFonts w:ascii="Times New Roman" w:hAnsi="Times New Roman"/>
                <w:sz w:val="20"/>
              </w:rPr>
              <w:t xml:space="preserve">20</w:t>
            </w:r>
          </w:p>
        </w:tc>
        <w:tc>
          <w:tcPr/>
          <w:p>
            <w:pPr>
              <w:pStyle w:val="Compact"/>
              <w:spacing w:line="240" w:lineRule="auto" w:after="0"/>
              <w:jc w:val="left"/>
            </w:pPr>
            <w:r>
              <w:rPr>
                <w:rFonts w:ascii="Times New Roman" w:hAnsi="Times New Roman"/>
                <w:sz w:val="20"/>
              </w:rPr>
              <w:t xml:space="preserve">0.003</w:t>
            </w:r>
          </w:p>
        </w:tc>
      </w:tr>
      <w:tr>
        <w:tc>
          <w:tcPr/>
          <w:p>
            <w:pPr>
              <w:pStyle w:val="Compact"/>
              <w:spacing w:line="240" w:lineRule="auto" w:after="0"/>
              <w:jc w:val="left"/>
            </w:pPr>
            <w:r>
              <w:rPr>
                <w:rFonts w:ascii="Times New Roman" w:hAnsi="Times New Roman"/>
                <w:sz w:val="20"/>
              </w:rPr>
              <w:t xml:space="preserve">No donor, age</w:t>
            </w:r>
          </w:p>
        </w:tc>
        <w:tc>
          <w:tcPr/>
          <w:p>
            <w:pPr>
              <w:pStyle w:val="Compact"/>
              <w:spacing w:line="240" w:lineRule="auto" w:after="0"/>
              <w:jc w:val="left"/>
            </w:pPr>
            <w:r>
              <w:rPr>
                <w:rFonts w:ascii="Times New Roman" w:hAnsi="Times New Roman"/>
                <w:sz w:val="20"/>
              </w:rPr>
              <w:t xml:space="preserve">1.29</w:t>
            </w:r>
          </w:p>
        </w:tc>
        <w:tc>
          <w:tcPr/>
          <w:p>
            <w:pPr>
              <w:pStyle w:val="Compact"/>
              <w:spacing w:line="240" w:lineRule="auto" w:after="0"/>
              <w:jc w:val="left"/>
            </w:pPr>
            <w:r>
              <w:rPr>
                <w:rFonts w:ascii="Times New Roman" w:hAnsi="Times New Roman"/>
                <w:sz w:val="20"/>
              </w:rPr>
              <w:t xml:space="preserve">3.75</w:t>
            </w:r>
          </w:p>
        </w:tc>
        <w:tc>
          <w:tcPr/>
          <w:p>
            <w:pPr>
              <w:pStyle w:val="Compact"/>
              <w:spacing w:line="240" w:lineRule="auto" w:after="0"/>
              <w:jc w:val="left"/>
            </w:pPr>
            <w:r>
              <w:rPr>
                <w:rFonts w:ascii="Times New Roman" w:hAnsi="Times New Roman"/>
                <w:sz w:val="20"/>
              </w:rPr>
              <w:t xml:space="preserve">9</w:t>
            </w:r>
          </w:p>
        </w:tc>
        <w:tc>
          <w:tcPr/>
          <w:p>
            <w:pPr>
              <w:pStyle w:val="Compact"/>
              <w:spacing w:line="240" w:lineRule="auto" w:after="0"/>
              <w:jc w:val="left"/>
            </w:pPr>
            <w:r>
              <w:rPr>
                <w:rFonts w:ascii="Times New Roman" w:hAnsi="Times New Roman"/>
                <w:sz w:val="20"/>
              </w:rPr>
              <w:t xml:space="preserve">0.721</w:t>
            </w:r>
          </w:p>
        </w:tc>
      </w:tr>
      <w:tr>
        <w:tc>
          <w:tcPr/>
          <w:p>
            <w:pPr>
              <w:pStyle w:val="Compact"/>
              <w:spacing w:line="240" w:lineRule="auto" w:after="0"/>
              <w:jc w:val="left"/>
            </w:pPr>
            <w:r>
              <w:rPr>
                <w:rFonts w:ascii="Times New Roman" w:hAnsi="Times New Roman"/>
                <w:sz w:val="20"/>
              </w:rPr>
              <w:t xml:space="preserve">Donor-summed, no age</w:t>
            </w:r>
          </w:p>
        </w:tc>
        <w:tc>
          <w:tcPr/>
          <w:p>
            <w:pPr>
              <w:pStyle w:val="Compact"/>
              <w:spacing w:line="240" w:lineRule="auto" w:after="0"/>
              <w:jc w:val="left"/>
            </w:pPr>
            <w:r>
              <w:rPr>
                <w:rFonts w:ascii="Times New Roman" w:hAnsi="Times New Roman"/>
                <w:sz w:val="20"/>
              </w:rPr>
              <w:t xml:space="preserve">7.25</w:t>
            </w:r>
          </w:p>
        </w:tc>
        <w:tc>
          <w:tcPr/>
          <w:p>
            <w:pPr>
              <w:pStyle w:val="Compact"/>
              <w:spacing w:line="240" w:lineRule="auto" w:after="0"/>
              <w:jc w:val="left"/>
            </w:pPr>
            <w:r>
              <w:rPr>
                <w:rFonts w:ascii="Times New Roman" w:hAnsi="Times New Roman"/>
                <w:sz w:val="20"/>
              </w:rPr>
              <w:t xml:space="preserve">4.12</w:t>
            </w:r>
          </w:p>
        </w:tc>
        <w:tc>
          <w:tcPr/>
          <w:p>
            <w:pPr>
              <w:pStyle w:val="Compact"/>
              <w:spacing w:line="240" w:lineRule="auto" w:after="0"/>
              <w:jc w:val="left"/>
            </w:pPr>
            <w:r>
              <w:rPr>
                <w:rFonts w:ascii="Times New Roman" w:hAnsi="Times New Roman"/>
                <w:sz w:val="20"/>
              </w:rPr>
              <w:t xml:space="preserve">21</w:t>
            </w:r>
          </w:p>
        </w:tc>
        <w:tc>
          <w:tcPr/>
          <w:p>
            <w:pPr>
              <w:pStyle w:val="Compact"/>
              <w:spacing w:line="240" w:lineRule="auto" w:after="0"/>
              <w:jc w:val="left"/>
            </w:pPr>
            <w:r>
              <w:rPr>
                <w:rFonts w:ascii="Times New Roman" w:hAnsi="Times New Roman"/>
                <w:sz w:val="20"/>
              </w:rPr>
              <w:t xml:space="preserve">0.001</w:t>
            </w:r>
          </w:p>
        </w:tc>
      </w:tr>
      <w:tr>
        <w:tc>
          <w:tcPr/>
          <w:p>
            <w:pPr>
              <w:pStyle w:val="Compact"/>
              <w:spacing w:line="240" w:lineRule="auto" w:after="0"/>
              <w:jc w:val="left"/>
            </w:pPr>
            <w:r>
              <w:rPr>
                <w:rFonts w:ascii="Times New Roman" w:hAnsi="Times New Roman"/>
                <w:sz w:val="20"/>
              </w:rPr>
              <w:t xml:space="preserve">Donor-summed, age (deviation analysis)</w:t>
            </w:r>
          </w:p>
        </w:tc>
        <w:tc>
          <w:tcPr/>
          <w:p>
            <w:pPr>
              <w:pStyle w:val="Compact"/>
              <w:spacing w:line="240" w:lineRule="auto" w:after="0"/>
              <w:jc w:val="left"/>
            </w:pPr>
            <w:r>
              <w:rPr>
                <w:rFonts w:ascii="Times New Roman" w:hAnsi="Times New Roman"/>
                <w:sz w:val="20"/>
              </w:rPr>
              <w:t xml:space="preserve">1.48</w:t>
            </w:r>
          </w:p>
        </w:tc>
        <w:tc>
          <w:tcPr/>
          <w:p>
            <w:pPr>
              <w:pStyle w:val="Compact"/>
              <w:spacing w:line="240" w:lineRule="auto" w:after="0"/>
              <w:jc w:val="left"/>
            </w:pPr>
            <w:r>
              <w:rPr>
                <w:rFonts w:ascii="Times New Roman" w:hAnsi="Times New Roman"/>
                <w:sz w:val="20"/>
              </w:rPr>
              <w:t xml:space="preserve">3.37</w:t>
            </w:r>
          </w:p>
        </w:tc>
        <w:tc>
          <w:tcPr/>
          <w:p>
            <w:pPr>
              <w:pStyle w:val="Compact"/>
              <w:spacing w:line="240" w:lineRule="auto" w:after="0"/>
              <w:jc w:val="left"/>
            </w:pPr>
            <w:r>
              <w:rPr>
                <w:rFonts w:ascii="Times New Roman" w:hAnsi="Times New Roman"/>
                <w:sz w:val="20"/>
              </w:rPr>
              <w:t xml:space="preserve">8</w:t>
            </w:r>
          </w:p>
        </w:tc>
        <w:tc>
          <w:tcPr/>
          <w:p>
            <w:pPr>
              <w:pStyle w:val="Compact"/>
              <w:spacing w:line="240" w:lineRule="auto" w:after="0"/>
              <w:jc w:val="left"/>
            </w:pPr>
            <w:r>
              <w:rPr>
                <w:rFonts w:ascii="Times New Roman" w:hAnsi="Times New Roman"/>
                <w:sz w:val="20"/>
              </w:rPr>
              <w:t xml:space="preserve">0.826</w:t>
            </w:r>
          </w:p>
        </w:tc>
      </w:tr>
    </w:tbl>
    <w:p>
      <w:pPr>
        <w:pStyle w:val="BodyText"/>
      </w:pPr>
      <w:r>
        <w:rPr>
          <w:iCs/>
          <w:i/>
        </w:rPr>
        <w:t xml:space="preserve">Abbreviations:</w:t>
      </w:r>
      <w:r>
        <w:t xml:space="preserve"> </w:t>
      </w:r>
      <w:r>
        <w:t xml:space="preserve">DD, down in both diseases; DU, down in Alzheimer’s disease and up in glioblastoma; RRHO2, rank-rank hypergeometric overlap, version 2.</w:t>
      </w:r>
    </w:p>
    <w:p>
      <w:pPr>
        <w:pStyle w:val="BodyText"/>
      </w:pPr>
      <w:r>
        <w:t xml:space="preserve">This does not mean the DD signal is an ageing effect. In the Leng cohort the age ranges of the Braak II and Braak 0 groups do not overlap (Braak 0: 50–71; Braak II: 72–91; r = 0.80; VIF = 2.74), so any term for age also absorbs much of the Braak contrast. The honest reading is narrower: the DD signal cannot be identified as a disease-stage effect in this cohort. The plan-conformant Braak VI ranking, which includes age, correlated with the original ranking at a Spearman r of only 0.584 (Figure 5D shows the DD maxima).</w:t>
      </w:r>
    </w:p>
    <w:p>
      <w:pPr>
        <w:pStyle w:val="BodyText"/>
      </w:pPr>
      <w:r>
        <w:t xml:space="preserve">Pseudoreplication matters for a different reason. It inflated the number of significant genes from 0–27 to 486, and as recorded in the register, adding age to the pseudoreplicated design brought that number down to 3. The raw condition number reported for that model (951) was inflated by the unscaled age variable; the standardised condition number is 3. The problem in the Leng cohort is not numerical singularity but the lack of age overlap combined with the small number of donors.</w:t>
      </w:r>
    </w:p>
    <w:bookmarkEnd w:id="35"/>
    <w:bookmarkStart w:id="36" w:name="X2162210b22bc55ea5609849fd12b1bc8d4b868a"/>
    <w:p>
      <w:pPr>
        <w:pStyle w:val="Heading3"/>
      </w:pPr>
      <w:r>
        <w:t xml:space="preserve">3.6 Exploratory: stress genes rise independently of composition in an independent AD cohort</w:t>
      </w:r>
    </w:p>
    <w:p>
      <w:pPr>
        <w:pStyle w:val="FirstParagraph"/>
      </w:pPr>
      <w:r>
        <w:t xml:space="preserve">I examined six stress genes taken from the original DD quadrant (CEBPD, FLNA, JUNB, PER1, PFKFB3 and ZFP36L1) in an AD cohort that is not part of the plan (GSE125583, fusiform cortex; 125 advanced AD, 70 controls). Age is balanced between the groups in this cohort (correlation between group and age r = 0.071; Wilcoxon P = 0.373).</w:t>
      </w:r>
    </w:p>
    <w:p>
      <w:pPr>
        <w:pStyle w:val="BodyText"/>
      </w:pPr>
      <w:r>
        <w:t xml:space="preserve">In the model adjusted for age and sex, all 20 genes of the DD signature kept the direction they had in the unadjusted model (log2FC correlation 1.000). All six stress genes were higher in advanced AD, and five reached FDR &lt; 0.05 (JUNB: FDR = 0.083; Supplementary Table S4). With neuron, astrocyte and microglia marker scores added, all six stayed up and five remained significant (log2FC between 0.27 and 0.44; JUNB: FDR = 0.087). Composition adjustment reduced the number of significant genes across the genome from 9,313 to 4,514 (these counts refer to the Ensembl-level matrix and three marker scores, and differ slightly from those in Section 3.4). Most of the genes in the neuronal category lost significance after this adjustment; only NRN1 remained down (log2FC from −1.30 to −0.45), and the direction of the BAIAP2 difference reversed. This fits with the bulk decline of these genes being largely a consequence of neuron loss (correlation between neuron score and group r = −0.42). None of the eight genes in the divergent, tumour-specific category remained significant. The astrocyte score did not differ between groups (r = −0.05).</w:t>
      </w:r>
    </w:p>
    <w:p>
      <w:pPr>
        <w:pStyle w:val="BodyText"/>
      </w:pPr>
      <w:r>
        <w:t xml:space="preserve">Two points matter for interpreting this. First, in the original Leng analysis these six genes were lower in vulnerable neurons; their rise in bulk tissue runs the other way and cannot be read as a directional convergence. Second, the DD quadrant from which the genes were chosen does not survive adjustment for age, as Section 3.5 shows. The finding is therefore a descriptive observation of a composition-independent rise in stress genes in advanced AD tissue, not evidence for a shared AD-GBM axis. Bulk data cannot tell us which cell type drives the increase.</w:t>
      </w:r>
    </w:p>
    <w:bookmarkEnd w:id="36"/>
    <w:bookmarkEnd w:id="37"/>
    <w:bookmarkStart w:id="45" w:name="discussion"/>
    <w:p>
      <w:pPr>
        <w:pStyle w:val="Heading2"/>
      </w:pPr>
      <w:r>
        <w:t xml:space="preserve">4. Discussion</w:t>
      </w:r>
    </w:p>
    <w:bookmarkStart w:id="38" w:name="principal-findings"/>
    <w:p>
      <w:pPr>
        <w:pStyle w:val="Heading3"/>
      </w:pPr>
      <w:r>
        <w:t xml:space="preserve">4.1 Principal findings</w:t>
      </w:r>
    </w:p>
    <w:p>
      <w:pPr>
        <w:pStyle w:val="FirstParagraph"/>
      </w:pPr>
      <w:r>
        <w:t xml:space="preserve">This study asked, under a plan fixed before any analysis, how much of the transcriptomic convergence reported between AD and GBM survives control for cell composition, and whether any remaining signal corresponds to a shared neural identity at cell-type resolution. The primary hypothesis (H1) was supported. The 1,458 shared DEGs found without composition adjustment fell to zero after adjustment, with BRETIGEA and, formally, with MuSiC. The secondary hypothesis (H2) was rejected, because none of the three pre-specified tests passed in the plan-conformant analysis, in the documented deviation or in the original implementation. Among the publication scenarios defined in the plan, this pattern corresponds to the one in which bulk AD-GBM convergence mostly reflects differences in composition and no detectable overlap exists between the identity of vulnerable AD neurons and the neural-mimicry states of GBM.</w:t>
      </w:r>
    </w:p>
    <w:p>
      <w:pPr>
        <w:pStyle w:val="BodyText"/>
      </w:pPr>
      <w:r>
        <w:t xml:space="preserve">The two results do not carry the same weight. The H1 result holds across all pre-specified sensitivity analyses, survives a negative control that rules out loss of statistical power, and replicates, as a marked reduction rather than a complete loss, in an independent AD cohort. Of the two deconvolution methods, only BRETIGEA gave plausible composition estimates, so the weight of the evidence rests on BRETIGEA in two AD cohorts, not on MuSiC. The rejection of H2 has to be read alongside the limited power of the discovery cohort, which I discuss in Section 4.3.</w:t>
      </w:r>
    </w:p>
    <w:p>
      <w:pPr>
        <w:pStyle w:val="BodyText"/>
      </w:pPr>
      <w:r>
        <w:t xml:space="preserve">The H1 result also has to be read in the light of its history. The same qualitative result had been obtained in an earlier exploratory analysis of overlapping data (Karakuş, 2026a), so the test in the primary cohort is a re-test under stricter conditions, not an independent confirmation. The replication in GSE125583, a cohort the earlier analysis did not use and whose result was not known when the test was declared, is the more informative evidence.</w:t>
      </w:r>
    </w:p>
    <w:bookmarkEnd w:id="38"/>
    <w:bookmarkStart w:id="39" w:name="X3aa0dd0a4337ae42c4e435850bfa764482c8740"/>
    <w:p>
      <w:pPr>
        <w:pStyle w:val="Heading3"/>
      </w:pPr>
      <w:r>
        <w:t xml:space="preserve">4.2 What this means for the AD-cancer transcriptomic literature</w:t>
      </w:r>
    </w:p>
    <w:p>
      <w:pPr>
        <w:pStyle w:val="FirstParagraph"/>
      </w:pPr>
      <w:r>
        <w:t xml:space="preserve">The inverse comorbidity between AD and cancer is supported by prospective cohort and population-based incidence studies (Driver et al., 2012; Musicco et al., 2013). It has encouraged transcriptomic work that looks for shared molecular processes regulated in opposite directions in the two disease groups (Ibáñez et al., 2014). For AD and GBM specifically, studies have proposed oppositely regulated signalling pathways from bulk microarray data (Liu et al., 2013), candidate genes from integrated analyses of bulk and single-cell data (Liu et al., 2025) and mitochondrial markers from single-cell data (Xu et al., 2025).</w:t>
      </w:r>
    </w:p>
    <w:p>
      <w:pPr>
        <w:pStyle w:val="BodyText"/>
      </w:pPr>
      <w:r>
        <w:t xml:space="preserve">My results suggest that shared expression differences detected in bulk tissue should not be interpreted without first separating them from differences in cell composition. Neuronal loss and the glial response in AD, and the replacement of normal brain tissue by malignant cells in GBM, both reshape the cellular make-up of the tissue. Variation in cell composition drives much of the gene-expression covariation in intact brain samples (Kelley et al., 2018), and modelling composition estimates as confounders reduces false associations between AD phenotypes and gene expression (Patrick et al., 2020). The present results suggest that this applies to cross-disease comparisons as well: genes that differ in the same direction from controls in two diseases may simply mirror similar shifts in cell-type proportions in both tissues.</w:t>
      </w:r>
    </w:p>
    <w:p>
      <w:pPr>
        <w:pStyle w:val="BodyText"/>
      </w:pPr>
      <w:r>
        <w:t xml:space="preserve">This study did not, however, test the specific genes or pathways reported in earlier work. Those studies had different designs, and some included single-cell data or functional experiments (Liu et al., 2025; Xu et al., 2025). My findings do not invalidate their conclusions. What they do show is that convergence claims resting on the number of shared bulk DEGs are weak evidence unless composition has been controlled. The earlier exploratory analysis also reported pathway- and transcription-factor-level differences between composition-adjusted AD and GBM signatures (Karakuş, 2026a); these were not part of the pre-specified plan and were not re-tested here.</w:t>
      </w:r>
    </w:p>
    <w:bookmarkEnd w:id="39"/>
    <w:bookmarkStart w:id="40" w:name="X67f0d94e3738bf970b2c4d52fc1d9ef174afb14"/>
    <w:p>
      <w:pPr>
        <w:pStyle w:val="Heading3"/>
      </w:pPr>
      <w:r>
        <w:t xml:space="preserve">4.3 No convergence at cell-type level: evidence of absence, or lack of power?</w:t>
      </w:r>
    </w:p>
    <w:p>
      <w:pPr>
        <w:pStyle w:val="FirstParagraph"/>
      </w:pPr>
      <w:r>
        <w:t xml:space="preserve">H2 predicted that genes lost in vulnerable RORB+ entorhinal neurons would be gained in the neural-mimicry states of GBM. The plan-conformant Stage 1 analysis had only six donors (three per group) and three residual degrees of freedom. It found no gene at FDR &lt; 0.05, and the AD signature defined by the plan’s criteria was empty. Because the Stage 3 tests rely on gene rankings, the empty signature did not stop them from running, but the ranking itself rested on a weak signal.</w:t>
      </w:r>
    </w:p>
    <w:p>
      <w:pPr>
        <w:pStyle w:val="BodyText"/>
      </w:pPr>
      <w:r>
        <w:t xml:space="preserve">For this reason the rejection of H2 should be read as</w:t>
      </w:r>
      <w:r>
        <w:t xml:space="preserve"> </w:t>
      </w:r>
      <w:r>
        <w:t xml:space="preserve">“</w:t>
      </w:r>
      <w:r>
        <w:t xml:space="preserve">no detectable overlap could be shown with these data</w:t>
      </w:r>
      <w:r>
        <w:t xml:space="preserve">”</w:t>
      </w:r>
      <w:r>
        <w:t xml:space="preserve">, not as</w:t>
      </w:r>
      <w:r>
        <w:t xml:space="preserve"> </w:t>
      </w:r>
      <w:r>
        <w:t xml:space="preserve">“</w:t>
      </w:r>
      <w:r>
        <w:t xml:space="preserve">the two cell populations do not overlap</w:t>
      </w:r>
      <w:r>
        <w:t xml:space="preserve">”</w:t>
      </w:r>
      <w:r>
        <w:t xml:space="preserve">. The plan anticipated this possibility and asked whether the earlier bulk signal had a counterpart at the level of cell types. The answer here is that any such counterpart is too weak to be demonstrated with this cohort. Single-nucleus atlases with more donors would allow a stronger test.</w:t>
      </w:r>
    </w:p>
    <w:bookmarkEnd w:id="40"/>
    <w:bookmarkStart w:id="41" w:name="Xc239ada5b05346f465992cce3fdd367b9787de6"/>
    <w:p>
      <w:pPr>
        <w:pStyle w:val="Heading3"/>
      </w:pPr>
      <w:r>
        <w:t xml:space="preserve">4.4 Methodological lessons: how an apparent convergence signal arose</w:t>
      </w:r>
    </w:p>
    <w:p>
      <w:pPr>
        <w:pStyle w:val="FirstParagraph"/>
      </w:pPr>
      <w:r>
        <w:t xml:space="preserve">Perhaps the most general contribution of this work is that the</w:t>
      </w:r>
      <w:r>
        <w:t xml:space="preserve"> </w:t>
      </w:r>
      <w:r>
        <w:t xml:space="preserve">“</w:t>
      </w:r>
      <w:r>
        <w:t xml:space="preserve">down in both diseases</w:t>
      </w:r>
      <w:r>
        <w:t xml:space="preserve">”</w:t>
      </w:r>
      <w:r>
        <w:t xml:space="preserve"> </w:t>
      </w:r>
      <w:r>
        <w:t xml:space="preserve">(DD) signal of the original analysis could be traced back to specific analytic choices. The original Stage 1 code made two of them. It treated three subcluster profiles from the same donor as independent samples, and it left out the age covariate required by the plan. The two errors did different things.</w:t>
      </w:r>
    </w:p>
    <w:p>
      <w:pPr>
        <w:pStyle w:val="BodyText"/>
      </w:pPr>
      <w:r>
        <w:t xml:space="preserve">Treating correlated observations as independent (within-donor correlation 0.35) inflated the number of significant genes to 486; donor-level models gave 0 to 27. Between-donor comparisons in single-cell data are known to produce many false positives when cells or subclusters are treated as independent, and donor-level pseudobulk methods are among those that control this best (Crowell et al., 2020; Squair et al., 2021; Zimmerman et al., 2021). My data fit that literature. But when I separated the two corrections, modelling donor did not remove the DD signal. Adding age did. I had first written that pseudoreplication and the missing age term together produced the signal; the 2 × 2 decomposition, prompted by an external review, showed that this was wrong, and I have corrected it.</w:t>
      </w:r>
    </w:p>
    <w:p>
      <w:pPr>
        <w:pStyle w:val="BodyText"/>
      </w:pPr>
      <w:r>
        <w:t xml:space="preserve">Age matters here because of how the cohort was built. The Braak 0 and Braak II donors do not overlap in age (50–71 and 72–91), so an age term cannot be estimated separately from the disease contrast without extrapolating into an age range that was never observed. Adding it removes the DD signal, but that does not show the signal was caused by ageing. It shows only that, in this cohort, the signal cannot be attributed to Braak stage.</w:t>
      </w:r>
    </w:p>
    <w:p>
      <w:pPr>
        <w:pStyle w:val="BodyText"/>
      </w:pPr>
      <w:r>
        <w:t xml:space="preserve">The pre-specified plan is what made these errors visible. Analysis decisions taken after seeing the data raise the false-positive rate (Simmons et al., 2011), and preregistration lowers that risk by separating hypothesis generation from hypothesis testing (Nosek et al., 2018). Here the plan did three concrete things. Its definitions of donor-level pseudobulk and of age as a covariate made it possible to see where the implementation had strayed. Its fixed H2 thresholds (for example, an odds ratio of at least 3) stopped the DU quadrant, which strengthened in the corrected analysis, from being presented after the fact as a finding. And its rule against reformulating hypotheses kept the exploratory DD signal from becoming the main claim of the paper. The experience also taught me that a plan works only if the implementation is checked against it regularly, and that outside readers catch things the author does not: the replication and the decomposition in this paper came from an external review. The audit and the re-analyses were run in an order in which every decision was committed before its results were produced.</w:t>
      </w:r>
    </w:p>
    <w:bookmarkEnd w:id="41"/>
    <w:bookmarkStart w:id="42" w:name="Xa3984f58f9e93122e713ee91649f291fb57b22a"/>
    <w:p>
      <w:pPr>
        <w:pStyle w:val="Heading3"/>
      </w:pPr>
      <w:r>
        <w:t xml:space="preserve">4.5 Interpreting the exploratory stress-gene finding</w:t>
      </w:r>
    </w:p>
    <w:p>
      <w:pPr>
        <w:pStyle w:val="FirstParagraph"/>
      </w:pPr>
      <w:r>
        <w:t xml:space="preserve">Six stress genes taken from the original DD quadrant were higher in advanced AD in an independent cohort, even after adjustment for age, sex and marker-based composition. There are three reasons to be cautious about this. First, the DD signal that led to these genes being chosen does not survive analytic correction. Second, their rise in bulk tissue is the opposite of the decrease seen in vulnerable neurons in the discovery cohort, so it cannot be read as a directional convergence. Third, gene expression profiles of post-mortem brain can be strongly affected by agonal conditions before death (Tomita et al., 2004). Immediate-early genes, the family to which JUNB belongs, can also be induced ex vivo during tissue dissociation in single-cell studies (van den Brink et al., 2017), and a similar artefactual signal, most prominent in microglia, has been found in post-mortem human single-nucleus data (Marsh et al., 2022). With bulk data it is not possible to tell whether the increase reflects the molecular remodelling of reactive astrocytes (Escartin et al., 2021) or technical and agonal factors of this kind. These genes include PFKFB3, a hypoxia-responsive glycolytic regulator, so the observation touches on hypoxia-based accounts of the AD-cancer relationship (Su et al., 2023). My data neither support nor refute such accounts at the level of mechanism; they show only that a shared stress or hypoxia programme is not detectable in the cell types studied here once the analytic problems described above are addressed. The observation is best treated as descriptive, with its cellular source still to be established with single-cell data, and not as evidence for a shared AD-GBM axis.</w:t>
      </w:r>
    </w:p>
    <w:bookmarkEnd w:id="42"/>
    <w:bookmarkStart w:id="43" w:name="limitations"/>
    <w:p>
      <w:pPr>
        <w:pStyle w:val="Heading3"/>
      </w:pPr>
      <w:r>
        <w:t xml:space="preserve">4.6 Limitations</w:t>
      </w:r>
    </w:p>
    <w:p>
      <w:pPr>
        <w:pStyle w:val="FirstParagraph"/>
      </w:pPr>
      <w:r>
        <w:t xml:space="preserve">The primary Stage 1 analysis rests on six donors, all of them male, so the single-cell findings cannot be generalised to women. In the bulk cohorts, sex was included as a covariate, but the study was not designed or powered to test sex differences, and no sex-stratified analyses were performed. The age ranges of the Braak groups do not overlap, which limits how well age and disease effects can be separated. The vulnerable subclusters defined in the original study also differ from the plan’s definition based on an RORB expression threshold.</w:t>
      </w:r>
    </w:p>
    <w:p>
      <w:pPr>
        <w:pStyle w:val="BodyText"/>
      </w:pPr>
      <w:r>
        <w:t xml:space="preserve">The deconvolution methods have their own weaknesses. The MuSiC proportions are not biologically plausible in either cohort (for example, fewer than 1% neurons in control tissue), which is why I do not treat Model C as independent confirmation. There are several possible reasons. The reference is a single-nucleus dataset (Bakken et al., 2021), and a matched comparison in mouse visual cortex found that the nuclear share of total cellular mRNA ranges from about 20% to over 50% depending on the size of the pyramidal neuron (Bakken et al., 2018), which could create a systematic mismatch between a nuclear reference and whole-cell RNA from bulk tissue. The reference is also enriched for neurons, and its glial profiles come from few nuclei. Deconvolution works better on a linear scale, and cell types present in the mixture but missing from the reference degrade results substantially (Avila Cobos et al., 2020). For MuSiC, the main weaknesses here are the scale conversion of microarray data in the AD cohort and the absence of a malignant cell type from the reference for GBM tissue. The accuracy of brain deconvolution also depends strongly on factors such as brain region and the properties of the cell-type signatures used (Sutton et al., 2022). The marker-based BRETIGEA method (McKenzie et al., 2018) runs into a different problem in tumour tissue: astrocyte-like malignant cells express astrocyte markers (Neftel et al., 2019), so in tumours the astrocyte score partly mixes normal astrocytes with malignant states. GBM tissue also contains variable proportions of immune cells such as macrophages and microglia (Wang et al., 2017). The composition adjustment on the GBM side of H1 should therefore be seen as approximate.</w:t>
      </w:r>
    </w:p>
    <w:p>
      <w:pPr>
        <w:pStyle w:val="BodyText"/>
      </w:pPr>
      <w:r>
        <w:t xml:space="preserve">The negative control showed that the H1 decline is not explained by lost degrees of freedom. It also showed that components built from random gene sets explained about half of the variance in the composition scores and removed the AD DEGs just as completely. AD bulk DEGs are carried by a dominant expression axis, but these data cannot tell whether that axis reflects cell composition alone or also includes factors that move with composition, such as RNA quality or agonal conditions (Tomita et al., 2004). And because neuron loss is itself a consequence of the disease, adding composition covariates may remove part of the real disease effect as well.</w:t>
      </w:r>
    </w:p>
    <w:p>
      <w:pPr>
        <w:pStyle w:val="BodyText"/>
      </w:pPr>
      <w:r>
        <w:t xml:space="preserve">The AD meta-cohort is small (n = 51) and relies on merging two microarray platforms with ComBat. The complete loss of AD DEGs in this cohort did not recur in the larger GSE125583 cohort, where about 30% remained significant after adjustment, so the size of the effect in the meta-cohort should not be generalised; preserving diagnosis as a covariate can inflate significance in later tests when groups are unevenly spread across datasets (Nygaard et al., 2016). The plan’s exclusion criteria for RNA quality and manner of death could not be applied to the GTEx samples. The Neftel data are publicly available only as TPM values, which are not ideal for negative binomial models; a limma-trend analysis on log-scaled TPM gave the same H2 decision. Finally, although the analysis plan was committed to a local git repository before any data were analysed, the public upload that the plan promised did not happen before the analysis. The timestamps were generated by the author and cannot be verified independently, so the study rests on a time-stamped, pre-specified plan and not on a formal preregistration. Every point where the implementation departed from the plan is recorded in the deviation register, together with the date on which it was found.</w:t>
      </w:r>
    </w:p>
    <w:bookmarkEnd w:id="43"/>
    <w:bookmarkStart w:id="44" w:name="conclusion"/>
    <w:p>
      <w:pPr>
        <w:pStyle w:val="Heading3"/>
      </w:pPr>
      <w:r>
        <w:t xml:space="preserve">4.7 Conclusion</w:t>
      </w:r>
    </w:p>
    <w:p>
      <w:pPr>
        <w:pStyle w:val="FirstParagraph"/>
      </w:pPr>
      <w:r>
        <w:t xml:space="preserve">In two AD cohorts, most of the transcriptomic signature shared by AD and GBM in bulk tissue was lost after adjustment for estimated cell composition (all of it in the primary cohort, and all but 3.5% of the shared genes in the replication cohort), while about 30% of the AD DEGs remained significant in the larger cohort. At cell-type resolution, no overlap between vulnerable-neuron identity and the neural-mimicry states of the tumour could be detected with the donors available. A convergence-like signal in the discovery analysis disappeared once age was modelled, while pseudoreplication separately inflated the number of significant genes. Claims of shared biology from cross-disease transcriptomic comparisons are only as reliable as the composition control, donor-level inference and pre-specified analysis behind them.</w:t>
      </w:r>
    </w:p>
    <w:bookmarkEnd w:id="44"/>
    <w:bookmarkEnd w:id="45"/>
    <w:bookmarkStart w:id="46" w:name="credit-authorship-contribution-statement"/>
    <w:p>
      <w:pPr>
        <w:pStyle w:val="Heading2"/>
      </w:pPr>
      <w:r>
        <w:t xml:space="preserve">CRediT authorship contribution statement</w:t>
      </w:r>
    </w:p>
    <w:p>
      <w:pPr>
        <w:pStyle w:val="FirstParagraph"/>
      </w:pPr>
      <w:r>
        <w:t xml:space="preserve">Ahmet Karakuş: Conceptualization, Methodology, Software, Formal analysis, Investigation, Data curation, Visualization, Writing – original draft, Writing – review &amp; editing.</w:t>
      </w:r>
    </w:p>
    <w:bookmarkEnd w:id="46"/>
    <w:bookmarkStart w:id="47" w:name="declaration-of-competing-interest"/>
    <w:p>
      <w:pPr>
        <w:pStyle w:val="Heading2"/>
      </w:pPr>
      <w:r>
        <w:t xml:space="preserve">Declaration of competing interest</w:t>
      </w:r>
    </w:p>
    <w:p>
      <w:pPr>
        <w:pStyle w:val="FirstParagraph"/>
      </w:pPr>
      <w:r/>
      <w:r>
        <w:rPr>
          <w:highlight w:val="yellow"/>
        </w:rPr>
        <w:t>[CHECK: The author declares that he has no known competing financial interests or personal relationships that could have appeared to influence the work reported in this paper.]</w:t>
      </w:r>
    </w:p>
    <w:bookmarkEnd w:id="47"/>
    <w:bookmarkStart w:id="48" w:name="funding"/>
    <w:p>
      <w:pPr>
        <w:pStyle w:val="Heading2"/>
      </w:pPr>
      <w:r>
        <w:t xml:space="preserve">Funding</w:t>
      </w:r>
    </w:p>
    <w:p>
      <w:pPr>
        <w:pStyle w:val="FirstParagraph"/>
      </w:pPr>
      <w:r/>
      <w:r>
        <w:rPr>
          <w:highlight w:val="yellow"/>
        </w:rPr>
        <w:t>[CHECK: funding statement, or</w:t>
      </w:r>
      <w:r>
        <w:t xml:space="preserve"> </w:t>
      </w:r>
      <w:r>
        <w:t xml:space="preserve">“</w:t>
      </w:r>
      <w:r>
        <w:t xml:space="preserve">This research did not receive any specific grant from funding agencies in the public, commercial, or not-for-profit sectors.</w:t>
      </w:r>
      <w:r>
        <w:t xml:space="preserve">”</w:t>
      </w:r>
      <w:r>
        <w:t xml:space="preserve">]</w:t>
      </w:r>
    </w:p>
    <w:bookmarkEnd w:id="48"/>
    <w:bookmarkStart w:id="49" w:name="verification"/>
    <w:p>
      <w:pPr>
        <w:pStyle w:val="Heading2"/>
      </w:pPr>
      <w:r>
        <w:t xml:space="preserve">Verification</w:t>
      </w:r>
    </w:p>
    <w:p>
      <w:pPr>
        <w:pStyle w:val="FirstParagraph"/>
      </w:pPr>
      <w:r>
        <w:t xml:space="preserve">The corresponding author declares that this work has not been published previously except in the form of a preprint or abstract, that it is not under consideration for publication elsewhere, that its publication has been approved tacitly or explicitly by the responsible authorities where the work was carried out, and that, if accepted, it will not be published elsewhere in the same form, in English or in any other language, including electronically, without the written consent of the copyright holder.</w:t>
      </w:r>
    </w:p>
    <w:bookmarkEnd w:id="49"/>
    <w:bookmarkStart w:id="50" w:name="data-statement"/>
    <w:p>
      <w:pPr>
        <w:pStyle w:val="Heading2"/>
      </w:pPr>
      <w:r>
        <w:t xml:space="preserve">Data statement</w:t>
      </w:r>
    </w:p>
    <w:p>
      <w:pPr>
        <w:pStyle w:val="FirstParagraph"/>
      </w:pPr>
      <w:r>
        <w:t xml:space="preserve">All datasets analysed are publicly available (Table 1). The analysis plan, analysis scripts, deviation register, intermediate results and the facts-sheet script are available at https://github.com/akarakus-bartin/ad-gbm-composition and archived on Zenodo at https://doi.org/10.5281/zenodo.23020912 (Karakuş, 2026b).</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(Anthropic) to assist with drafting and editing text, writing and reviewing analysis code, and checking references against PubMed, and used ChatGPT (OpenAI) and Kimi (Moonshot AI) to obtain critical reviews of draft versions. All analyses were run, checked and interpreted by the author. After using these tools, the author reviewed and edited the content as needed and takes full responsibility for the content of the published article.</w:t>
      </w:r>
    </w:p>
    <w:bookmarkEnd w:id="51"/>
    <w:bookmarkStart w:id="52" w:name="references"/>
    <w:p>
      <w:pPr>
        <w:pStyle w:val="Heading2"/>
      </w:pPr>
      <w:r>
        <w:t xml:space="preserve">References</w:t>
      </w:r>
    </w:p>
    <w:p>
      <w:pPr>
        <w:pStyle w:val="FirstParagraph"/>
      </w:pPr>
      <w:r>
        <w:t xml:space="preserve">Avila Cobos F, Alquicira-Hernandez J, Powell JE, Mestdagh P, De Preter K. Benchmarking of cell type deconvolution pipelines for transcriptomics data. Nat Commun 2020;11:5650. https://doi.org/10.1038/s41467-020-19015-1.</w:t>
      </w:r>
    </w:p>
    <w:p>
      <w:pPr>
        <w:pStyle w:val="BodyText"/>
      </w:pPr>
      <w:r>
        <w:t xml:space="preserve">Bakken TE, Hodge RD, Miller JA, Yao Z, Nguyen TN, Aevermann B, et al. Single-nucleus and single-cell transcriptomes compared in matched cortical cell types. PLoS One 2018;13:e0209648. https://doi.org/10.1371/journal.pone.0209648.</w:t>
      </w:r>
    </w:p>
    <w:p>
      <w:pPr>
        <w:pStyle w:val="BodyText"/>
      </w:pPr>
      <w:r>
        <w:t xml:space="preserve">Bakken TE, Jorstad NL, Hu Q, Lake BB, Tian W, Kalmbach BE, et al. Comparative cellular analysis of motor cortex in human, marmoset and mouse. Nature 2021;598:111–9. https://doi.org/10.1038/s41586-021-03465-8.</w:t>
      </w:r>
    </w:p>
    <w:p>
      <w:pPr>
        <w:pStyle w:val="BodyText"/>
      </w:pPr>
      <w:r>
        <w:t xml:space="preserve">Benjamini Y, Hochberg Y. Controlling the false discovery rate: a practical and powerful approach to multiple testing. J R Stat Soc Series B Stat Methodol 1995;57:289–300. https://doi.org/10.1111/j.2517-6161.1995.tb02031.x.</w:t>
      </w:r>
    </w:p>
    <w:p>
      <w:pPr>
        <w:pStyle w:val="BodyText"/>
      </w:pPr>
      <w:r>
        <w:t xml:space="preserve">Berchtold NC, Coleman PD, Cribbs DH, Rogers J, Gillen DL, Cotman CW. Synaptic genes are extensively downregulated across multiple brain regions in normal human aging and Alzheimer’s disease. Neurobiol Aging 2013;34:1653–61. https://doi.org/10.1016/j.neurobiolaging.2012.11.024.</w:t>
      </w:r>
    </w:p>
    <w:p>
      <w:pPr>
        <w:pStyle w:val="BodyText"/>
      </w:pPr>
      <w:r>
        <w:t xml:space="preserve">Brennan CW, Verhaak RGW, McKenna A, Campos B, Noushmehr H, Salama SR, et al. The somatic genomic landscape of glioblastoma. Cell 2013;155:462–77. https://doi.org/10.1016/j.cell.2013.09.034.</w:t>
      </w:r>
    </w:p>
    <w:p>
      <w:pPr>
        <w:pStyle w:val="BodyText"/>
      </w:pPr>
      <w:r>
        <w:t xml:space="preserve">Cahill KM, Huo Z, Tseng GC, Logan RW, Seney ML. Improved identification of concordant and discordant gene expression signatures using an updated rank-rank hypergeometric overlap approach. Sci Rep 2018;8:9588. https://doi.org/10.1038/s41598-018-27903-2.</w:t>
      </w:r>
    </w:p>
    <w:p>
      <w:pPr>
        <w:pStyle w:val="BodyText"/>
      </w:pPr>
      <w:r>
        <w:t xml:space="preserve">Chen Y, Lun ATL, Smyth GK. From reads to genes to pathways: differential expression analysis of RNA-Seq experiments using Rsubread and the edgeR quasi-likelihood pipeline. F1000Res 2016;5:1438. https://doi.org/10.12688/f1000research.8987.2.</w:t>
      </w:r>
    </w:p>
    <w:p>
      <w:pPr>
        <w:pStyle w:val="BodyText"/>
      </w:pPr>
      <w:r>
        <w:t xml:space="preserve">Crowell HL, Soneson C, Germain PL, Calini D, Collin L, Raposo C, et al. muscat detects subpopulation-specific state transitions from multi-sample multi-condition single-cell transcriptomics data. Nat Commun 2020;11:6077. https://doi.org/10.1038/s41467-020-19894-4.</w:t>
      </w:r>
    </w:p>
    <w:p>
      <w:pPr>
        <w:pStyle w:val="BodyText"/>
      </w:pPr>
      <w:r>
        <w:t xml:space="preserve">Driver JA, Beiser A, Au R, Kreger BE, Splansky GL, Kurth T, et al. Inverse association between cancer and Alzheimer’s disease: results from the Framingham Heart Study. BMJ 2012;344:e1442. https://doi.org/10.1136/bmj.e1442.</w:t>
      </w:r>
    </w:p>
    <w:p>
      <w:pPr>
        <w:pStyle w:val="BodyText"/>
      </w:pPr>
      <w:r>
        <w:t xml:space="preserve">Escartin C, Galea E, Lakatos A, O’Callaghan JP, Petzold GC, Serrano-Pozo A, et al. Reactive astrocyte nomenclature, definitions, and future directions. Nat Neurosci 2021;24:312–25. https://doi.org/10.1038/s41593-020-00783-4.</w:t>
      </w:r>
    </w:p>
    <w:p>
      <w:pPr>
        <w:pStyle w:val="BodyText"/>
      </w:pPr>
      <w:r>
        <w:t xml:space="preserve">Goldman MJ, Craft B, Hastie M, Repečka K, McDade F, Kamath A, et al. Visualizing and interpreting cancer genomics data via the Xena platform. Nat Biotechnol 2020;38:675–8. https://doi.org/10.1038/s41587-020-0546-8.</w:t>
      </w:r>
    </w:p>
    <w:p>
      <w:pPr>
        <w:pStyle w:val="BodyText"/>
      </w:pPr>
      <w:r>
        <w:t xml:space="preserve">GTEx Consortium. The GTEx Consortium atlas of genetic regulatory effects across human tissues. Science 2020;369:1318–30. https://doi.org/10.1126/science.aaz1776.</w:t>
      </w:r>
    </w:p>
    <w:p>
      <w:pPr>
        <w:pStyle w:val="BodyText"/>
      </w:pPr>
      <w:r>
        <w:t xml:space="preserve">Hokama M, Oka S, Leon J, Ninomiya T, Honda H, Sasaki K, et al. Altered expression of diabetes-related genes in Alzheimer’s disease brains: the Hisayama study. Cereb Cortex 2014;24:2476–88. https://doi.org/10.1093/cercor/bht101.</w:t>
      </w:r>
    </w:p>
    <w:p>
      <w:pPr>
        <w:pStyle w:val="BodyText"/>
      </w:pPr>
      <w:r>
        <w:t xml:space="preserve">Ibáñez K, Boullosa C, Tabarés-Seisdedos R, Baudot A, Valencia A. Molecular evidence for the inverse comorbidity between central nervous system disorders and cancers detected by transcriptomic meta-analyses. PLoS Genet 2014;10:e1004173. https://doi.org/10.1371/journal.pgen.1004173.</w:t>
      </w:r>
    </w:p>
    <w:p>
      <w:pPr>
        <w:pStyle w:val="BodyText"/>
      </w:pPr>
      <w:r>
        <w:t xml:space="preserve">Irizarry RA, Hobbs B, Collin F, Beazer-Barclay YD, Antonellis KJ, Scherf U, et al. Exploration, normalization, and summaries of high density oligonucleotide array probe level data. Biostatistics 2003;4:249–64. https://doi.org/10.1093/biostatistics/4.2.249.</w:t>
      </w:r>
    </w:p>
    <w:p>
      <w:pPr>
        <w:pStyle w:val="BodyText"/>
      </w:pPr>
      <w:r>
        <w:t xml:space="preserve">Johansen N, Quon G. scAlign: a tool for alignment, integration, and rare cell identification from scRNA-seq data. Genome Biol 2019;20:166. https://doi.org/10.1186/s13059-019-1766-4.</w:t>
      </w:r>
    </w:p>
    <w:p>
      <w:pPr>
        <w:pStyle w:val="BodyText"/>
      </w:pPr>
      <w:r>
        <w:t xml:space="preserve">Johnson WE, Li C, Rabinovic A. Adjusting batch effects in microarray expression data using empirical Bayes methods. Biostatistics 2007;8:118–27. https://doi.org/10.1093/biostatistics/kxj037.</w:t>
      </w:r>
    </w:p>
    <w:p>
      <w:pPr>
        <w:pStyle w:val="BodyText"/>
      </w:pPr>
      <w:r>
        <w:t xml:space="preserve">Karakuş A. AD-GBM comparative transcriptomics with cell-type deconvolution [software]. GitHub. 2026a. https://github.com/akarakus-bartin/AD-GBM-deconvolution (accessed 28 September 2026).</w:t>
      </w:r>
    </w:p>
    <w:p>
      <w:pPr>
        <w:pStyle w:val="BodyText"/>
      </w:pPr>
      <w:r>
        <w:t xml:space="preserve">Karakuş A. AD–GBM transcriptomic overlap under cell-composition adjustment: code, pre-specified analysis plan and deviation register. Version v1.0-submission [software]. Zenodo 2026b. https://doi.org/10.5281/zenodo.23020912.</w:t>
      </w:r>
    </w:p>
    <w:p>
      <w:pPr>
        <w:pStyle w:val="BodyText"/>
      </w:pPr>
      <w:r>
        <w:t xml:space="preserve">Kelley KW, Nakao-Inoue H, Molofsky AV, Oldham MC. Variation among intact tissue samples reveals the core transcriptional features of human CNS cell classes. Nat Neurosci 2018;21:1171–84. https://doi.org/10.1038/s41593-018-0216-z.</w:t>
      </w:r>
    </w:p>
    <w:p>
      <w:pPr>
        <w:pStyle w:val="BodyText"/>
      </w:pPr>
      <w:r>
        <w:t xml:space="preserve">Law CW, Chen Y, Shi W, Smyth GK. voom: precision weights unlock linear model analysis tools for RNA-seq read counts. Genome Biol 2014;15:R29. https://doi.org/10.1186/gb-2014-15-2-r29.</w:t>
      </w:r>
    </w:p>
    <w:p>
      <w:pPr>
        <w:pStyle w:val="BodyText"/>
      </w:pPr>
      <w:r>
        <w:t xml:space="preserve">Leek JT, Johnson WE, Parker HS, Jaffe AE, Storey JD. The sva package for removing batch effects and other unwanted variation in high-throughput experiments. Bioinformatics 2012;28:882–3. https://doi.org/10.1093/bioinformatics/bts034.</w:t>
      </w:r>
    </w:p>
    <w:p>
      <w:pPr>
        <w:pStyle w:val="BodyText"/>
      </w:pPr>
      <w:r>
        <w:t xml:space="preserve">Leng K, Li E, Eser R, Piergies A, Sit R, Tan M, et al. Molecular characterization of selectively vulnerable neurons in Alzheimer’s disease. Nat Neurosci 2021;24:276–87. https://doi.org/10.1038/s41593-020-00764-7.</w:t>
      </w:r>
    </w:p>
    <w:p>
      <w:pPr>
        <w:pStyle w:val="BodyText"/>
      </w:pPr>
      <w:r>
        <w:t xml:space="preserve">Liu T, Ren D, Zhu X, Yin Z, Jin G, Zhao Z, et al. Transcriptional signaling pathways inversely regulated in Alzheimer’s disease and glioblastoma multiform. Sci Rep 2013;3:3467. https://doi.org/10.1038/srep03467.</w:t>
      </w:r>
    </w:p>
    <w:p>
      <w:pPr>
        <w:pStyle w:val="BodyText"/>
      </w:pPr>
      <w:r>
        <w:t xml:space="preserve">Liu T, Pu J, Theil S, Liu Y, Jiang L, Liu H, et al. Potential role of TNFRSF12A in linking glioblastoma and Alzheimer’s disease via shared tumour suppressor pathways. Sci Rep 2025;15:21535. https://doi.org/10.1038/s41598-025-08000-7.</w:t>
      </w:r>
    </w:p>
    <w:p>
      <w:pPr>
        <w:pStyle w:val="BodyText"/>
      </w:pPr>
      <w:r>
        <w:t xml:space="preserve">Marsh SE, Walker AJ, Kamath T, Dissing-Olesen L, Hammond TR, de Soysa TY, et al. Dissection of artifactual and confounding glial signatures by single-cell sequencing of mouse and human brain. Nat Neurosci 2022;25:306–16. https://doi.org/10.1038/s41593-022-01022-8.</w:t>
      </w:r>
    </w:p>
    <w:p>
      <w:pPr>
        <w:pStyle w:val="BodyText"/>
      </w:pPr>
      <w:r>
        <w:t xml:space="preserve">McKenzie AT, Wang M, Hauberg ME, Fullard JF, Kozlenkov A, Keenan A, et al. Brain cell type specific gene expression and co-expression network architectures. Sci Rep 2018;8:8868. https://doi.org/10.1038/s41598-018-27293-5.</w:t>
      </w:r>
    </w:p>
    <w:p>
      <w:pPr>
        <w:pStyle w:val="BodyText"/>
      </w:pPr>
      <w:r>
        <w:t xml:space="preserve">Musicco M, Adorni F, Di Santo S, Prinelli F, Pettenati C, Caltagirone C, et al. Inverse occurrence of cancer and Alzheimer disease: a population-based incidence study. Neurology 2013;81:322–8. https://doi.org/10.1212/WNL.0b013e31829c5ec1.</w:t>
      </w:r>
    </w:p>
    <w:p>
      <w:pPr>
        <w:pStyle w:val="BodyText"/>
      </w:pPr>
      <w:r>
        <w:t xml:space="preserve">Neftel C, Laffy J, Filbin MG, Hara T, Shore ME, Rahme GJ, et al. An integrative model of cellular states, plasticity, and genetics for glioblastoma. Cell 2019;178:835–849.e21. https://doi.org/10.1016/j.cell.2019.06.024.</w:t>
      </w:r>
    </w:p>
    <w:p>
      <w:pPr>
        <w:pStyle w:val="BodyText"/>
      </w:pPr>
      <w:r>
        <w:t xml:space="preserve">Nosek BA, Ebersole CR, DeHaven AC, Mellor DT. The preregistration revolution. Proc Natl Acad Sci U S A 2018;115:2600–6. https://doi.org/10.1073/pnas.1708274114.</w:t>
      </w:r>
    </w:p>
    <w:p>
      <w:pPr>
        <w:pStyle w:val="BodyText"/>
      </w:pPr>
      <w:r>
        <w:t xml:space="preserve">Nygaard V, Rødland EA, Hovig E. Methods that remove batch effects while retaining group differences may lead to exaggerated confidence in downstream analyses. Biostatistics 2016;17:29–39. https://doi.org/10.1093/biostatistics/kxv027.</w:t>
      </w:r>
    </w:p>
    <w:p>
      <w:pPr>
        <w:pStyle w:val="BodyText"/>
      </w:pPr>
      <w:r>
        <w:t xml:space="preserve">Patrick E, Taga M, Ergun A, Ng B, Casazza W, Cimpean M, et al. Deconvolving the contributions of cell-type heterogeneity on cortical gene expression. PLoS Comput Biol 2020;16:e1008120. https://doi.org/10.1371/journal.pcbi.1008120.</w:t>
      </w:r>
    </w:p>
    <w:p>
      <w:pPr>
        <w:pStyle w:val="BodyText"/>
      </w:pPr>
      <w:r>
        <w:t xml:space="preserve">Ritchie ME, Phipson B, Wu D, Hu Y, Law CW, Shi W, et al. limma powers differential expression analyses for RNA-sequencing and microarray studies. Nucleic Acids Res 2015;43:e47. https://doi.org/10.1093/nar/gkv007.</w:t>
      </w:r>
    </w:p>
    <w:p>
      <w:pPr>
        <w:pStyle w:val="BodyText"/>
      </w:pPr>
      <w:r>
        <w:t xml:space="preserve">Robinson MD, McCarthy DJ, Smyth GK. edgeR: a Bioconductor package for differential expression analysis of digital gene expression data. Bioinformatics 2010;26:139–40. https://doi.org/10.1093/bioinformatics/btp616.</w:t>
      </w:r>
    </w:p>
    <w:p>
      <w:pPr>
        <w:pStyle w:val="BodyText"/>
      </w:pPr>
      <w:r>
        <w:t xml:space="preserve">Robinson MD, Oshlack A. A scaling normalization method for differential expression analysis of RNA-seq data. Genome Biol 2010;11:R25. https://doi.org/10.1186/gb-2010-11-3-r25.</w:t>
      </w:r>
    </w:p>
    <w:p>
      <w:pPr>
        <w:pStyle w:val="BodyText"/>
      </w:pPr>
      <w:r>
        <w:t xml:space="preserve">Simmons JP, Nelson LD, Simonsohn U. False-positive psychology: undisclosed flexibility in data collection and analysis allows presenting anything as significant. Psychol Sci 2011;22:1359–66. https://doi.org/10.1177/0956797611417632.</w:t>
      </w:r>
    </w:p>
    <w:p>
      <w:pPr>
        <w:pStyle w:val="BodyText"/>
      </w:pPr>
      <w:r>
        <w:t xml:space="preserve">Smyth GK, Michaud J, Scott HS. Use of within-array replicate spots for assessing differential expression in microarray experiments. Bioinformatics 2005;21:2067–75. https://doi.org/10.1093/bioinformatics/bti270.</w:t>
      </w:r>
    </w:p>
    <w:p>
      <w:pPr>
        <w:pStyle w:val="BodyText"/>
      </w:pPr>
      <w:r>
        <w:t xml:space="preserve">Squair JW, Gautier M, Kathe C, Anderson MA, James ND, Hutson TH, et al. Confronting false discoveries in single-cell differential expression. Nat Commun 2021;12:5692. https://doi.org/10.1038/s41467-021-25960-2.</w:t>
      </w:r>
    </w:p>
    <w:p>
      <w:pPr>
        <w:pStyle w:val="BodyText"/>
      </w:pPr>
      <w:r>
        <w:t xml:space="preserve">Su Z, Zhang G, Li X, Zhang H. Inverse correlation between Alzheimer’s disease and cancer from the perspective of hypoxia. Neurobiol Aging 2023;131:59–73. https://doi.org/10.1016/j.neurobiolaging.2023.07.002.</w:t>
      </w:r>
    </w:p>
    <w:p>
      <w:pPr>
        <w:pStyle w:val="BodyText"/>
      </w:pPr>
      <w:r>
        <w:t xml:space="preserve">Sutton GJ, Poppe D, Simmons RK, Walsh K, Nawaz U, Lister R, et al. Comprehensive evaluation of deconvolution methods for human brain gene expression. Nat Commun 2022;13:1358. https://doi.org/10.1038/s41467-022-28655-4.</w:t>
      </w:r>
    </w:p>
    <w:p>
      <w:pPr>
        <w:pStyle w:val="BodyText"/>
      </w:pPr>
      <w:r>
        <w:t xml:space="preserve">Tasic B, Yao Z, Graybuck LT, Smith KA, Nguyen TN, Bertagnolli D, et al. Shared and distinct transcriptomic cell types across neocortical areas. Nature 2018;563:72–8. https://doi.org/10.1038/s41586-018-0654-5.</w:t>
      </w:r>
    </w:p>
    <w:p>
      <w:pPr>
        <w:pStyle w:val="BodyText"/>
      </w:pPr>
      <w:r>
        <w:t xml:space="preserve">Tomita H, Vawter MP, Walsh DM, Evans SJ, Choudary PV, Li J, et al. Effect of agonal and postmortem factors on gene expression profile: quality control in microarray analyses of postmortem human brain. Biol Psychiatry 2004;55:346–52. https://doi.org/10.1016/j.biopsych.2003.10.013.</w:t>
      </w:r>
    </w:p>
    <w:p>
      <w:pPr>
        <w:pStyle w:val="BodyText"/>
      </w:pPr>
      <w:r>
        <w:t xml:space="preserve">van den Brink SC, Sage F, Vértesy Á, Spanjaard B, Peterson-Maduro J, Baron CS, et al. Single-cell sequencing reveals dissociation-induced gene expression in tissue subpopulations. Nat Methods 2017;14:935–6. https://doi.org/10.1038/nmeth.4437.</w:t>
      </w:r>
    </w:p>
    <w:p>
      <w:pPr>
        <w:pStyle w:val="BodyText"/>
      </w:pPr>
      <w:r>
        <w:t xml:space="preserve">Venkatesh HS, Morishita W, Geraghty AC, Silverbush D, Gillespie SM, Arzt M, et al. Electrical and synaptic integration of glioma into neural circuits. Nature 2019;573:539–45. https://doi.org/10.1038/s41586-019-1563-y.</w:t>
      </w:r>
    </w:p>
    <w:p>
      <w:pPr>
        <w:pStyle w:val="BodyText"/>
      </w:pPr>
      <w:r>
        <w:t xml:space="preserve">Vivian J, Rao AA, Nothaft FA, Ketchum C, Armstrong J, Novak A, et al. Toil enables reproducible, open source, big biomedical data analyses. Nat Biotechnol 2017;35:314–6. https://doi.org/10.1038/nbt.3772.</w:t>
      </w:r>
    </w:p>
    <w:p>
      <w:pPr>
        <w:pStyle w:val="BodyText"/>
      </w:pPr>
      <w:r>
        <w:t xml:space="preserve">Wang Q, Hu B, Hu X, Kim H, Squatrito M, Scarpace L, et al. Tumor evolution of glioma-intrinsic gene expression subtypes associates with immunological changes in the microenvironment. Cancer Cell 2017;32:42–56.e6. https://doi.org/10.1016/j.ccell.2017.06.003.</w:t>
      </w:r>
    </w:p>
    <w:p>
      <w:pPr>
        <w:pStyle w:val="BodyText"/>
      </w:pPr>
      <w:r>
        <w:t xml:space="preserve">Wang X, Park J, Susztak K, Zhang NR, Li M. Bulk tissue cell type deconvolution with multi-subject single-cell expression reference. Nat Commun 2019;10:380. https://doi.org/10.1038/s41467-018-08023-x.</w:t>
      </w:r>
    </w:p>
    <w:p>
      <w:pPr>
        <w:pStyle w:val="BodyText"/>
      </w:pPr>
      <w:r>
        <w:t xml:space="preserve">Wang J, Roeder K, Devlin B. Bayesian estimation of cell type-specific gene expression with prior derived from single-cell data. Genome Res 2021;31:1807–18. https://doi.org/10.1101/gr.268722.120.</w:t>
      </w:r>
    </w:p>
    <w:p>
      <w:pPr>
        <w:pStyle w:val="BodyText"/>
      </w:pPr>
      <w:r>
        <w:t xml:space="preserve">Wilks C, Zheng SC, Chen FY, Charles R, Solomon B, Ling JP, et al. recount3: summaries and queries for large-scale RNA-seq expression and splicing. Genome Biol 2021;22:323. https://doi.org/10.1186/s13059-021-02533-6.</w:t>
      </w:r>
    </w:p>
    <w:p>
      <w:pPr>
        <w:pStyle w:val="BodyText"/>
      </w:pPr>
      <w:r>
        <w:t xml:space="preserve">Xu X, Wang J, Chen T, Wang S, Wang F, He J, et al. Deciphering novel mitochondrial signatures: multi-omics analysis uncovers cross-disease markers and oligodendrocyte pathways in Alzheimer’s disease and glioblastoma. Front Aging Neurosci 2025;17:1536142. https://doi.org/10.3389/fnagi.2025.1536142.</w:t>
      </w:r>
    </w:p>
    <w:p>
      <w:pPr>
        <w:pStyle w:val="BodyText"/>
      </w:pPr>
      <w:r>
        <w:t xml:space="preserve">Zimmerman KD, Espeland MA, Langefeld CD. A practical solution to pseudoreplication bias in single-cell studies. Nat Commun 2021;12:738. https://doi.org/10.1038/s41467-021-21038-1.</w:t>
      </w:r>
    </w:p>
    <w:bookmarkEnd w:id="52"/>
    <w:bookmarkStart w:id="53" w:name="figure-legends"/>
    <w:p>
      <w:pPr>
        <w:pStyle w:val="Heading2"/>
      </w:pPr>
      <w:r>
        <w:t xml:space="preserve">Figure legends</w:t>
      </w:r>
    </w:p>
    <w:p>
      <w:pPr>
        <w:pStyle w:val="FirstParagraph"/>
      </w:pPr>
      <w:r>
        <w:rPr>
          <w:bCs/>
          <w:b/>
        </w:rPr>
        <w:t xml:space="preserve">Figure 1.</w:t>
      </w:r>
      <w:r>
        <w:t xml:space="preserve"> </w:t>
      </w:r>
      <w:r>
        <w:t xml:space="preserve">Study design and decision flow. The analysis plan was committed before any data analysis. H2 (left) was tested with a donor-level AD vulnerable-neuron signature (Stage 1) and a tumour-blocked GBM neural-mimicry signature (Stage 2) using three pre-specified convergence tests (Stage 3). H1 (right) compared shared DEGs between the AD meta-cohort and the TCGA-GBM/GTEx cohort with and without composition covariates from two deconvolution methods (Stage 4). Exploratory analyses (dashed box) did not enter the decisions. Abbreviations: AD, Alzheimer’s disease; DEG, differentially expressed gene; GBM, glioblastoma; GTEx, Genotype-Tissue Expression project; H1 and H2, primary and secondary hypotheses; NPC, neural progenitor cell; OPC, oligodendrocyte precursor cell; RORB, RAR-related orphan receptor B; RRHO2, rank-rank hypergeometric overlap, version 2; TCGA, The Cancer Genome Atlas.</w:t>
      </w:r>
    </w:p>
    <w:p>
      <w:pPr>
        <w:pStyle w:val="BodyText"/>
      </w:pPr>
      <w:r>
        <w:rPr>
          <w:bCs/>
          <w:b/>
        </w:rPr>
        <w:t xml:space="preserve">Figure 2.</w:t>
      </w:r>
      <w:r>
        <w:t xml:space="preserve"> </w:t>
      </w:r>
      <w:r>
        <w:t xml:space="preserve">H1: shared DEGs under cell-composition control. (A) Number of DEGs (FDR &lt; 0.05) in each cohort under Model A (unadjusted), Model B (BRETIGEA) and Model C (MuSiC). (B) Mean MuSiC proportions by group in the AD and GBM cohorts; these estimates are not biologically plausible (see Section 3.1). (C) Shared DEGs in the primary analysis (all controls) and in the five pre-specified sensitivity analyses. Abbreviations: AD, Alzheimer’s disease; BA9, Brodmann area 9; BRETIGEA, BRain cEll Type specIfic Gene Expression Analysis; DEG, differentially expressed gene; FDR, false discovery rate; GBM, glioblastoma; MuSiC, MUlti-Subject SIngle Cell deconvolution; OPC, oligodendrocyte precursor cell.</w:t>
      </w:r>
    </w:p>
    <w:p>
      <w:pPr>
        <w:pStyle w:val="BodyText"/>
      </w:pPr>
      <w:r>
        <w:rPr>
          <w:bCs/>
          <w:b/>
        </w:rPr>
        <w:t xml:space="preserve">Figure 3.</w:t>
      </w:r>
      <w:r>
        <w:t xml:space="preserve"> </w:t>
      </w:r>
      <w:r>
        <w:t xml:space="preserve">H2: RRHO2 maps for the original implementation, the documented deviation (Braak II vs 0, donor level, age) and the plan-conformant analysis (Braak VI vs 0, donor level, age). Colour shows −log10(P) on a common scale. Dashed lines mark where each ranking changes sign, which defines the quadrant boundaries; grey bands are undefined cells at the sign change. The pre-specified test is evaluated in the DU quadrant (down in AD, up in GBM), with a threshold of −log10(P) &gt; 6.27. Abbreviations: AD, Alzheimer’s disease; DD, down in both; DU, down in AD and up in GBM; GBM, glioblastoma; RRHO2, rank-rank hypergeometric overlap, version 2; UD, up in AD and down in GBM; UU, up in both.</w:t>
      </w:r>
    </w:p>
    <w:p>
      <w:pPr>
        <w:pStyle w:val="BodyText"/>
      </w:pPr>
      <w:r>
        <w:rPr>
          <w:bCs/>
          <w:b/>
        </w:rPr>
        <w:t xml:space="preserve">Figure 4.</w:t>
      </w:r>
      <w:r>
        <w:t xml:space="preserve"> </w:t>
      </w:r>
      <w:r>
        <w:t xml:space="preserve">Negative control for H1. (A) Distribution of AD DEGs over 1,000 iterations with six noise covariates added to Model A. (B) The same with six principal components from random gene sets. (C) Mean R² with which the random components explain the six BRETIGEA scores. Blue lines: AD DEGs under Model A (4,449). Dashed lines: pre-specified thresholds (retention of 0.80 in A; R² of 0.25 in C). Abbreviations: AD, Alzheimer’s disease; BRETIGEA, BRain cEll Type specIfic Gene Expression Analysis; DEG, differentially expressed gene; PC, principal component.</w:t>
      </w:r>
    </w:p>
    <w:p>
      <w:pPr>
        <w:pStyle w:val="BodyText"/>
      </w:pPr>
      <w:r>
        <w:rPr>
          <w:bCs/>
          <w:b/>
        </w:rPr>
        <w:t xml:space="preserve">Figure 5.</w:t>
      </w:r>
      <w:r>
        <w:t xml:space="preserve"> </w:t>
      </w:r>
      <w:r>
        <w:t xml:space="preserve">Exploratory: sensitivity of the original DD signal to analytic corrections. (A) Genes at FDR &lt; 0.05 in the original pseudoreplicated analysis, with a donor block (limma-voom) and with donor-summed counts (edgeR). (B) log2FC in the original versus the donor-summed analysis; orange points are the 20 genes of the original DD quadrant. (C) Threshold profile of the four-quadrant overlap test for the DD and DU quadrants with the original ranking and a donor-block (limma-voom) ranking; the dotted line marks BH-adjusted P = 0.05. (D) Highest −log10(P) in the RRHO2 DD quadrant for the original analysis, the deviation analysis (donor-summed, age-adjusted) and the plan analysis; the dashed line marks adjusted P = 0.001. The full donor × age decomposition is given in Table 6. Abbreviations: BH, Benjamini-Hochberg; DD, down in both diseases; DU, down in Alzheimer’s disease and up in glioblastoma; FDR, false discovery rate; log2FC, log2 fold change; RRHO2, rank-rank hypergeometric overlap, version 2.</w:t>
      </w:r>
    </w:p>
    <w:bookmarkEnd w:id="53"/>
    <w:bookmarkStart w:id="54" w:name="supplementary-material"/>
    <w:p>
      <w:pPr>
        <w:pStyle w:val="Heading2"/>
      </w:pPr>
      <w:r>
        <w:t xml:space="preserve">Supplementary material</w:t>
      </w:r>
    </w:p>
    <w:p>
      <w:pPr>
        <w:pStyle w:val="FirstParagraph"/>
      </w:pPr>
      <w:r>
        <w:rPr>
          <w:bCs/>
          <w:b/>
        </w:rPr>
        <w:t xml:space="preserve">Supplementary File 1.</w:t>
      </w:r>
      <w:r>
        <w:t xml:space="preserve"> </w:t>
      </w:r>
      <w:r>
        <w:t xml:space="preserve">Pre-specified analysis plan (Analysis_Plan_v1, git commit 3fcf8d1, 20 September 2026).</w:t>
      </w:r>
    </w:p>
    <w:p>
      <w:pPr>
        <w:pStyle w:val="BodyText"/>
      </w:pPr>
      <w:r>
        <w:rPr>
          <w:bCs/>
          <w:b/>
        </w:rPr>
        <w:t xml:space="preserve">Supplementary File 2.</w:t>
      </w:r>
      <w:r>
        <w:t xml:space="preserve"> </w:t>
      </w:r>
      <w:r>
        <w:t xml:space="preserve">Deviation register (DEVIATIONS), with the date, reason and affected analyses of every departure from the plan.</w:t>
      </w:r>
    </w:p>
    <w:p>
      <w:pPr>
        <w:pStyle w:val="BodyText"/>
      </w:pPr>
      <w:r>
        <w:rPr>
          <w:bCs/>
          <w:b/>
        </w:rPr>
        <w:t xml:space="preserve">Supplementary Tables S1–S4</w:t>
      </w:r>
      <w:r>
        <w:t xml:space="preserve"> </w:t>
      </w:r>
      <w:r>
        <w:t xml:space="preserve">(single Excel file, one sheet per table). Table S1a: the 1,458 shared DEGs of the primary analysis, with log2FC and FDR in both cohorts under Models A, B and C. Table S1b: the 3,912 shared DEGs of the replication analysis (GSE125583), with estimates under Models A and B and an indicator for the 138 genes that remained shared after adjustment. Table S1c: the 150 genes that were shared only after adjustment. Table S2: correlations of the 50 BRETIGEA astrocyte markers with the astrocyte score in the GBM cohort, in all samples, tumours and controls. Table S3: RRHO2 quadrant maxima, positions, adjusted P values and quadrant boundaries for all Stage 3 analyses (S3a), the donor × age decomposition (S3b) and the GBM limma-trend sensitivity analysis (S3c). Table S4: the DD-signature and stress genes in GSE125583 under the unadjusted, age- and sex-adjusted and composition-adjusted models. Abbreviations: BRETIGEA, BRain cEll Type specIfic Gene Expression Analysis; DD, down in both diseases; DEG, differentially expressed gene; FDR, false discovery rate; GBM, glioblastoma; log2FC, log2 fold change; RRHO2, rank-rank hypergeometric overlap, version 2.</w:t>
      </w:r>
    </w:p>
    <w:p>
      <w:pPr>
        <w:pStyle w:val="BodyText"/>
      </w:pPr>
      <w:r>
        <w:rPr>
          <w:bCs/>
          <w:b/>
        </w:rPr>
        <w:t xml:space="preserve">Figure S1.</w:t>
      </w:r>
      <w:r>
        <w:t xml:space="preserve"> </w:t>
      </w:r>
      <w:r>
        <w:t xml:space="preserve">Replication of H1. Genes at FDR &lt; 0.05 under Model A (unadjusted) and Model B (with BRETIGEA scores) in the primary AD meta-cohort and in the replication cohort (GSE125583), shown separately for AD DEGs and for DEGs shared with the GBM cohort. The ratio of the Model B count to the Model A count is shown in each panel; this compares counts, not genes (see Section 3.4 for gene-level overlap). Abbreviations: AD, Alzheimer’s disease; BRETIGEA, BRain cEll Type specIfic Gene Expression Analysis; DEG, differentially expressed gene; FDR, false discovery rate; GBM, glioblastoma; H1, primary hypothesis.</w:t>
      </w:r>
    </w:p>
    <w:bookmarkEnd w:id="54"/>
    <w:bookmarkEnd w:id="55"/>
    <w:sectPr>
      <w:footerReference w:type="default" r:id="rId9"/>
      <w:pgSz w:w="11906" w:h="16838"/>
      <w:pgMar w:left="1417" w:right="1417" w:top="1417" w:bottom="1417"/>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2026-09-28T17:44:22Z</dcterms:created>
  <dcterms:modified xsi:type="dcterms:W3CDTF">2026-09-28T17:44:22Z</dcterms:modified>
</cp:coreProperties>
</file>

<file path=docProps/custom.xml><?xml version="1.0" encoding="utf-8"?>
<Properties xmlns="http://schemas.openxmlformats.org/officeDocument/2006/custom-properties" xmlns:vt="http://schemas.openxmlformats.org/officeDocument/2006/docPropsVTypes"/>
</file>