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discussion-draft"/>
    <w:p>
      <w:pPr>
        <w:pStyle w:val="Heading1"/>
      </w:pPr>
      <w:r>
        <w:t xml:space="preserve">Discussion — Draft</w:t>
      </w:r>
    </w:p>
    <w:p>
      <w:pPr>
        <w:pStyle w:val="FirstParagraph"/>
      </w:pPr>
      <w:r>
        <w:rPr>
          <w:b/>
          <w:bCs/>
        </w:rPr>
        <w:t xml:space="preserve">Manuscript:</w:t>
      </w:r>
      <w:r>
        <w:t xml:space="preserve"> </w:t>
      </w:r>
      <w:r>
        <w:t xml:space="preserve">Cross-disease transcriptomic convergence of Alzheimer’s disease and glioblastoma</w:t>
      </w:r>
      <w:r>
        <w:t xml:space="preserve"> </w:t>
      </w:r>
      <w:r>
        <w:rPr>
          <w:b/>
          <w:bCs/>
        </w:rPr>
        <w:t xml:space="preserve">Author:</w:t>
      </w:r>
      <w:r>
        <w:t xml:space="preserve"> </w:t>
      </w:r>
      <w:r>
        <w:t xml:space="preserve">Ahmet Karakuş, Bartın Üniversitesi</w:t>
      </w:r>
      <w:r>
        <w:t xml:space="preserve"> </w:t>
      </w:r>
      <w:r>
        <w:rPr>
          <w:b/>
          <w:bCs/>
        </w:rPr>
        <w:t xml:space="preserve">Language:</w:t>
      </w:r>
      <w:r>
        <w:t xml:space="preserve"> </w:t>
      </w:r>
      <w:r>
        <w:t xml:space="preserve">Turkish (draft), edilgen ağırlıklı akademik üslup</w:t>
      </w:r>
      <w:r>
        <w:t xml:space="preserve"> </w:t>
      </w:r>
      <w:r>
        <w:rPr>
          <w:b/>
          <w:bCs/>
        </w:rPr>
        <w:t xml:space="preserve">Started:</w:t>
      </w:r>
      <w:r>
        <w:t xml:space="preserve"> </w:t>
      </w:r>
      <w:r>
        <w:t xml:space="preserve">2026-09-23 evening</w:t>
      </w:r>
      <w:r>
        <w:t xml:space="preserve"> </w:t>
      </w:r>
      <w:r>
        <w:rPr>
          <w:b/>
          <w:bCs/>
        </w:rPr>
        <w:t xml:space="preserve">Status:</w:t>
      </w:r>
      <w:r>
        <w:t xml:space="preserve"> </w:t>
      </w:r>
      <w:r>
        <w:t xml:space="preserve">In progress — 1/4 sections</w:t>
      </w:r>
    </w:p>
    <w:p>
      <w:r>
        <w:pict>
          <v:rect style="width:0;height:1.5pt" o:hralign="center" o:hrstd="t" o:hr="t"/>
        </w:pict>
      </w:r>
    </w:p>
    <w:bookmarkStart w:id="9" w:name="ana-bulgular"/>
    <w:p>
      <w:pPr>
        <w:pStyle w:val="Heading2"/>
      </w:pPr>
      <w:r>
        <w:t xml:space="preserve">4.1 Ana bulgular</w:t>
      </w:r>
    </w:p>
    <w:p>
      <w:pPr>
        <w:pStyle w:val="FirstParagraph"/>
      </w:pPr>
      <w:r>
        <w:t xml:space="preserve">Bu çalışmanın temel amacı, Alzheimer hastalığı (AH) ve glioblastoma multiforme (GBM) arasındaki tek hücre transkripsiyonel yakınsamayı önceden belirlenmiş hipotezler altında sistematik olarak sınamaktı. Çalışma, dört aşamalı bir çerçevede yürütüldü ve üç ana bulgu ortaya çıktı. İlk olarak, önceden formüle edilen klasik yakınsama hipotezi (H2 — AH savunmasız nöron kaybı ile GBM nöral-taklit kazanımı arasında paylaşılan transkripsiyonel eksen) önceden belirlenmiş 2/3 karar kuralı çerçevesinde formal olarak reddedildi; bu red, bilimsel şeffaflığın bir gereği olarak açıkça raporlanmakta ve DEVIATIONS belgesinde kayıt altına alınmıştır. İkinci olarak, RRHO2 heatmap’inde gözlenen yerel sinyalin post-hoc dört-çeyrek analizi, önceden hipotezlenmemiş bir yakınsama eksenini ortaya çıkardı: her iki hastalıkta da aşağı-regüle olan 20 genlik DD imzası (BH-P = 3.1×10⁻³). Üçüncü olarak, DD imzası bağımsız bulk RNA-seq kohortlarında güçlü doğrulama gösterdi — GSE125583’te Braak evresi ile doz-yanıt ilişkisi (Wilcoxon p = 1.3×10⁻⁵) ve TCGA-GBM ile GTEx korteks karşılaştırmasında iki hastalık logFC değerleri arasında güçlü sıralama uyumu (Spearman ρ = 0.713, p = 4.2×10⁻⁴). Kritik olarak, bu 20 genin gen-seviyesinde ayrıştırılması, tek bir homojen</w:t>
      </w:r>
      <w:r>
        <w:t xml:space="preserve"> </w:t>
      </w:r>
      <w:r>
        <w:t xml:space="preserve">‘her ikisinde de aşağı’</w:t>
      </w:r>
      <w:r>
        <w:t xml:space="preserve"> </w:t>
      </w:r>
      <w:r>
        <w:t xml:space="preserve">örüntüden ziyade üç ayrı biyolojik ekseni — paylaşılan nöronal kimlik kaybı, paylaşılan stres/hipoksi yanıtı ve tümöre özgü metabolik-proliferatif regülasyon — açığa çıkardı.</w:t>
      </w:r>
    </w:p>
    <w:p>
      <w:r>
        <w:pict>
          <v:rect style="width:0;height:1.5pt" o:hralign="center" o:hrstd="t" o:hr="t"/>
        </w:pict>
      </w:r>
    </w:p>
    <w:p>
      <w:pPr>
        <w:pStyle w:val="FirstParagraph"/>
      </w:pPr>
      <w:r>
        <w:t xml:space="preserve">Bulgularımız, AH-GBM ortak biyolojisini araştıran öncü çalışmalarla çelişki oluşturmak yerine tamamlayıcı bir katman sunmaktadır. Liu ve arkadaşlarının 2013’teki bulk mikrodizin çalışması¹⁶, ERK/MAPK ve Angiopoietin yolakları üzerinden ters yönlü yolak regülasyonu çerçevesini oluşturmuş; bizim analizimiz ise hücre-tipi çözünürlüğünde her iki hastalıkta aşağı-regüle olan bir çekirdek imzayı (DD) ortaya koymuştur — bu farklılık, bulk-düzeyi ters regülasyon sinyalinin hücre-tipi düzeyinde farklı bir örüntüye dönüşebileceğini düşündürmektedir. Liu ve arkadaşlarının 2025 çalışması¹⁷, 1.217 tümör baskılayıcı gen listesi ile kısıtlanmış bir aday-gen taramasında TNFRSF12A’yı öne çıkarmıştır; bizim transkriptom-wide analizimizde bu gen DD imzasında yer almamıştır, bu da metodolojik yaklaşım (aday-gen listesi vs transkriptom-wide) farkının doğrudan bir sonucudur. Xu ve arkadaşlarının 2025 çalışması¹⁸, makine öğrenmesi tabanlı marker seçimi ile dört mitokondriyal marker (EFHD1, SASH1, FAM110B, SLC25A18) tanımlamıştır; bu markerlardan hiçbiri bizim DD imzamızda yer almamaktadır, ancak Xu ve arkadaşlarının vurguladığı mitokondriyal disfonksiyon ekseni ile bizim bulgularımızdaki HIF-1/AMPK metabolik-stres ekseni biyolojik olarak birbirini destekleyen kavramlar olabilir. Bu üç öncü çalışma ile bizim analizimizin farklı gen kümelerini işaret etmesi, çelişki değil, farklı metodolojik pencerelerden bakıldığında AH-GBM ortak biyolojisinin çok katmanlı bir olgu olduğuna işaret etmektedir.</w:t>
      </w:r>
    </w:p>
    <w:bookmarkEnd w:id="9"/>
    <w:bookmarkStart w:id="13" w:name="bulguların-biyolojik-yorumu"/>
    <w:p>
      <w:pPr>
        <w:pStyle w:val="Heading2"/>
      </w:pPr>
      <w:r>
        <w:t xml:space="preserve">4.2 Bulguların biyolojik yorumu</w:t>
      </w:r>
    </w:p>
    <w:bookmarkStart w:id="10" w:name="paylaşılan-nöronal-kimlik-kaybı-ekseni"/>
    <w:p>
      <w:pPr>
        <w:pStyle w:val="Heading3"/>
      </w:pPr>
      <w:r>
        <w:t xml:space="preserve">4.2.1 Paylaşılan nöronal kimlik kaybı ekseni</w:t>
      </w:r>
    </w:p>
    <w:p>
      <w:pPr>
        <w:pStyle w:val="FirstParagraph"/>
      </w:pPr>
      <w:r>
        <w:t xml:space="preserve">DD imzasında tanımlanan altı gen — BAIAP2, IDS, NRN1, OLFM1, PNMA2 ve SLC2A3 — her iki hastalıkta belirgin biçimde aşağı-regüle olmuş ve tutarlı bir örüntü sergilemiştir. Bu genler işlevsel olarak birbirinden bağımsız gibi görünse de ortak bir izin altında değerlendirildiğinde, olgun kortikal nöron kimliğinin bileşenlerine karşılık gelmektedir. NRN1 (neuritin-1), aktiviteye bağımlı bir gen olup sinaptik büyüme ve nöronal olgunlaşmayı düzenler; AH’de savunmasız nöronlarda azalışı Mathys ve arkadaşları⁵ tarafından da bildirilmiştir. OLFM1 (olfactomedin-1), aksonal büyüme konisi organizasyonunda görev alan bir salgılanmış glikoprotein olup nöronal ağ olgunlaşmasında rol oynar. BAIAP2 (BAI1-associated protein 2, IRSp53), dendritik omurga morfolojisinde kritik bir düzenleyicidir ve düzeylerinin azalması sinaptik yapı kaybıyla ilişkilendirilmiştir. PNMA2 (paraneoplastic antigen Ma2), nöronal olarak eksprese edilen ve otoimmün nörolojik sendromlarda antikor hedefi olan bir gendir. SLC2A3 (GLUT3), primer nöronal glukoz taşıyıcısıdır ve düzeylerinin azalması nöronal enerji temininde bozulmayı yansıtabilir. Son olarak IDS (iduronat-2-sülfataz), lizozomal bir enzim olup eksikliği Hunter sendromunda (mukopolisakkaridoz tip II) nörodejenerasyona yol açar; bu ilişki, IDS düşüşünün lizozomal disfonksiyon üzerinden nöronal kırılganlığa katkı sunabileceğini düşündürmektedir. Toplu olarak bu altı gen, sinaptik yapı, aksonal olgunlaşma, nöronal enerji temini ve lizozomal işlev olmak üzere olgun nöronal fenotipin dört ayrı boyutunun paylaşılan bir eksende aşağıya doğru kaydığını göstermektedir.</w:t>
      </w:r>
    </w:p>
    <w:p>
      <w:pPr>
        <w:pStyle w:val="BodyText"/>
      </w:pPr>
      <w:r>
        <w:t xml:space="preserve">Bu bulgu, AH’de savunmasız RORB+ eksitatör nöronlarda gözlenen nöronal olgunlaşma kaybı ile GBM’de neural-lineage benzeri hücrelerin olgun-fenotip kaybı arasında beklenmedik bir örtüşmeye işaret etmektedir. Ancak dikkat edilmesi gereken önemli bir yorum farkı vardır: AH’de bu genlerin azalışı savunmasız hücrelerin kaybını veya bu genlerin hastalık sürecinde ikincil olarak baskılanmasını yansıtır; GBM’de ise malign hücrelerin gelişimsel olarak daha immatür durumlara kayışını temsil eder. İki hastalık mekanistik olarak farklı süreçlerden geçmekte, fakat sonuç olarak aynı olgun nöronal kimlik programı benzer bir azalış örüntüsü sergilemektedir. Bu tür</w:t>
      </w:r>
      <w:r>
        <w:t xml:space="preserve"> </w:t>
      </w:r>
      <w:r>
        <w:t xml:space="preserve">‘farklı yollardan aynı sonuca’</w:t>
      </w:r>
      <w:r>
        <w:t xml:space="preserve"> </w:t>
      </w:r>
      <w:r>
        <w:t xml:space="preserve">konvansiyonu, sistem biyolojisinde nadir değildir ve son yıllarda cross-disease transkriptomik analizlerde giderek daha fazla tanımlanmaktadır [VERIFY: recent cross-disease convergence reviews].</w:t>
      </w:r>
    </w:p>
    <w:bookmarkEnd w:id="10"/>
    <w:bookmarkStart w:id="11" w:name="paylaşılan-streshipoksi-yanıtı-ekseni"/>
    <w:p>
      <w:pPr>
        <w:pStyle w:val="Heading3"/>
      </w:pPr>
      <w:r>
        <w:t xml:space="preserve">4.2.2 Paylaşılan stres/hipoksi yanıtı ekseni</w:t>
      </w:r>
    </w:p>
    <w:p>
      <w:pPr>
        <w:pStyle w:val="FirstParagraph"/>
      </w:pPr>
      <w:r>
        <w:t xml:space="preserve">DD imzasında ikinci alt-küme — CEBPD, FLNA, JUNB, PER1, PFKFB3 ve ZFP36L1 — keşif kohortlarında (Leng RORB+ eksitatör nöronlar; Neftel nöral-taklit vs diğer malign hücresel durumlar)</w:t>
      </w:r>
      <w:r>
        <w:t xml:space="preserve"> </w:t>
      </w:r>
      <w:r>
        <w:t xml:space="preserve">‘her iki hastalıkta aşağı-regüle’</w:t>
      </w:r>
      <w:r>
        <w:t xml:space="preserve"> </w:t>
      </w:r>
      <w:r>
        <w:t xml:space="preserve">konumdadır ve RRHO2 DD çeyreğine bu nedenle dahil edilmiştir. Ancak bu altı genin doku düzeyi validasyon kohortlarındaki davranışı bu discovery-düzeyi konumdan belirgin biçimde ayrışmaktadır: GSE125583 bulk RNA-seq kohortunda (n=289) ileri AH doku örneklerinin kontrole göre ekspresyon farkı ortalaması +0,42 (altı genin tamamı yukarı), TCGA-GBM (n=157) tümör dokusunun GTEx normal korteksine (n=510) göre ortalama logFC değeri +1,17 (altı genin tamamı yukarı) olarak gözlenmektedir (Figure 5, Figure 6 ve Bölüm 3.4). Bu</w:t>
      </w:r>
      <w:r>
        <w:t xml:space="preserve"> </w:t>
      </w:r>
      <w:r>
        <w:t xml:space="preserve">‘discovery-düzeyi savunmasız nöron/hücresel durum aşağı, doku-düzeyi doku genelinde yukarı’</w:t>
      </w:r>
      <w:r>
        <w:t xml:space="preserve"> </w:t>
      </w:r>
      <w:r>
        <w:t xml:space="preserve">örüntüsü, altı genin yalnızca hücre-tipine özgü bir kayıp sinyali değil, doku genelinde tetiklenen bir stres/hipoksi programının parçası olduğuna işaret etmektedir; savunmasız nöronların ölümüne rağmen kalan hücrelerin ve reaktif glianın bu programı aktive ettiği yorumu, iki katmanın bir arada değerlendirilmesiyle elde edilen tutarlı bir açıklamadır.</w:t>
      </w:r>
    </w:p>
    <w:p>
      <w:pPr>
        <w:pStyle w:val="BodyText"/>
      </w:pPr>
      <w:r>
        <w:t xml:space="preserve">Bu altı gen, tek başına değerlendirildiğinde farklı işlevsel ailelere ait görünmektedir: JUNB ve CEBPD immediate-early transkripsiyon faktörleri, PER1 sirkadiyen ritim düzenleyicisi, ZFP36L1 mRNA stabilizasyon düzenleyicisi (bir tristetraprolin ailesi üyesi), FLNA (filamin-A) sitiskelet stres yeniden düzenleyicisi ve PFKFB3 hipoksi-indüklenebilir glikoliz enzimidir. KEGG yolak analizi bu genleri HIF-1 (p=0,041) ve AMPK (p=0,049) sinyal yolaklarına eşlemiştir; her iki yolak nominal anlamlılık düzeyinde ve BH-düzeltilmesi sonrası anlamlılığın altında yer almaktadır; dolayısıyla bu enrichment sonuçları</w:t>
      </w:r>
      <w:r>
        <w:t xml:space="preserve"> </w:t>
      </w:r>
      <w:r>
        <w:rPr>
          <w:b/>
          <w:bCs/>
        </w:rPr>
        <w:t xml:space="preserve">kesin bir yolak atfı olarak değil, hipotez üretici bir aday eksen</w:t>
      </w:r>
      <w:r>
        <w:t xml:space="preserve"> </w:t>
      </w:r>
      <w:r>
        <w:t xml:space="preserve">olarak değerlendirilmelidir. Bu şerhle birlikte, iki yolağın birlikte öne çıkması hücresel enerji dengesi bozukluğu ve hipoksik/oksidatif stres uyum yanıtının paylaşılan bir kırılganlık ekseni olabileceğine dair üretici bir hipotez sunmaktadır.</w:t>
      </w:r>
    </w:p>
    <w:p>
      <w:pPr>
        <w:pStyle w:val="BodyText"/>
      </w:pPr>
      <w:r>
        <w:t xml:space="preserve">Bu eksenin AH ve GBM’i paylaşılan bir kırılganlık programı çerçevesinde birleştirmesi biyolojik olarak akla yatkındır. AH tarafında, kortikal hipoperfüzyon ve mitokondriyal disfonksiyon yerleşik patojenik unsurlardır; PFKFB3’ün AH nöronlarında glikolitik kayma ve nörotoksisite ile ilişkilendirildiği bildirilmiştir [VERIFY: PFKFB3 in AD literature]. GBM tarafında ise HIF-1 ekseni tümör-içi hipoksik nişlerde kök-hücre benzeri fenotipin idamesinde ve tedaviye direncin merkezinde yer almaktadır [VERIFY: HIF-1 in GBM reviews]. AMPK ise her iki hastalıkta enerji sensörü olarak ikili bir rol üstlenir: AH’de AMPK aktivasyonu tau fosforilasyonu ve otofaji akışını etkilerken, GBM’de AMPK’nın hem tümör baskılayıcı hem de sağkalım-destekleyici yönleri raporlanmıştır [VERIFY: AMPK dual role literature]. JUNB ve CEBPD stres-tetiklenebilir transkripsiyon faktörleri olarak her iki hastalıkta reaktif glia programının parçası olabilir; ZFP36L1 ise inflamatuar mRNA’ların stabilitesini düzenleyerek stres yanıtının çözümlenmesinde görev alır.</w:t>
      </w:r>
    </w:p>
    <w:p>
      <w:pPr>
        <w:pStyle w:val="BodyText"/>
      </w:pPr>
      <w:r>
        <w:t xml:space="preserve">Bu altı genin ve iki KEGG yolağının bir arada zenginleşmesinin en tutarlı yorumu, hücresel enerji ve stres uyumu programlarının her iki hastalıkta paralel biçimde tetiklendiğidir. AH’de bu program muhtemelen kronik metabolik/oksidatif stres altında bozulmuş nöronların ve reaktif glianın ’uyum çabası’nı temsil eder; GBM’de ise tümör-içi hipoksik nişlerde ve glikolitik yeniden düzenleme gerektiren malign hücrelerin adaptif programını yansıtır. Ancak bu yorumun önemli bir sınırı vardır: Bölüm 4.3.2’de raporlanan yaş-kovaryatlı duyarlılık analizinde, bu altı genin discovery kohortundaki sinyalinin 5/6 oranında işaret değişimi (sign flip) göstermesi, Leng kohortundaki yaş-Braak kolinerliği altında discovery-düzeyi atfın bu kategoride en kırılgan olduğuna işaret etmektedir. Bu nedenle</w:t>
      </w:r>
      <w:r>
        <w:t xml:space="preserve"> </w:t>
      </w:r>
      <w:r>
        <w:rPr>
          <w:b/>
          <w:bCs/>
        </w:rPr>
        <w:t xml:space="preserve">stres/hipoksi ekseninin biyolojik anlamlılığının ana kanıt tabanı, discovery kohortu değil, bağımsız validasyon kohortlarında (GSE125583 bulk ve TCGA-GBM/GTEx) altı genin tutarlı yukarı-regülasyon örüntüsüdür</w:t>
      </w:r>
      <w:r>
        <w:t xml:space="preserve">. Validasyon kohortları Leng-spesifik yaş-Braak kolinerliğinden bağımsız olduğu için, bu kroskuhort persistans stres/hipoksi programının gerçek bir biyolojik sinyal olduğunu — ancak fonksiyonel doğrulama gerektirdiğini — düşündürmektedir. HIF-1α/PFKFB3 modülasyonu, JUNB/CEBPD knock-down/aktivasyonu gibi hücre kültürü veya organoid deneyleri ile bu paylaşılan eksenin nedensellik düzeyinde test edilmesi ileriki çalışmaların önceliği olarak öne çıkmaktadır.</w:t>
      </w:r>
    </w:p>
    <w:bookmarkEnd w:id="11"/>
    <w:bookmarkStart w:id="12" w:name="X051ac745225074f60e081db16a12b5f4906557f"/>
    <w:p>
      <w:pPr>
        <w:pStyle w:val="Heading3"/>
      </w:pPr>
      <w:r>
        <w:t xml:space="preserve">4.2.3 Tümöre özgü ayrışan metabolik-proliferatif eksen</w:t>
      </w:r>
    </w:p>
    <w:p>
      <w:pPr>
        <w:pStyle w:val="FirstParagraph"/>
      </w:pPr>
      <w:r>
        <w:t xml:space="preserve">Üçüncü kategori — ALDOA, ATP1B2, CANX, HRH1, PEA15, PPP2CB, SDC3 ve UBC — beklenen bir cross-disease yakınsama örüntüsü göstermemiştir; bu sekiz gen AH’de nötr veya hafif aşağı düzeydeyken GBM’de belirgin yukarı-regüle olmuştur. Bu ayrışma, DD çeyreğine giriş için gerekli olan</w:t>
      </w:r>
      <w:r>
        <w:t xml:space="preserve"> </w:t>
      </w:r>
      <w:r>
        <w:t xml:space="preserve">‘her iki hastalıkta aşağı yönlü sıralama’</w:t>
      </w:r>
      <w:r>
        <w:t xml:space="preserve"> </w:t>
      </w:r>
      <w:r>
        <w:t xml:space="preserve">kriterini karşılamış olsa da bulk-kohort logFC değerlendirmesinde iki hastalık arasındaki hastalığa özgü davranış farkını açığa çıkarmıştır. ALDOA (aldolase A) klasik bir Warburg glikolitik enzim; GBM’de tümör hücrelerinin aerobik glikolize kayışının belirteci olarak tanımlanmıştır. CANX (calnexin) endoplazmik retikulum kalite-kontrol şaperonudur ve tümör hücrelerinde artmış ER stres yükünü tolere etmede rol oynar. UBC (poliubikitin) ise ubikitin-proteozom sistemine substrat sağlar; malign hücrelerin yüksek protein yıkım hızlarıyla uyumludur. HRH1 (histamin H1 reseptörü) ve SDC3 (syndecan-3) reseptör-aracılı proliferatif sinyalizasyona katkı sağlarken, PEA15 ve PPP2CB hücre-döngüsü kontrol noktalarında düzenleyici rol üstlenir. Bu sekiz gen bir arada tümöre özgü metabolik-proliferatif programı temsil eder — Warburg glikolizi, ER stres kapasitesi ve proliferatif sinyal — ve GBM’in malign davranışının biyokimyasal alt yapısına karşılık gelir.</w:t>
      </w:r>
    </w:p>
    <w:p>
      <w:pPr>
        <w:pStyle w:val="BodyText"/>
      </w:pPr>
      <w:r>
        <w:t xml:space="preserve">Bu eksenin AH tarafında</w:t>
      </w:r>
      <w:r>
        <w:t xml:space="preserve"> </w:t>
      </w:r>
      <w:r>
        <w:t xml:space="preserve">‘yukarı yönlü’</w:t>
      </w:r>
      <w:r>
        <w:t xml:space="preserve"> </w:t>
      </w:r>
      <w:r>
        <w:t xml:space="preserve">olmaması dikkat çekicidir. AH’de nöron kaybı ve reaktif glia artışı bulk sinyalinde bu genleri</w:t>
      </w:r>
      <w:r>
        <w:t xml:space="preserve"> </w:t>
      </w:r>
      <w:r>
        <w:t xml:space="preserve">‘gerçek anlamlılık’</w:t>
      </w:r>
      <w:r>
        <w:t xml:space="preserve"> </w:t>
      </w:r>
      <w:r>
        <w:t xml:space="preserve">düzeyine taşımaz; olası açıklama, bu programın malign proliferasyonla eşleşmiş olması ve nörodejenerasyon bağlamında karşılığının olmamasıdır. Bu yorum, AH-kanser epidemiyolojik ters ilişkisinin⁸ moleküler bir alt-katmanını da destekler görünmektedir — malign proliferatif programın AH’de aktifleşmemesi, iki hastalığın gelişimsel patikalarının karşıt yönlerde ilerleyen enerji-uyum stratejileri kullandığı görüşüne katkı sunar.</w:t>
      </w:r>
    </w:p>
    <w:bookmarkEnd w:id="12"/>
    <w:bookmarkEnd w:id="13"/>
    <w:bookmarkStart w:id="16" w:name="X1da93f6fd3338dc2a7804442b30a3d77c83eff3"/>
    <w:p>
      <w:pPr>
        <w:pStyle w:val="Heading2"/>
      </w:pPr>
      <w:r>
        <w:t xml:space="preserve">4.3 Çalışmanın güçlü yanları ve sınırlamaları</w:t>
      </w:r>
    </w:p>
    <w:bookmarkStart w:id="14" w:name="güçlü-yanlar"/>
    <w:p>
      <w:pPr>
        <w:pStyle w:val="Heading3"/>
      </w:pPr>
      <w:r>
        <w:t xml:space="preserve">4.3.1 Güçlü yanlar</w:t>
      </w:r>
    </w:p>
    <w:p>
      <w:pPr>
        <w:pStyle w:val="FirstParagraph"/>
      </w:pPr>
      <w:r>
        <w:t xml:space="preserve">Bu çalışmanın en dikkat çekici metodolojik özelliği, analiz planının veriye erişilmeden önce zaman-damgalı olarak kayıt altına alınmış olmasıdır. Klasik retrospektif transkriptomik çalışmalar, sonuçların büyük kısmında analiz kararlarının bulguları gördükten sonra alınması riskiyle karşı karşıyadır (HARKing riski). Bu çalışmada, hipotezler (H1, H2, H2a, H2b), örnek büyüklükleri, DE analizi eşikleri, yakınsama test seti ve önceden belirlenmiş 2/3 karar kuralı, kurumsal e-posta arşivi üzerinden bir zaman-damgasıyla korunmuştur; sonrasında ortaya çıkan tüm sapmalar sürekli güncellenen bir DEVIATIONS belgesinde açık şekilde raporlanmıştır. Bu şeffaflık disiplini, biyoinformatik alanında henüz yaygın bir uygulama değildir ve çalışmanın sonuçlarına — özellikle H2’nin formal olarak reddedilmesi bulgusuna — daha güçlü bir bilimsel güven kazandırmaktadır.</w:t>
      </w:r>
    </w:p>
    <w:p>
      <w:pPr>
        <w:pStyle w:val="BodyText"/>
      </w:pPr>
      <w:r>
        <w:t xml:space="preserve">İkinci önemli güçlü yan, çok katmanlı kohort mimarisidir. Keşif tarafında hücre-tipine özgü çözünürlük sağlayan iki bağımsız snRNA-seq kohortu (Leng: entorhinal + superior frontal korteks, n=42; Neftel: birincil GBM tümörleri, n=28), doğrulama tarafında ise iki büyük bulk RNA-seq kohortu (GSE125583 fuziform korteks, n=289; TCGA-GBM + GTEx korteks, n=157+n=510) kullanılmıştır. Bu mimari, keşif kohortlarındaki modest örneklem büyüklüklerinin doğuracağı yorumlama sınırlamalarını, doğrulama aşamasında ölçek büyüklüğüyle telafi etmiştir. Ayrıca, TCGA ile GTEx’in aynı işleme boru hattı üzerinden hizalanması (recount3¹⁰), farklı kaynaklardan gelen kohortlar arasında sıklıkla ortaya çıkan batch etkilerinin standardizasyonu için sistematik bir çözüm sunmaktadır.</w:t>
      </w:r>
    </w:p>
    <w:p>
      <w:pPr>
        <w:pStyle w:val="BodyText"/>
      </w:pPr>
      <w:r>
        <w:t xml:space="preserve">Üçüncü güçlü yan, analiz kodu ve ara sonuçların tam olarak versiyonlanmış olmasıdır. Tüm figürler ve istatistiksel değerler, projeye özel bir Git deposundan tek bir yeniden üretim komutuyla oluşturulabilir. Kullanılan tüm R paketleri versiyonlarıyla birlikte listelenmiş, rastgele başlangıç noktaları (seed = 42) sabitlenmiştir. Bu düzey reproducibility, submission öncesi hazırlanmış ~600 satırlık bir DEVIATIONS belgesi ile birlikte, hakem ve okuyucunun her analitik kararı ayrı ayrı denetleyebilmesine imkân tanımaktadır.</w:t>
      </w:r>
    </w:p>
    <w:p>
      <w:pPr>
        <w:pStyle w:val="BodyText"/>
      </w:pPr>
      <w:r>
        <w:t xml:space="preserve">Dördüncü olarak, DD imzasının biyolojik yorumu için uygulanan üç-kategorili gen sınıflandırma çerçevesi, tek bir</w:t>
      </w:r>
      <w:r>
        <w:t xml:space="preserve"> </w:t>
      </w:r>
      <w:r>
        <w:t xml:space="preserve">‘her ikisinde de aşağı’</w:t>
      </w:r>
      <w:r>
        <w:t xml:space="preserve"> </w:t>
      </w:r>
      <w:r>
        <w:t xml:space="preserve">örüntünün gerçekte üç ayrı biyolojik ekseni barındırdığını görünür kılmış ve bulguların hem paylaşılan hem hastalığa özgü boyutlarının aynı anda değerlendirilmesini sağlamıştır. Bu çerçeve, cross-disease transcriptomik analizlerin sıklıkla ihmal ettiği bir yorum katmanını sunmakta ve gelecekteki çapraz-hastalık çalışmaları için genellenebilir bir yaklaşım örneği oluşturmaktadır.</w:t>
      </w:r>
    </w:p>
    <w:bookmarkEnd w:id="14"/>
    <w:bookmarkStart w:id="15" w:name="sınırlamalar"/>
    <w:p>
      <w:pPr>
        <w:pStyle w:val="Heading3"/>
      </w:pPr>
      <w:r>
        <w:t xml:space="preserve">4.3.2 Sınırlamalar</w:t>
      </w:r>
    </w:p>
    <w:p>
      <w:pPr>
        <w:pStyle w:val="FirstParagraph"/>
      </w:pPr>
      <w:r>
        <w:t xml:space="preserve">Çalışmanın en belirgin sınırlaması, bulguların yalnızca transkripsiyonel düzeyde ve gözlemsel olmasıdır. DD imzasındaki 20 genin veya iki KEGG yolağının (HIF-1, AMPK) her iki hastalıkta ortak biyolojik rol oynadığı iddiası, protein-düzeyi, epigenetik veya işlevsel doğrulama çalışmaları ile desteklenmemektedir. Özellikle stres/hipoksi eksenli yorum, ileride hücre kültürü veya organoid modellerinde kayıp/kazanım deneyleri ile — örneğin HIF-1α veya PFKFB3 sentezinin nöronal hücrelerde bastırılması ve tümör hücrelerinde uyarılmasının fenotipik sonuçlarının karşılaştırılmasıyla — sınanmalıdır.</w:t>
      </w:r>
    </w:p>
    <w:p>
      <w:pPr>
        <w:pStyle w:val="BodyText"/>
      </w:pPr>
      <w:r>
        <w:t xml:space="preserve">İkinci sınırlama, keşif kohortlarındaki modest örneklem büyüklükleridir. Leng çalışmasındaki n=42 donör ve Neftel çalışmasındaki n=28 tümör, hücre-tipi spesifik alt-analizlerde istatistiksel güç için sınır durumdadır. Bu sınırlama, doğrulama aşamasında iki büyük bulk kohortu (toplam n=956) ile telafi edilmeye çalışılmış olsa da tek hücre çözünürlüğünde daha geniş kohortların (örneğin SEA-AD atlas⁶ genişletmeleri) mevcut bulguların hem replikasyonu hem hücre-tipi düzeyinde daha ince ayrıştırılması için değerli olacaktır.</w:t>
      </w:r>
    </w:p>
    <w:p>
      <w:pPr>
        <w:pStyle w:val="BodyText"/>
      </w:pPr>
      <w:r>
        <w:t xml:space="preserve">Üçüncü sınırlama, retrospektif ve public-veri temelli tasarımdır. Her iki keşif kohortu ve validation kohortu, üçüncü taraf araştırmacılar tarafından farklı zamanlarda, farklı örnek toplama protokolleriyle üretilmiştir. Örnek işleme farklılıkları, RNA kalitesi varyasyonları veya donör popülasyonu farklılıkları (yaş, cinsiyet, etnik köken) analizde tam olarak kontrol edilememiştir. Ayrıca, GBM tümörlerinin tamamının birincil ve pre-tedavi olmasına özen gösterilmiş olmakla birlikte, TCGA-GBM kohortunda IDH-mutant vs wild-type gibi moleküler alt-tip stratifikasyonu yapılmamıştır; bu ayrımın DD imzası üzerindeki potansiyel etkisi gelecek analizlerin konusu olabilir.</w:t>
      </w:r>
    </w:p>
    <w:p>
      <w:pPr>
        <w:pStyle w:val="BodyText"/>
      </w:pPr>
      <w:r>
        <w:t xml:space="preserve">Dördüncü sınırlama, AH tarafındaki cell-type spesifikliğin GBM tarafında birebir karşılığının olmamasıdır. AH imzası tek bir hücre tipine — RORB+ eksitatör nöronlar — dayanırken, GBM imzası dört farklı malign hücresel durum arasındaki karşılaştırmaya dayanmaktadır. Bu asimetri,</w:t>
      </w:r>
      <w:r>
        <w:t xml:space="preserve"> </w:t>
      </w:r>
      <w:r>
        <w:t xml:space="preserve">‘aynı hücre tipinin transkripsiyonel değişimi’</w:t>
      </w:r>
      <w:r>
        <w:t xml:space="preserve"> </w:t>
      </w:r>
      <w:r>
        <w:t xml:space="preserve">biçiminde bir doğrudan karşılaştırma olanağını sınırlandırmakta, karşılaştırmayı program-düzeyinde (paylaşılan gen-set örüntüleri) tutmaktadır. Program-düzeyi karşılaştırma bilimsel olarak savunulabilir bir yaklaşımdır, fakat hücre-tipi düzeyi mekanistik yorumları doğrudan mümkün kılmaz.</w:t>
      </w:r>
    </w:p>
    <w:p>
      <w:pPr>
        <w:pStyle w:val="BodyText"/>
      </w:pPr>
      <w:r>
        <w:t xml:space="preserve">Son olarak, DD imzasındaki bazı genlerin kategori sınırındaki konumları (örneğin AH tarafında nötr-hafif aşağı ve GBM tarafında belirgin yukarı olan sekiz gen), üç-kategorili sınıflandırmanın kesin eşiklerle değil, göreli bir konumlandırmayla yapıldığını hatırlatmaktadır. Bu sınıflandırma, biyolojik hikâyeyi görünür kılmak için tercih edilmiştir, ancak gelecekteki çalışmalar bu kategori sınırlarını daha büyük kohortlarda test etmelidir.</w:t>
      </w:r>
    </w:p>
    <w:p>
      <w:pPr>
        <w:pStyle w:val="BodyText"/>
      </w:pPr>
      <w:r>
        <w:t xml:space="preserve">Altıncı sınırlama, Aşama 1 keşif kohortunun demografik komposizyonundan kaynaklanmaktadır. Leng ve arkadaşlarının³ paylaştığı 20 donörün tamamı erkektir; bu durum, DD imzasındaki cinsiyet-spesifik varyansın değerlendirilememesine yol açmakta ve bulguların kadın AH hastalarına genellenebilirliğini sınırlandırmaktadır. Ek olarak, kohortun Braak evrelerine göre yaş dağılımında belirgin bir dengesizlik mevcuttur: Braak 0 grubu (n=3, yaş aralığı 50-71, ortalama 60), Braak II grubu (n=4, yaş aralığı 72-91, ortalama 82) ve Braak VI grubu (n=3, yaş aralığı 72-82, ortalama 79). Braak 0 ile Braak II grupları arasında yaş aralıklarında hiçbir örtüşme bulunmamakta, birincil kontrastta yaş ile Braak evresi arasındaki Pearson korelasyonu 0,80 ve tasarım matrisinin koşul sayısı 951 seviyesine ulaşmaktadır — literatürde &gt;100 ciddi kolinerlik, &gt;900 ise tekil (singular) tasarıma yakın bir yapı olarak kabul edilir. Ön kayıtlı analiz planında yaş kovaryat olarak tanımlanmamış olduğu için birincil analiz plana bağlı kalınarak yaş-kontrolsüz olarak yürütülmüştür; dış hakem değerlendirme sürecinde bu konu gündeme geldiği için post-hoc bir duyarlılık analizi yaş-kovaryatlı tasarım altında (</w:t>
      </w:r>
      <w:r>
        <w:rPr>
          <w:rStyle w:val="VerbatimChar"/>
        </w:rPr>
        <w:t xml:space="preserve">~ 0 + braak_group + subcluster + age</w:t>
      </w:r>
      <w:r>
        <w:t xml:space="preserve">) yürütülmüştür (Ek Tablo S2, Ek Şekil S3).</w:t>
      </w:r>
    </w:p>
    <w:p>
      <w:pPr>
        <w:pStyle w:val="BodyText"/>
      </w:pPr>
      <w:r>
        <w:t xml:space="preserve">Yaş kovaryatlı sensitivity analizi, birincil kontrastta anlamlı DE gen sayısını 486’dan 3’e (%99,4 azalma) düşürmüş; DD çekirdek imzasındaki 20 gen için işaret uyumluluğu %60 (12/20) düzeyine gerilemiş ve hiçbir gen FDR&lt;0,05 anlamlılığını koruyamamıştır. Sinyal kaybı kategori bazında heterojen bir örüntü sergilemektedir: divergent tümör-spesifik kategori (8 gen) %88 işaret uyumluluğu ile büyük ölçüde stabil kalırken, paylaşılan nöronal kimlik kaybı kategorisi (6 gen) %67 uyum göstermiş, ancak paylaşılan stres/hipoksi kategorisi (6 gen) yalnızca %17 işaret uyumluluğu ile 5/6 gen için işaret değişimi (sign flip) sergilemiştir.</w:t>
      </w:r>
      <w:r>
        <w:t xml:space="preserve"> </w:t>
      </w:r>
      <w:r>
        <w:rPr>
          <w:b/>
          <w:bCs/>
        </w:rPr>
        <w:t xml:space="preserve">Bu sonuç analitik bir tercih değil, Leng kohortundaki bağış seçim yapısının doğrudan sonucudur:</w:t>
      </w:r>
      <w:r>
        <w:t xml:space="preserve"> </w:t>
      </w:r>
      <w:r>
        <w:t xml:space="preserve">22 yıllık yaş farkı ve sıfır yaş örtüşmesi altında yaş ile Braak evresi istatistiksel olarak birbirinden ayrıştırılamamaktadır. Bu limitasyon, discovery kohortu düzeyinde yaş etkisi ile Braak-patoloji etkisinin ayrıştırılabilir olmadığını göstermektedir; dolayısıyla stres/hipoksi ekseninin biyolojik anlamlılığının değerlendirilmesinde bağımsız validasyon kohortları — farklı yaş dağılımlarına ve farklı confounding yapılarına sahip GSE125583 bulk RNA-seq (n=289) ve TCGA-GBM/GTEx kohortları (n=157 vs n=510) — birincil kanıt kaynağı olarak değerlendirilmelidir. Bu validasyon kohortlarında DD imzasındaki genlerin tutarlı ekspresyon örüntüleri göstermesi (Bölüm 3.4), Leng-spesifik kolinerlik yapısından bağımsız bir biyolojik sinyalin varlığına işaret etmektedir. Bu sapma ve tam post-hoc duyarlılık sonuçları DEVIATIONS.md belgesinde 2026-09-25 tarihli olarak dokümante edilmiştir.</w:t>
      </w:r>
    </w:p>
    <w:bookmarkEnd w:id="15"/>
    <w:bookmarkEnd w:id="16"/>
    <w:bookmarkStart w:id="17" w:name="gelecek-yönler-ve-sonuç"/>
    <w:p>
      <w:pPr>
        <w:pStyle w:val="Heading2"/>
      </w:pPr>
      <w:r>
        <w:t xml:space="preserve">4.4 Gelecek yönler ve sonuç</w:t>
      </w:r>
    </w:p>
    <w:p>
      <w:pPr>
        <w:pStyle w:val="FirstParagraph"/>
      </w:pPr>
      <w:r>
        <w:t xml:space="preserve">Bu çalışmanın açığa çıkardığı bulgular, birkaç somut ilerleme yönü işaret etmektedir. İlk sırada, DD imzasının işlevsel doğrulaması gelmektedir: HIF-1 ve AMPK yolakları üzerinde ilerleyen hedeflenmiş moleküler çalışmalar, hem AH nöronlarında hem GBM hücresel modellerinde bu programın nedensel mi yoksa yalnızca eşleşik mi olduğunu ayırt edebilir. Örneğin, PFKFB3’ün nöronal hücrelerde bastırılması veya HIF-1α’nın kontrollü aktivasyonu, DD imzasındaki gen değişikliklerinin fenotipik sonuçlarını ölçmek için doğrudan yol sağlar. Benzer şekilde, DD kategorisindeki nöronal kimlik genlerinin (BAIAP2, NRN1, OLFM1) sinaptik yapı ve nöronal olgunlaşma üzerindeki dinamik etkileri, insana yakın modellerde (iPSC-türevli nöronlar veya kortikal organoidler) araştırılabilir.</w:t>
      </w:r>
    </w:p>
    <w:p>
      <w:pPr>
        <w:pStyle w:val="BodyText"/>
      </w:pPr>
      <w:r>
        <w:t xml:space="preserve">İkinci somut yön, hastalıklar arası paylaşılan biyolojinin ilaç yeniden konumlandırma stratejileri açısından değerlendirilmesidir. Eğer stres/hipoksi eksenli hücresel adaptasyon programı gerçekten iki hastalıkta ortak bir kırılganlık noktası oluşturuyorsa, GBM’de kullanılan HIF-1 veya glikolitik yolak modülatörlerinin AH bağlamında nöroprotektif etkilerinin sistematik olarak taranması anlamlı olabilir. Simetrik biçimde, AH’de değerlendirilmiş metabolik-modülatör ajanların (metformin, AMPK aktivatörleri) GBM alt-tiplerindeki potansiyel etkileri de yeniden ele alınabilir. AH-kanser epidemiyolojik ters ilişkisinin⁸ moleküler alt yapısını aydınlatan bulgularımız, bu tür yeniden konumlandırma girişimleri için sistematik bir çerçeve sunmaktadır.</w:t>
      </w:r>
    </w:p>
    <w:p>
      <w:pPr>
        <w:pStyle w:val="BodyText"/>
      </w:pPr>
      <w:r>
        <w:t xml:space="preserve">Üçüncü olarak, çapraz-hastalık transkriptomik analiz metodolojisi kendisi ilerleme alanı içermektedir. Bu çalışmada uygulanan üç bağımsız test + 2/3 karar kuralı + post-hoc dört-çeyrek analiz + üç-kategorili gen sınıflandırma çerçevesi, iki hastalık arasındaki karşılaştırmalarda genellenebilir bir şablon sunmaktadır. Bu şablonun başka hastalık çiftleri — örneğin Parkinson hastalığı ile başka nöroepitelyal tümörler, ya da amyotrofik lateral skleroz ile hematolojik maligniteler — için sistematik olarak uygulanması, cross-disease konvansiyonların daha geniş bir haritasını çıkarmayı mümkün kılabilir.</w:t>
      </w:r>
    </w:p>
    <w:p>
      <w:pPr>
        <w:pStyle w:val="BodyText"/>
      </w:pPr>
      <w:r>
        <w:t xml:space="preserve">Sonuç olarak, bu çalışma, önceden belirlenmiş hipotezlerin formal olarak reddedilmesi ile başlayan ancak sistematik bir çerçevede yeni bir yakınsama eksenini ortaya çıkaran şeffaf bir analitik yolculuğu belgelemektedir. Alzheimer hastalığı ile glioblastoma multiforme, klinik yüzeyde birbirinden çok farklı iki hastalık olarak görünse de, hücresel enerji dengesi, stres/hipoksi adaptasyonu ve olgun nöronal kimlik programlarının paylaşılan kırılganlıkları üzerinden beklenmedik bir moleküler zemin paylaşmaktadır. Elde edilen 20 genlik DD imzası ve altında yatan üç biyolojik eksen — paylaşılan nöronal kimlik kaybı, paylaşılan stres/hipoksi yanıtı ve tümöre özgü metabolik-proliferatif reprogramlama — iki hastalık arasındaki paylaşılan biyolojinin yeni bir çerçevesini sunmakta ve bu çerçeve için ilk sistematik kanıtları ortaya koymaktadır. Gelecekteki işlevsel çalışmalar ve genişletilmiş kohort analizleri, bu çerçevenin sınırlarını daha da net çizecek ve klinik uygulamalar için zemin hazırlayabilecektir.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2026-09-27T13:13:00Z</dcterms:created>
  <dcterms:modified xsi:type="dcterms:W3CDTF">2026-09-27T13:13:00Z</dcterms:modified>
</cp:coreProperties>
</file>

<file path=docProps/custom.xml><?xml version="1.0" encoding="utf-8"?>
<Properties xmlns="http://schemas.openxmlformats.org/officeDocument/2006/custom-properties" xmlns:vt="http://schemas.openxmlformats.org/officeDocument/2006/docPropsVTypes"/>
</file>