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4" Type="http://schemas.openxmlformats.org/officeDocument/2006/relationships/extended-properties" Target="docProps/app.xml"/><Relationship Id="rId3" Type="http://schemas.openxmlformats.org/package/2006/relationships/metadata/core-properties" Target="docProps/core.xml"/><Relationship Id="rId5" Type="http://schemas.openxmlformats.org/officeDocument/2006/relationships/custom-properties" Target="docProps/custom.xml"/></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9" w:name="yöntem"/>
    <w:p>
      <w:pPr>
        <w:pStyle w:val="Heading1"/>
      </w:pPr>
      <w:r>
        <w:t xml:space="preserve">2. Yöntem</w:t>
      </w:r>
    </w:p>
    <w:bookmarkStart w:id="20" w:name="X84e73031c38c50030356279d8ebc122eca3c29e"/>
    <w:p>
      <w:pPr>
        <w:pStyle w:val="Heading2"/>
      </w:pPr>
      <w:r>
        <w:t xml:space="preserve">2.1 Ön-belirlenmiş analiz planı ve sapma kaydı</w:t>
      </w:r>
    </w:p>
    <w:p>
      <w:pPr>
        <w:pStyle w:val="FirstParagraph"/>
      </w:pPr>
      <w:r>
        <w:t xml:space="preserve">Bu çalışmanın hipotezleri, karar kuralları, eşikleri ve olası sonuçlara göre yayın senaryoları, herhangi bir veri analizine başlanmadan önce bir analiz planında tanımlanmıştır (Ek Dosya 1). Plan, 20 Eylül 2026 tarihinde projenin git deposuna ilk commit olarak işlenmiş (commit 3fcf8d1) ve o tarihten sonra değiştirilmemiştir. Planda öngörülen, planın analiz öncesinde kamuya açık bir depoya yüklenmesi adımı gerçekleştirilmemiştir; depo, tüm commit geçmişiyle birlikte makale ile eşzamanlı olarak kamuya açılmıştır </w:t>
      </w:r>
      <w:r>
        <w:rPr>
          <w:highlight w:val="yellow"/>
        </w:rPr>
        <w:t>[KONTROL: depo adresi / Zenodo DOI]</w:t>
      </w:r>
      <w:r>
        <w:rPr/>
        <w:t>. Bu nedenle commit zaman damgaları yazar tarafından sağlanmıştır ve bağımsız bir kayıt sistemi tarafından doğrulanmamıştır; çalışma, resmi bir ön-kayıt (ör. OSF) yerine yerel olarak zaman damgalanmış bir ön-belirlenmiş analiz planına dayanmaktadır.</w:t>
      </w:r>
    </w:p>
    <w:p>
      <w:pPr>
        <w:pStyle w:val="BodyText"/>
      </w:pPr>
      <w:r>
        <w:t xml:space="preserve">Plandan her sapma, gerekçesi ve etkilenen analizlerle birlikte tarihli olarak bir sapma kaydında (DEVIATIONS.md; Ek Dosya 2) belgelenmiştir. Analizin ilerleyen aşamasında yürütülen bir plan uyum denetimi, birincil analiz uygulamasının plandan bazı noktalarda belgelenmeden ayrıldığını ortaya koymuştur (Bölüm 2.7 ve Tablo 2). Bu denetimin ardından tüm hipotez testleri plana uygun biçimde yeniden yürütülmüştür. Yeniden yürütülen her analiz için analiz kararları, sonuçlar üretilmeden önce bir betik başlığına yazılmış ve commit edilmiştir; sonuç commit’leri her zaman ilgili karar commit’lerinden sonra gelmektedir. Tek istisna Aşama 1’dir: bu aşamanın kodu konsolda yürütülmüş ve betik dosyası yürütmeden birkaç dakika sonra, sonuçlar incelenmeden önce aynı içerikle oluşturulup commit edilmiştir (sapma kaydında belgelenmiştir).</w:t>
      </w:r>
    </w:p>
    <w:p>
      <w:pPr>
        <w:pStyle w:val="BodyText"/>
      </w:pPr>
      <w:r>
        <w:t xml:space="preserve">Çalışma iki hipotezi test etmektedir. Birincil hipotez (H1), Alzheimer hastalığı (AH) ile glioblastoma multiforme (GBM) arasında bulk transkriptomik düzeyde bildirilen paylaşılan farklı ifade edilen genlerin (DEG) hücre kompozisyonu kontrol edildiğinde belirgin biçimde azaldığını ve bu azalmanın dekonvolüsyon yönteminden bağımsız olduğunu öne sürmektedir. İkincil hipotez (H2), bulk düzeyde kalan paylaşılan nöronal program sinyalinin, AH’de savunmasız RORB+ entorinal korteks eksitatör nöronlarının transkripsiyonel kimliği ile GBM’deki nöral soy benzeri (NPC-benzeri ve OPC-benzeri) malign hücre durumlarının transkripsiyonel kimliği arasındaki örtüşmeyi yansıttığını öne sürmektedir.</w:t>
      </w:r>
    </w:p>
    <w:bookmarkEnd w:id="20"/>
    <w:bookmarkStart w:id="21" w:name="veri-kaynakları"/>
    <w:p>
      <w:pPr>
        <w:pStyle w:val="Heading2"/>
      </w:pPr>
      <w:r>
        <w:t xml:space="preserve">2.2 Veri kaynakları</w:t>
      </w:r>
    </w:p>
    <w:p>
      <w:pPr>
        <w:pStyle w:val="FirstParagraph"/>
      </w:pPr>
      <w:r>
        <w:t xml:space="preserve">Kullanılan veri setleri ve analizdeki rolleri Tablo 1’de özetlenmiştir. Tüm veri setleri kamuya açıktır.</w:t>
      </w:r>
    </w:p>
    <w:p>
      <w:pPr>
        <w:pStyle w:val="BodyText"/>
      </w:pPr>
      <w:r>
        <w:rPr>
          <w:bCs/>
          <w:b/>
        </w:rPr>
        <w:t xml:space="preserve">Tablo 1.</w:t>
      </w:r>
      <w:r>
        <w:t xml:space="preserve"> </w:t>
      </w:r>
      <w:r>
        <w:t xml:space="preserve">Veri kaynakları.</w:t>
      </w:r>
    </w:p>
    <w:tbl>
      <w:tblPr>
        <w:tblStyle w:val="Table"/>
        <w:tblW w:type="pct" w:w="5000"/>
        <w:tblLook w:firstRow="1" w:lastRow="0" w:firstColumn="0" w:lastColumn="0" w:noHBand="0" w:noVBand="0" w:val="0020"/>
        <w:jc w:val="start"/>
        <w:tblBorders>
          <w:top w:val="single" w:sz="4" w:color="808080"/>
          <w:left w:val="single" w:sz="4" w:color="808080"/>
          <w:bottom w:val="single" w:sz="4" w:color="808080"/>
          <w:right w:val="single" w:sz="4" w:color="808080"/>
          <w:insideH w:val="single" w:sz="4" w:color="808080"/>
          <w:insideV w:val="single" w:sz="4" w:color="808080"/>
        </w:tblBorders>
      </w:tblPr>
      <w:tblGrid>
        <w:gridCol w:w="1980"/>
        <w:gridCol w:w="1980"/>
        <w:gridCol w:w="1980"/>
        <w:gridCol w:w="1980"/>
      </w:tblGrid>
      <w:tr>
        <w:trPr>
          <w:tblHeader w:val="true"/>
        </w:trPr>
        <w:tc>
          <w:tcPr/>
          <w:p>
            <w:pPr>
              <w:pStyle w:val="Compact"/>
              <w:spacing w:line="240" w:lineRule="auto" w:after="0"/>
              <w:jc w:val="left"/>
            </w:pPr>
            <w:r>
              <w:rPr>
                <w:rFonts w:ascii="Times New Roman" w:hAnsi="Times New Roman"/>
                <w:b/>
                <w:sz w:val="20"/>
              </w:rPr>
              <w:t xml:space="preserve">Veri seti</w:t>
            </w:r>
          </w:p>
        </w:tc>
        <w:tc>
          <w:tcPr/>
          <w:p>
            <w:pPr>
              <w:pStyle w:val="Compact"/>
              <w:spacing w:line="240" w:lineRule="auto" w:after="0"/>
              <w:jc w:val="left"/>
            </w:pPr>
            <w:r>
              <w:rPr>
                <w:rFonts w:ascii="Times New Roman" w:hAnsi="Times New Roman"/>
                <w:b/>
                <w:sz w:val="20"/>
              </w:rPr>
              <w:t xml:space="preserve">Platform</w:t>
            </w:r>
          </w:p>
        </w:tc>
        <w:tc>
          <w:tcPr/>
          <w:p>
            <w:pPr>
              <w:pStyle w:val="Compact"/>
              <w:spacing w:line="240" w:lineRule="auto" w:after="0"/>
              <w:jc w:val="left"/>
            </w:pPr>
            <w:r>
              <w:rPr>
                <w:rFonts w:ascii="Times New Roman" w:hAnsi="Times New Roman"/>
                <w:b/>
                <w:sz w:val="20"/>
              </w:rPr>
              <w:t xml:space="preserve">Rol</w:t>
            </w:r>
          </w:p>
        </w:tc>
        <w:tc>
          <w:tcPr/>
          <w:p>
            <w:pPr>
              <w:pStyle w:val="Compact"/>
              <w:spacing w:line="240" w:lineRule="auto" w:after="0"/>
              <w:jc w:val="left"/>
            </w:pPr>
            <w:r>
              <w:rPr>
                <w:rFonts w:ascii="Times New Roman" w:hAnsi="Times New Roman"/>
                <w:b/>
                <w:sz w:val="20"/>
              </w:rPr>
              <w:t xml:space="preserve">Kullanılan örnek</w:t>
            </w:r>
          </w:p>
        </w:tc>
      </w:tr>
      <w:tr>
        <w:tc>
          <w:tcPr/>
          <w:p>
            <w:pPr>
              <w:pStyle w:val="Compact"/>
              <w:spacing w:line="240" w:lineRule="auto" w:after="0"/>
              <w:jc w:val="left"/>
            </w:pPr>
            <w:r>
              <w:rPr>
                <w:rFonts w:ascii="Times New Roman" w:hAnsi="Times New Roman"/>
                <w:sz w:val="20"/>
              </w:rPr>
              <w:t xml:space="preserve">GSE147528 (Leng ve ark., 2021) [1]</w:t>
            </w:r>
          </w:p>
        </w:tc>
        <w:tc>
          <w:tcPr/>
          <w:p>
            <w:pPr>
              <w:pStyle w:val="Compact"/>
              <w:spacing w:line="240" w:lineRule="auto" w:after="0"/>
              <w:jc w:val="left"/>
            </w:pPr>
            <w:r>
              <w:rPr>
                <w:rFonts w:ascii="Times New Roman" w:hAnsi="Times New Roman"/>
                <w:sz w:val="20"/>
              </w:rPr>
              <w:t xml:space="preserve">snRNA-seq (10x)</w:t>
            </w:r>
          </w:p>
        </w:tc>
        <w:tc>
          <w:tcPr/>
          <w:p>
            <w:pPr>
              <w:pStyle w:val="Compact"/>
              <w:spacing w:line="240" w:lineRule="auto" w:after="0"/>
              <w:jc w:val="left"/>
            </w:pPr>
            <w:r>
              <w:rPr>
                <w:rFonts w:ascii="Times New Roman" w:hAnsi="Times New Roman"/>
                <w:sz w:val="20"/>
              </w:rPr>
              <w:t xml:space="preserve">Aşama 1: AH savunmasız nöron imzası</w:t>
            </w:r>
          </w:p>
        </w:tc>
        <w:tc>
          <w:tcPr/>
          <w:p>
            <w:pPr>
              <w:pStyle w:val="Compact"/>
              <w:spacing w:line="240" w:lineRule="auto" w:after="0"/>
              <w:jc w:val="left"/>
            </w:pPr>
            <w:r>
              <w:rPr>
                <w:rFonts w:ascii="Times New Roman" w:hAnsi="Times New Roman"/>
                <w:sz w:val="20"/>
              </w:rPr>
              <w:t xml:space="preserve">Entorinal korteks, 10 donör (Braak 0: 3, Braak II: 4, Braak VI: 3), tümü erkek</w:t>
            </w:r>
          </w:p>
        </w:tc>
      </w:tr>
      <w:tr>
        <w:tc>
          <w:tcPr/>
          <w:p>
            <w:pPr>
              <w:pStyle w:val="Compact"/>
              <w:spacing w:line="240" w:lineRule="auto" w:after="0"/>
              <w:jc w:val="left"/>
            </w:pPr>
            <w:r>
              <w:rPr>
                <w:rFonts w:ascii="Times New Roman" w:hAnsi="Times New Roman"/>
                <w:sz w:val="20"/>
              </w:rPr>
              <w:t xml:space="preserve">GSE131928 (Neftel ve ark., 2019) [2]</w:t>
            </w:r>
          </w:p>
        </w:tc>
        <w:tc>
          <w:tcPr/>
          <w:p>
            <w:pPr>
              <w:pStyle w:val="Compact"/>
              <w:spacing w:line="240" w:lineRule="auto" w:after="0"/>
              <w:jc w:val="left"/>
            </w:pPr>
            <w:r>
              <w:rPr>
                <w:rFonts w:ascii="Times New Roman" w:hAnsi="Times New Roman"/>
                <w:sz w:val="20"/>
              </w:rPr>
              <w:t xml:space="preserve">scRNA-seq (Smart-seq2)</w:t>
            </w:r>
          </w:p>
        </w:tc>
        <w:tc>
          <w:tcPr/>
          <w:p>
            <w:pPr>
              <w:pStyle w:val="Compact"/>
              <w:spacing w:line="240" w:lineRule="auto" w:after="0"/>
              <w:jc w:val="left"/>
            </w:pPr>
            <w:r>
              <w:rPr>
                <w:rFonts w:ascii="Times New Roman" w:hAnsi="Times New Roman"/>
                <w:sz w:val="20"/>
              </w:rPr>
              <w:t xml:space="preserve">Aşama 2: GBM nöral soy benzeri durum imzası</w:t>
            </w:r>
          </w:p>
        </w:tc>
        <w:tc>
          <w:tcPr/>
          <w:p>
            <w:pPr>
              <w:pStyle w:val="Compact"/>
              <w:spacing w:line="240" w:lineRule="auto" w:after="0"/>
              <w:jc w:val="left"/>
            </w:pPr>
            <w:r>
              <w:rPr>
                <w:rFonts w:ascii="Times New Roman" w:hAnsi="Times New Roman"/>
                <w:sz w:val="20"/>
              </w:rPr>
              <w:t xml:space="preserve">Erişkin IDH-yabanıl tip birincil GBM malign hücreleri; 20 tümörden 36 pseudo-bulk örnek (16 tümörde her iki grup)</w:t>
            </w:r>
          </w:p>
        </w:tc>
      </w:tr>
      <w:tr>
        <w:tc>
          <w:tcPr/>
          <w:p>
            <w:pPr>
              <w:pStyle w:val="Compact"/>
              <w:spacing w:line="240" w:lineRule="auto" w:after="0"/>
              <w:jc w:val="left"/>
            </w:pPr>
            <w:r>
              <w:rPr>
                <w:rFonts w:ascii="Times New Roman" w:hAnsi="Times New Roman"/>
                <w:sz w:val="20"/>
              </w:rPr>
              <w:t xml:space="preserve">GSE48350 [3] + GSE36980 [4]</w:t>
            </w:r>
          </w:p>
        </w:tc>
        <w:tc>
          <w:tcPr/>
          <w:p>
            <w:pPr>
              <w:pStyle w:val="Compact"/>
              <w:spacing w:line="240" w:lineRule="auto" w:after="0"/>
              <w:jc w:val="left"/>
            </w:pPr>
            <w:r>
              <w:rPr>
                <w:rFonts w:ascii="Times New Roman" w:hAnsi="Times New Roman"/>
                <w:sz w:val="20"/>
              </w:rPr>
              <w:t xml:space="preserve">Affymetrix HG-U133 Plus 2.0 ve HuGene 1.0 ST</w:t>
            </w:r>
          </w:p>
        </w:tc>
        <w:tc>
          <w:tcPr/>
          <w:p>
            <w:pPr>
              <w:pStyle w:val="Compact"/>
              <w:spacing w:line="240" w:lineRule="auto" w:after="0"/>
              <w:jc w:val="left"/>
            </w:pPr>
            <w:r>
              <w:rPr>
                <w:rFonts w:ascii="Times New Roman" w:hAnsi="Times New Roman"/>
                <w:sz w:val="20"/>
              </w:rPr>
              <w:t xml:space="preserve">Aşama 4: AH bulk meta-kohortu</w:t>
            </w:r>
          </w:p>
        </w:tc>
        <w:tc>
          <w:tcPr/>
          <w:p>
            <w:pPr>
              <w:pStyle w:val="Compact"/>
              <w:spacing w:line="240" w:lineRule="auto" w:after="0"/>
              <w:jc w:val="left"/>
            </w:pPr>
            <w:r>
              <w:rPr>
                <w:rFonts w:ascii="Times New Roman" w:hAnsi="Times New Roman"/>
                <w:sz w:val="20"/>
              </w:rPr>
              <w:t xml:space="preserve">Hipokampus, n = 51 (AH 18, kontrol 33; GSE48350: 34, GSE36980: 17)</w:t>
            </w:r>
          </w:p>
        </w:tc>
      </w:tr>
      <w:tr>
        <w:tc>
          <w:tcPr/>
          <w:p>
            <w:pPr>
              <w:pStyle w:val="Compact"/>
              <w:spacing w:line="240" w:lineRule="auto" w:after="0"/>
              <w:jc w:val="left"/>
            </w:pPr>
            <w:r>
              <w:rPr>
                <w:rFonts w:ascii="Times New Roman" w:hAnsi="Times New Roman"/>
                <w:sz w:val="20"/>
              </w:rPr>
              <w:t xml:space="preserve">TCGA-GBM [5] + GTEx [6] (UCSC Xena [7], TOIL [8])</w:t>
            </w:r>
          </w:p>
        </w:tc>
        <w:tc>
          <w:tcPr/>
          <w:p>
            <w:pPr>
              <w:pStyle w:val="Compact"/>
              <w:spacing w:line="240" w:lineRule="auto" w:after="0"/>
              <w:jc w:val="left"/>
            </w:pPr>
            <w:r>
              <w:rPr>
                <w:rFonts w:ascii="Times New Roman" w:hAnsi="Times New Roman"/>
                <w:sz w:val="20"/>
              </w:rPr>
              <w:t xml:space="preserve">RNA-seq</w:t>
            </w:r>
          </w:p>
        </w:tc>
        <w:tc>
          <w:tcPr/>
          <w:p>
            <w:pPr>
              <w:pStyle w:val="Compact"/>
              <w:spacing w:line="240" w:lineRule="auto" w:after="0"/>
              <w:jc w:val="left"/>
            </w:pPr>
            <w:r>
              <w:rPr>
                <w:rFonts w:ascii="Times New Roman" w:hAnsi="Times New Roman"/>
                <w:sz w:val="20"/>
              </w:rPr>
              <w:t xml:space="preserve">Aşama 4: GBM bulk kohortu</w:t>
            </w:r>
          </w:p>
        </w:tc>
        <w:tc>
          <w:tcPr/>
          <w:p>
            <w:pPr>
              <w:pStyle w:val="Compact"/>
              <w:spacing w:line="240" w:lineRule="auto" w:after="0"/>
              <w:jc w:val="left"/>
            </w:pPr>
            <w:r>
              <w:rPr>
                <w:rFonts w:ascii="Times New Roman" w:hAnsi="Times New Roman"/>
                <w:sz w:val="20"/>
              </w:rPr>
              <w:t xml:space="preserve">152 birincil tümör; 186 kontrol (hipokampus 84, frontal korteks BA9 102)</w:t>
            </w:r>
          </w:p>
        </w:tc>
      </w:tr>
      <w:tr>
        <w:tc>
          <w:tcPr/>
          <w:p>
            <w:pPr>
              <w:pStyle w:val="Compact"/>
              <w:spacing w:line="240" w:lineRule="auto" w:after="0"/>
              <w:jc w:val="left"/>
            </w:pPr>
            <w:r>
              <w:rPr>
                <w:rFonts w:ascii="Times New Roman" w:hAnsi="Times New Roman"/>
                <w:sz w:val="20"/>
              </w:rPr>
              <w:t xml:space="preserve">Allen Brain Map, insan M1 10x [9]</w:t>
            </w:r>
          </w:p>
        </w:tc>
        <w:tc>
          <w:tcPr/>
          <w:p>
            <w:pPr>
              <w:pStyle w:val="Compact"/>
              <w:spacing w:line="240" w:lineRule="auto" w:after="0"/>
              <w:jc w:val="left"/>
            </w:pPr>
            <w:r>
              <w:rPr>
                <w:rFonts w:ascii="Times New Roman" w:hAnsi="Times New Roman"/>
                <w:sz w:val="20"/>
              </w:rPr>
              <w:t xml:space="preserve">snRNA-seq</w:t>
            </w:r>
          </w:p>
        </w:tc>
        <w:tc>
          <w:tcPr/>
          <w:p>
            <w:pPr>
              <w:pStyle w:val="Compact"/>
              <w:spacing w:line="240" w:lineRule="auto" w:after="0"/>
              <w:jc w:val="left"/>
            </w:pPr>
            <w:r>
              <w:rPr>
                <w:rFonts w:ascii="Times New Roman" w:hAnsi="Times New Roman"/>
                <w:sz w:val="20"/>
              </w:rPr>
              <w:t xml:space="preserve">Aşama 4: MuSiC referansı</w:t>
            </w:r>
          </w:p>
        </w:tc>
        <w:tc>
          <w:tcPr/>
          <w:p>
            <w:pPr>
              <w:pStyle w:val="Compact"/>
              <w:spacing w:line="240" w:lineRule="auto" w:after="0"/>
              <w:jc w:val="left"/>
            </w:pPr>
            <w:r>
              <w:rPr>
                <w:rFonts w:ascii="Times New Roman" w:hAnsi="Times New Roman"/>
                <w:sz w:val="20"/>
              </w:rPr>
              <w:t xml:space="preserve">76.533 çekirdekten seçilen 3.023 çekirdek, 2 donör</w:t>
            </w:r>
          </w:p>
        </w:tc>
      </w:tr>
      <w:tr>
        <w:tc>
          <w:tcPr/>
          <w:p>
            <w:pPr>
              <w:pStyle w:val="Compact"/>
              <w:spacing w:line="240" w:lineRule="auto" w:after="0"/>
              <w:jc w:val="left"/>
            </w:pPr>
            <w:r>
              <w:rPr>
                <w:rFonts w:ascii="Times New Roman" w:hAnsi="Times New Roman"/>
                <w:sz w:val="20"/>
              </w:rPr>
              <w:t xml:space="preserve">GSE125583 (SRP181886) </w:t>
            </w:r>
            <w:r>
              <w:rPr>
                <w:rFonts w:ascii="Times New Roman" w:hAnsi="Times New Roman"/>
                <w:sz w:val="20"/>
                <w:highlight w:val="yellow"/>
              </w:rPr>
              <w:t>[KONTROL: kaynak makale; aday Srinivasan ve ark., 2020]</w:t>
            </w:r>
          </w:p>
        </w:tc>
        <w:tc>
          <w:tcPr/>
          <w:p>
            <w:pPr>
              <w:pStyle w:val="Compact"/>
              <w:spacing w:line="240" w:lineRule="auto" w:after="0"/>
              <w:jc w:val="left"/>
            </w:pPr>
            <w:r>
              <w:rPr>
                <w:rFonts w:ascii="Times New Roman" w:hAnsi="Times New Roman"/>
                <w:sz w:val="20"/>
              </w:rPr>
              <w:t xml:space="preserve">RNA-seq (recount3 [10])</w:t>
            </w:r>
          </w:p>
        </w:tc>
        <w:tc>
          <w:tcPr/>
          <w:p>
            <w:pPr>
              <w:pStyle w:val="Compact"/>
              <w:spacing w:line="240" w:lineRule="auto" w:after="0"/>
              <w:jc w:val="left"/>
            </w:pPr>
            <w:r>
              <w:rPr>
                <w:rFonts w:ascii="Times New Roman" w:hAnsi="Times New Roman"/>
                <w:sz w:val="20"/>
              </w:rPr>
              <w:t xml:space="preserve">Yalnızca keşifsel analiz (planda yer almamaktadır)</w:t>
            </w:r>
          </w:p>
        </w:tc>
        <w:tc>
          <w:tcPr/>
          <w:p>
            <w:pPr>
              <w:pStyle w:val="Compact"/>
              <w:spacing w:line="240" w:lineRule="auto" w:after="0"/>
              <w:jc w:val="left"/>
            </w:pPr>
            <w:r>
              <w:rPr>
                <w:rFonts w:ascii="Times New Roman" w:hAnsi="Times New Roman"/>
                <w:sz w:val="20"/>
              </w:rPr>
              <w:t xml:space="preserve">Fuziform korteks; ileri AH 125, kontrol 70</w:t>
            </w:r>
          </w:p>
        </w:tc>
      </w:tr>
    </w:tbl>
    <w:bookmarkEnd w:id="21"/>
    <w:bookmarkStart w:id="22" w:name="aşama-1-ah-savunmasız-nöron-imzası"/>
    <w:p>
      <w:pPr>
        <w:pStyle w:val="Heading2"/>
      </w:pPr>
      <w:r>
        <w:t xml:space="preserve">2.3 Aşama 1: AH savunmasız nöron imzası</w:t>
      </w:r>
    </w:p>
    <w:p>
      <w:pPr>
        <w:pStyle w:val="FirstParagraph"/>
      </w:pPr>
      <w:r>
        <w:t xml:space="preserve">Leng ve arkadaşlarının [1] yayımladığı işlenmiş entorinal korteks eksitatör nöron nesnesi (scAlign [11] ile atanmış alt-küme etiketleri) kullanılmıştır. Plan, savunmasız nöronların RORB ifadesinin 75. yüzdeliği üzerinden tanımlanmasını öngörmekteydi; bunun yerine, orijinal çalışmada savunmasız olarak tanımlanan üç RORB+ alt-küme (EC:Exc.s1, EC:Exc.s2, EC:Exc.s4) kullanılmıştır (sapma; Tablo 2). Her donör × alt-küme kombinasyonu için ham sayımlar toplanarak pseudo-bulk profiller oluşturulmuş; 10’dan az çekirdek içeren kombinasyonlar dışlanmıştır.</w:t>
      </w:r>
    </w:p>
    <w:p>
      <w:pPr>
        <w:pStyle w:val="BodyText"/>
      </w:pPr>
      <w:r>
        <w:t xml:space="preserve">Planda tek bir savunmasız alt tip öngörüldüğü için, planın</w:t>
      </w:r>
      <w:r>
        <w:t xml:space="preserve"> </w:t>
      </w:r>
      <w:r>
        <w:t xml:space="preserve">“</w:t>
      </w:r>
      <w:r>
        <w:t xml:space="preserve">donör × alt tip</w:t>
      </w:r>
      <w:r>
        <w:t xml:space="preserve">”</w:t>
      </w:r>
      <w:r>
        <w:t xml:space="preserve"> </w:t>
      </w:r>
      <w:r>
        <w:t xml:space="preserve">tanımı donör başına tek bir örnek anlamına gelmekteydi. Üç alt-kümenin kullanılması aynı donörden birden fazla örnek üretmiştir. Bu nedenle birincil analizde her donörün üç alt-kümesine ait sayımlar toplanarak donör başına tek bir pseudo-bulk örnek elde edilmiştir.</w:t>
      </w:r>
    </w:p>
    <w:p>
      <w:pPr>
        <w:pStyle w:val="BodyText"/>
      </w:pPr>
      <w:r>
        <w:t xml:space="preserve">Plana uygun olarak birincil kontrast Braak VI ile Braak 0 arasında tanımlanmıştır. Braak II ile Braak 0 karşılaştırması, veri incelemesi sırasında (sonuçlardan önce) alınmış ve belgelenmiş bir sapma olarak ikincil kontrast şeklinde raporlanmıştır. Bu karar, RORB+ nöron kaybının Braak 0’dan Braak II’ye geçişte belirginleştiği bulgusuna dayanmaktadır. Farklı ifade analizi edgeR [12] (sürüm 4.10.3) quasi-likelihood F-testi [13] ile yürütülmüştür. Genler</w:t>
      </w:r>
      <w:r>
        <w:t xml:space="preserve"> </w:t>
      </w:r>
      <w:r>
        <w:rPr>
          <w:rStyle w:val="VerbatimChar"/>
        </w:rPr>
        <w:t xml:space="preserve">filterByExpr</w:t>
      </w:r>
      <w:r>
        <w:t xml:space="preserve"> </w:t>
      </w:r>
      <w:r>
        <w:t xml:space="preserve">ile süzülmüş, kütüphane boyutları TMM [14] ile normalize edilmiş ve dispersiyon ile quasi-likelihood modelleri sağlam (robust) seçenekle tahmin edilmiştir. Tasarım</w:t>
      </w:r>
      <w:r>
        <w:t xml:space="preserve"> </w:t>
      </w:r>
      <w:r>
        <w:rPr>
          <w:rStyle w:val="VerbatimChar"/>
        </w:rPr>
        <w:t xml:space="preserve">~ braak + yaş</w:t>
      </w:r>
      <w:r>
        <w:t xml:space="preserve"> </w:t>
      </w:r>
      <w:r>
        <w:t xml:space="preserve">biçimindedir. Plan cinsiyeti de kovaryat olarak öngörmekteydi; ancak tüm donörler erkek olduğundan cinsiyet modelden çıkarılmıştır. Plana göre bir gen, Benjamini-Hochberg yöntemiyle [15] hesaplanan FDR &lt; 0,05 ve log2 kat değişimi &lt; −0,5 koşullarını sağlıyorsa AH savunmasız nöron imzasına dahil edilmektedir. Aşama 3 için genler işaret(log2FC) × −log10(P) ölçütüne göre sıralanmıştır.</w:t>
      </w:r>
    </w:p>
    <w:p>
      <w:pPr>
        <w:pStyle w:val="BodyText"/>
      </w:pPr>
      <w:r>
        <w:t xml:space="preserve">Duyarlılık analizi olarak, alt-küme bilgisini koruyan bir model (</w:t>
      </w:r>
      <w:r>
        <w:rPr>
          <w:rStyle w:val="VerbatimChar"/>
        </w:rPr>
        <w:t xml:space="preserve">~ braak + alt-küme + yaş</w:t>
      </w:r>
      <w:r>
        <w:t xml:space="preserve">) limma [16]-voom [17] ile, donör bir blok faktörü olarak</w:t>
      </w:r>
      <w:r>
        <w:t xml:space="preserve"> </w:t>
      </w:r>
      <w:r>
        <w:rPr>
          <w:rStyle w:val="VerbatimChar"/>
        </w:rPr>
        <w:t xml:space="preserve">duplicateCorrelation</w:t>
      </w:r>
      <w:r>
        <w:t xml:space="preserve"> </w:t>
      </w:r>
      <w:r>
        <w:t xml:space="preserve">[18] ile modellenerek yürütülmüştür. Donörler arası bir kontrastta az sayıda donör bulunduğunda bu yaklaşımın anti-konservatif olabileceği [19, 20] göz önünde bulundurularak, bu analiz karar vermek için kullanılmamıştır; bu tercih sonuçlardan önce sabitlenmiştir.</w:t>
      </w:r>
    </w:p>
    <w:bookmarkEnd w:id="22"/>
    <w:bookmarkStart w:id="23" w:name="X70c95d171bf87a22c4f7770858d1dd57f8c6d7e"/>
    <w:p>
      <w:pPr>
        <w:pStyle w:val="Heading2"/>
      </w:pPr>
      <w:r>
        <w:t xml:space="preserve">2.4 Aşama 2: GBM nöral soy benzeri durum imzası</w:t>
      </w:r>
    </w:p>
    <w:p>
      <w:pPr>
        <w:pStyle w:val="FirstParagraph"/>
      </w:pPr>
      <w:r>
        <w:t xml:space="preserve">Neftel ve arkadaşlarının [2] malign hücre verisinde, orijinal meta-modül atamalarına göre NPC-benzeri ve OPC-benzeri durumlar</w:t>
      </w:r>
      <w:r>
        <w:t xml:space="preserve"> </w:t>
      </w:r>
      <w:r>
        <w:t xml:space="preserve">“</w:t>
      </w:r>
      <w:r>
        <w:t xml:space="preserve">nöral soy</w:t>
      </w:r>
      <w:r>
        <w:t xml:space="preserve">”</w:t>
      </w:r>
      <w:r>
        <w:t xml:space="preserve">, AC-benzeri ve MES-benzeri durumlar ise</w:t>
      </w:r>
      <w:r>
        <w:t xml:space="preserve"> </w:t>
      </w:r>
      <w:r>
        <w:t xml:space="preserve">“</w:t>
      </w:r>
      <w:r>
        <w:t xml:space="preserve">diğer</w:t>
      </w:r>
      <w:r>
        <w:t xml:space="preserve">”</w:t>
      </w:r>
      <w:r>
        <w:t xml:space="preserve"> </w:t>
      </w:r>
      <w:r>
        <w:t xml:space="preserve">olarak gruplanmıştır. Döngüdeki (cycling) ve iki durum arasında kalan (hibrit) hücreler dışlanmıştır. Her tümör × grup kombinasyonu için pseudo-bulk profiller oluşturulmuş; asgari hücre sayısı filtresinden sonra 20 tümörden 36 örnek kalmıştır (nöral soy 17, diğer 19). Plan 24 tümör öngörmekteydi (sapma; Tablo 2). Tasarımda tümör sabit etki olduğu için grup kontrastı, her iki grupta da örneği bulunan 16 tümörden bilgi almaktadır. Farklı ifade analizi, plana uygun olarak tümörü blok faktörü alan eşleştirilmiş bir tasarımla (</w:t>
      </w:r>
      <w:r>
        <w:rPr>
          <w:rStyle w:val="VerbatimChar"/>
        </w:rPr>
        <w:t xml:space="preserve">~ tümör + grup</w:t>
      </w:r>
      <w:r>
        <w:t xml:space="preserve">) edgeR quasi-likelihood F-testi ile yürütülmüştür. Pseudo-bulk profiller, toplanmış ve yuvarlanmış TPM değerlerinden oluşturulmuştur. Analizde Smart-seq2 verisinin (GSM3828672) erişkin tümörlere ait malign hücreleri kullanılmış; GEO dosyasındaki log2(TPM/10 + 1) değerleri 10 × (2^x − 1) dönüşümüyle doğrusal TPM ölçeğine geri çevrilmiştir. GEO arşivi (GSE131928_RAW.tar) yalnızca işlenmiş TPM matrislerini içerdiğinden ham sayımlarla analiz mümkün olmamıştır. Negatif binom modelin sayım varsayımı açısından bu durum bir sınırlılık olarak değerlendirilmektedir. Bir gen, FDR &lt; 0,05 ve log2FC &gt; 0,5 koşullarını sağlıyorsa GBM nöral taklit imzasına dahil edilmektedir.</w:t>
      </w:r>
    </w:p>
    <w:bookmarkEnd w:id="23"/>
    <w:bookmarkStart w:id="24" w:name="aşama-3-yakınsama-testi-h2"/>
    <w:p>
      <w:pPr>
        <w:pStyle w:val="Heading2"/>
      </w:pPr>
      <w:r>
        <w:t xml:space="preserve">2.5 Aşama 3: Yakınsama testi (H2)</w:t>
      </w:r>
    </w:p>
    <w:p>
      <w:pPr>
        <w:pStyle w:val="FirstParagraph"/>
      </w:pPr>
      <w:r>
        <w:t xml:space="preserve">H2, iki platformda ortak olan 3.857 genlik evren üzerinde, planda tanımlanan üç tamamlayıcı testle sınanmıştır.</w:t>
      </w:r>
    </w:p>
    <w:p>
      <w:pPr>
        <w:pStyle w:val="BodyText"/>
      </w:pPr>
      <w:r>
        <w:rPr>
          <w:bCs/>
          <w:b/>
        </w:rPr>
        <w:t xml:space="preserve">Test 1 (RRHO2).</w:t>
      </w:r>
      <w:r>
        <w:t xml:space="preserve"> </w:t>
      </w:r>
      <w:r>
        <w:t xml:space="preserve">Her iki imza, işaret(log2FC) × −log10(P) ölçütüne göre sıralanmış tam gen listeleri olarak RRHO2 paketine [21] (sürüm 1.0) adım büyüklüğü 100 ve hipergeometrik yöntemle verilmiştir (43 × 43 piksel). Plana uygun olarak anlamlılık, AH’de aşağı ve GBM’de yukarı yönlü örtüşmeye karşılık gelen çeyrekteki (DU) en yüksek −log10(P) değerinde değerlendirilmiştir. Çeyrek sınırları, RRHO2’nin her listeyi yukarı ve aşağı yönlü genler olarak ayırdığı konum, yani sıralama ölçütünün işaret değiştirdiği nokta olarak tanımlanmıştır. Yeniden analiz betiğinin ilk sürümünde sınırlar haritanın orta noktası olarak varsayılmıştı; şekil üretimi sırasında fark edilen bu hata düzeltilmiş, DU çeyreğine ait değerler ve dolayısıyla H2 kararları değişmemiştir (sapma kaydı). Plan bu noktada BH düzeltmesi öngörmekteydi; orijinal uygulamayla tutarlılık için ham P değeri toplam piksel sayısıyla çarpılmıştır. Bu, daha konservatif bir düzeltmedir (sapma; Tablo 2). Eşik, düzeltilmiş P &lt; 0,001’dir. Karşılaştırma amacıyla diğer üç çeyreğin en yüksek değerleri de raporlanmıştır.</w:t>
      </w:r>
    </w:p>
    <w:p>
      <w:pPr>
        <w:pStyle w:val="BodyText"/>
      </w:pPr>
      <w:r>
        <w:rPr>
          <w:bCs/>
          <w:b/>
        </w:rPr>
        <w:t xml:space="preserve">Test 2 (hipergeometrik).</w:t>
      </w:r>
      <w:r>
        <w:t xml:space="preserve"> </w:t>
      </w:r>
      <w:r>
        <w:t xml:space="preserve">Her iki imzadan ilk 200 gen seçilmiş ve bunların örtüşmesi ortak evren üzerinde hipergeometrik testle değerlendirilmiştir. Orijinal uygulamaya uygun olarak ilk 200 gen, AH için en negatif log2FC, GBM için en pozitif log2FC değerlerine göre seçilmiştir. Odds oranı 2 × 2 tablo üzerinden hesaplanmış ve P değeri H2’yi oluşturan üç test için Bonferroni ile düzeltilmiştir (×3). Eşik, odds oranı ≥ 3 ve düzeltilmiş P &lt; 0,001’dir.</w:t>
      </w:r>
    </w:p>
    <w:p>
      <w:pPr>
        <w:pStyle w:val="BodyText"/>
      </w:pPr>
      <w:r>
        <w:rPr>
          <w:bCs/>
          <w:b/>
        </w:rPr>
        <w:t xml:space="preserve">Test 3 (permütasyon).</w:t>
      </w:r>
      <w:r>
        <w:t xml:space="preserve"> </w:t>
      </w:r>
      <w:r>
        <w:t xml:space="preserve">Ortak evrenden 200’er genlik 1.000 rastgele küme çifti çekilmiş ve her çift için odds oranı hesaplanmıştır. Ampirik P değeri, gözlenen odds oranına eşit veya ondan büyük değer üreten çiftlerin oranı olarak ((k + 1) / (1.000 + 1)) hesaplanmıştır. Eşik, ampirik P &lt; 0,01’dir.</w:t>
      </w:r>
    </w:p>
    <w:p>
      <w:pPr>
        <w:pStyle w:val="BodyText"/>
      </w:pPr>
      <w:r>
        <w:rPr>
          <w:bCs/>
          <w:b/>
        </w:rPr>
        <w:t xml:space="preserve">Karar kuralı.</w:t>
      </w:r>
      <w:r>
        <w:t xml:space="preserve"> </w:t>
      </w:r>
      <w:r>
        <w:t xml:space="preserve">H2, üç testin tümü eşiği geçtiğinde desteklenmiş, herhangi iki test başarısız olduğunda reddedilmiş, tam olarak bir test başarısız olduğunda ise sonuçsuz kabul edilmiştir.</w:t>
      </w:r>
    </w:p>
    <w:p>
      <w:pPr>
        <w:pStyle w:val="BodyText"/>
      </w:pPr>
      <w:r>
        <w:t xml:space="preserve">Aşama 3 için yalnızca AH girdisi değiştirilmiş, GBM girdisi ve tüm test uygulamaları orijinal kodla birebir aynı tutulmuştur. Uygulamanın doğruluğu, orijinal AH girdisiyle çalıştırılarak orijinal sonucun yeniden üretilmesiyle doğrulanmıştır.</w:t>
      </w:r>
    </w:p>
    <w:bookmarkEnd w:id="24"/>
    <w:bookmarkStart w:id="25" w:name="Xb78d3334327410d3b63f41abd504f9d7fe271c4"/>
    <w:p>
      <w:pPr>
        <w:pStyle w:val="Heading2"/>
      </w:pPr>
      <w:r>
        <w:t xml:space="preserve">2.6 Aşama 4: Kompozisyon kontrollü bulk yeniden analiz (H1)</w:t>
      </w:r>
    </w:p>
    <w:p>
      <w:pPr>
        <w:pStyle w:val="FirstParagraph"/>
      </w:pPr>
      <w:r>
        <w:rPr>
          <w:bCs/>
          <w:b/>
        </w:rPr>
        <w:t xml:space="preserve">AH meta-kohortu.</w:t>
      </w:r>
      <w:r>
        <w:t xml:space="preserve"> </w:t>
      </w:r>
      <w:r>
        <w:t xml:space="preserve">GSE48350 ve GSE36980 mikroarray verileri RMA [22] ile normalize edilmiş, aynı gen sembolüne eşlenen probelardan ortalama ifadesi en yüksek olan tutulmuştur. GSE48350’de doğrudan bir tanı alanı bulunmadığından AH tanımı Braak evresine dayandırılmıştır (sapma). İki platform arasındaki kesişim bölgesi yalnızca hipokampus olduğu için analiz hipokampus örnekleriyle sınırlandırılmıştır (sapma). Veri setleri arası parti etkisi ComBat [23] (sva [24] 3.60.0) ile düzeltilmiştir. Plan, tanı ve beyin bölgesinin korunan kovaryatlar olarak modele alınmasını öngörmekteydi. Uygulamada aday kovaryatlar tanı, beyin bölgesi ve cinsiyet olarak tanımlanmış ve yalnızca iki veya daha fazla düzeyi bulunanlar dahil edilmiştir; hipokampus kısıtlaması sonrasında beyin bölgesi tek düzeye indiğinden tanı ve cinsiyet korunmuştur (sapma; Tablo 2). Plandaki kabul ölçütü sağlanmıştır: PC1 ile veri seti arasındaki korelasyon düzeltme öncesi r = −0,999 iken düzeltme sonrası r = 0,093’tür (eşik |r| &lt; 0,20); tanı ile PC1 ve PC2 arasındaki korelasyonlar sırasıyla 0,485 ve 0,405’tir. Tanının korunan kovaryat olarak kullanılması, veri setleri arasında grup dağılımı dengesiz olduğunda sonraki testlerde anlamlılığı şişirebileceğinden [25], bu durum bir sınırlılık olarak tartışılmıştır.</w:t>
      </w:r>
    </w:p>
    <w:p>
      <w:pPr>
        <w:pStyle w:val="BodyText"/>
      </w:pPr>
      <w:r>
        <w:rPr>
          <w:bCs/>
          <w:b/>
        </w:rPr>
        <w:t xml:space="preserve">GBM kohortu.</w:t>
      </w:r>
      <w:r>
        <w:t xml:space="preserve"> </w:t>
      </w:r>
      <w:r>
        <w:t xml:space="preserve">TCGA-GBM birincil tümörleri (örnek tipi kodu 01) ve GTEx hipokampus ile frontal korteks BA9 örnekleri, UCSC Xena [7] TOIL [8] dosyalarından log2(TPM + 0,001) ölçeğinde alınmıştır. Plan Tablo 1’deki örnek sayıları birebir elde edilmiştir (153 tümör, 84 hipokampus, 102 BA9). Ensembl kimlikleri GENCODE üzerinden gen sembollerine eşlenmiş; aynı sembole eşlenen genlerden ortalaması en yüksek olan tutulmuştur. Örneklerin %20’sinden azında log2 TPM ≥ 1 olan genler dışlanmıştır. Cinsiyet bilgisi eksik bir tümör örneği analiz dışı bırakılmıştır (152 tümör). Planda öngörülen GTEx RIN ve Hardy ölçeği dışlama ölçütleri Xena fenotip dosyasında bulunmadığı için uygulanamamıştır (sapma).</w:t>
      </w:r>
    </w:p>
    <w:p>
      <w:pPr>
        <w:pStyle w:val="BodyText"/>
      </w:pPr>
      <w:r>
        <w:rPr>
          <w:bCs/>
          <w:b/>
        </w:rPr>
        <w:t xml:space="preserve">Dekonvolüsyon yöntemi 1 (BRETIGEA).</w:t>
      </w:r>
      <w:r>
        <w:t xml:space="preserve"> </w:t>
      </w:r>
      <w:r>
        <w:t xml:space="preserve">Hücre tipi skorları BRETIGEA [26] (sürüm 1.0.4)</w:t>
      </w:r>
      <w:r>
        <w:t xml:space="preserve"> </w:t>
      </w:r>
      <w:r>
        <w:rPr>
          <w:rStyle w:val="VerbatimChar"/>
        </w:rPr>
        <w:t xml:space="preserve">brainCells</w:t>
      </w:r>
      <w:r>
        <w:t xml:space="preserve"> </w:t>
      </w:r>
      <w:r>
        <w:t xml:space="preserve">fonksiyonuyla, hücre tipi başına 50 marker gen kullanılarak altı hücre tipi için hesaplanmıştır: astrosit, endotel, mikroglia, nöron, oligodendrosit ve oligodendrosit öncü hücresi.</w:t>
      </w:r>
    </w:p>
    <w:p>
      <w:pPr>
        <w:pStyle w:val="BodyText"/>
      </w:pPr>
      <w:r>
        <w:rPr>
          <w:bCs/>
          <w:b/>
        </w:rPr>
        <w:t xml:space="preserve">Dekonvolüsyon yöntemi 2 (MuSiC).</w:t>
      </w:r>
      <w:r>
        <w:t xml:space="preserve"> </w:t>
      </w:r>
      <w:r>
        <w:t xml:space="preserve">Plan ikinci yöntem olarak bMIND’ı [27] öngörmekteydi; paket erişilebilirliği nedeniyle yerine referans tabanlı bir yöntem olan MuSiC [28] (sürüm 1.0.0) kullanılmıştır (sapma). Plana uygun olarak referans Allen Brain Map’ten alınmıştır. Plan referans kaynağı olarak Tasic ve ark. (2018) çalışmasını göstermektedir; kullanılan veri seti ise Bakken ve ark. (2021) [9] tarafından yayımlanan insan birincil motor korteks (M1) 10x Chromium v3 snRNA-seq verisidir (iki donör, 76.533 çekirdek). Bu veri setinde çekirdekler NeuN ile sıralanarak nöronlar zenginleştirildiğinden (%90 NeuN+), referansta nöron dışı hücreler azınlıktadır (%5,2; endotel 64, mikroglia 108 çekirdek); bu nedenle glial profiller daha az çekirdekten tahmin edilmiştir. MuSiC oranları referanstaki hücre oranlarından değil bulk veriden tahmin ettiğinden, bu zenginleştirme oran tahminini doğrudan yanlılaştırmamaktadır. Referanstaki hücreler BRETIGEA ile karşılaştırılabilir altı sınıfa indirgenmiştir: glutamaterjik ve GABAerjik hücreler nöron olarak birleştirilmiş,</w:t>
      </w:r>
      <w:r>
        <w:t xml:space="preserve"> </w:t>
      </w:r>
      <w:r>
        <w:t xml:space="preserve">“</w:t>
      </w:r>
      <w:r>
        <w:t xml:space="preserve">Micro-PVM</w:t>
      </w:r>
      <w:r>
        <w:t xml:space="preserve">”</w:t>
      </w:r>
      <w:r>
        <w:t xml:space="preserve"> </w:t>
      </w:r>
      <w:r>
        <w:t xml:space="preserve">mikroglia olarak eşlenmiş, VLMC gibi diğer sınıflar dışlanmıştır. Bellek kısıtları nedeniyle, yalnızca meta veri kullanılarak, her sınıf × donör için en fazla 500 hücre rastgele seçilmiştir (toplam 3.023 hücre). Seçim listesi, ifade verisi okunmadan önce commit edilmiştir. Bulk veriler doğrusal ölçeğe dönüştürülmüştür (AH: 2^ifade; GBM: 2^ifade − 0,001, sıfırda kesilerek). Paketin varsayılan tahmini (</w:t>
      </w:r>
      <w:r>
        <w:rPr>
          <w:rStyle w:val="VerbatimChar"/>
        </w:rPr>
        <w:t xml:space="preserve">Est.prop.weighted</w:t>
      </w:r>
      <w:r>
        <w:t xml:space="preserve">) kullanılmıştır. Oranların toplamı 1 olduğundan, tam doğrusal bağımlılığı önlemek için endotel oranı model kovaryatlarına dahil edilmemiştir.</w:t>
      </w:r>
    </w:p>
    <w:p>
      <w:pPr>
        <w:pStyle w:val="BodyText"/>
      </w:pPr>
      <w:r>
        <w:rPr>
          <w:bCs/>
          <w:b/>
        </w:rPr>
        <w:t xml:space="preserve">Modeller.</w:t>
      </w:r>
      <w:r>
        <w:t xml:space="preserve"> </w:t>
      </w:r>
      <w:r>
        <w:t xml:space="preserve">Her kohortta limma [16] (sürüm 3.68.2) ile dört model kurulmuştur. Model A (düzeltmesiz) AH için</w:t>
      </w:r>
      <w:r>
        <w:t xml:space="preserve"> </w:t>
      </w:r>
      <w:r>
        <w:rPr>
          <w:rStyle w:val="VerbatimChar"/>
        </w:rPr>
        <w:t xml:space="preserve">~ tanı + cinsiyet + yaş + veri seti</w:t>
      </w:r>
      <w:r>
        <w:t xml:space="preserve">, GBM için</w:t>
      </w:r>
      <w:r>
        <w:t xml:space="preserve"> </w:t>
      </w:r>
      <w:r>
        <w:rPr>
          <w:rStyle w:val="VerbatimChar"/>
        </w:rPr>
        <w:t xml:space="preserve">~ tanı + cinsiyet</w:t>
      </w:r>
      <w:r>
        <w:t xml:space="preserve"> </w:t>
      </w:r>
      <w:r>
        <w:t xml:space="preserve">biçimindedir. Planda iki modelde de yer alan beyin bölgesi değişkeni, AH kohortunda tek düzeye indiği, GBM kohortunda ise tümör örnekleri için tanıyla tam olarak çakıştığı için çıkarılmıştır (sapma). Model B, Model A’ya altı BRETIGEA skorunu; Model C, Model A’ya MuSiC oranlarını eklemektedir. Model D (her iki yöntemin kovaryatları birlikte) keşifsel olarak raporlanmıştır. Tanı katsayısının varyans şişme faktörü (VIF) her model için hesaplanmıştır.</w:t>
      </w:r>
    </w:p>
    <w:p>
      <w:pPr>
        <w:pStyle w:val="BodyText"/>
      </w:pPr>
      <w:r>
        <w:rPr>
          <w:bCs/>
          <w:b/>
        </w:rPr>
        <w:t xml:space="preserve">Paylaşılan DEG ve karar kuralı.</w:t>
      </w:r>
      <w:r>
        <w:t xml:space="preserve"> </w:t>
      </w:r>
      <w:r>
        <w:t xml:space="preserve">Plandaki tanıma uygun olarak paylaşılan DEG, her iki kohortta FDR &lt; 0,05 olan ve aynı yönde değişen gen olarak tanımlanmıştır. Duyarlılık analizinde buna ek olarak |log2FC| &gt; 0,5 (AH) ve |log2FC| &gt; 1 (GBM) koşulları eklenmiştir. H1, paylaşılan DEG sayısının Model B/Model A ve Model C/Model A oranlarının her ikisi de ≤ 0,20 olduğunda desteklenmiş, oranlardan herhangi biri ≥ 0,50 olduğunda reddedilmiş, diğer durumlarda sonuçsuz kabul edilmiştir. Kontrol grubunun tek bir bölgeyle sınırlandırıldığı (yalnızca BA9 ve yalnızca hipokampus) duyarlılık analizleri de yürütülmüştür.</w:t>
      </w:r>
    </w:p>
    <w:bookmarkEnd w:id="25"/>
    <w:bookmarkStart w:id="26" w:name="keşifsel-analizler"/>
    <w:p>
      <w:pPr>
        <w:pStyle w:val="Heading2"/>
      </w:pPr>
      <w:r>
        <w:t xml:space="preserve">2.7 Keşifsel analizler</w:t>
      </w:r>
    </w:p>
    <w:p>
      <w:pPr>
        <w:pStyle w:val="FirstParagraph"/>
      </w:pPr>
      <w:r>
        <w:t xml:space="preserve">Bu bölümdeki analizler hipotez kararlarına girmemektedir.</w:t>
      </w:r>
    </w:p>
    <w:p>
      <w:pPr>
        <w:pStyle w:val="BodyText"/>
      </w:pPr>
      <w:r>
        <w:rPr>
          <w:bCs/>
          <w:b/>
        </w:rPr>
        <w:t xml:space="preserve">Orijinal Aşama 1 uygulamasının değerlendirilmesi.</w:t>
      </w:r>
      <w:r>
        <w:t xml:space="preserve"> </w:t>
      </w:r>
      <w:r>
        <w:t xml:space="preserve">Orijinal Aşama 1 uygulaması, üç alt-kümeyi ayrı örnekler olarak ele alan ve donörü modellemeyen bir tasarım (</w:t>
      </w:r>
      <w:r>
        <w:rPr>
          <w:rStyle w:val="VerbatimChar"/>
        </w:rPr>
        <w:t xml:space="preserve">~ 0 + braak + alt-küme</w:t>
      </w:r>
      <w:r>
        <w:t xml:space="preserve">) kullanmış, plandaki yaş kovaryatını içermemiş ve plandaki birincil kontrast yerine Braak II ile Braak 0’ı karşılaştırmıştır. Psödo-replikasyonun etkisini değerlendirmek için donör-içi korelasyon</w:t>
      </w:r>
      <w:r>
        <w:t xml:space="preserve"> </w:t>
      </w:r>
      <w:r>
        <w:rPr>
          <w:rStyle w:val="VerbatimChar"/>
        </w:rPr>
        <w:t xml:space="preserve">duplicateCorrelation</w:t>
      </w:r>
      <w:r>
        <w:t xml:space="preserve"> </w:t>
      </w:r>
      <w:r>
        <w:t xml:space="preserve">ile tahmin edilmiş; orijinal sonuç, donör bloğu eklenmiş limma-voom modeli ve donör düzeyinde toplanmış edgeR modeliyle karşılaştırılmıştır. Orijinal analizde öne çıkan</w:t>
      </w:r>
      <w:r>
        <w:t xml:space="preserve"> </w:t>
      </w:r>
      <w:r>
        <w:t xml:space="preserve">“</w:t>
      </w:r>
      <w:r>
        <w:t xml:space="preserve">her iki hastalıkta aşağı</w:t>
      </w:r>
      <w:r>
        <w:t xml:space="preserve">”</w:t>
      </w:r>
      <w:r>
        <w:t xml:space="preserve"> </w:t>
      </w:r>
      <w:r>
        <w:t xml:space="preserve">(DD) çeyreği sinyalinin bu düzeltmelere duyarlılığı, dört-çeyrek örtüşme testleriyle önceden sabitlenmiş dört eşikte (ilk 100, 200, 300 ve 500 gen) incelenmiştir. Dört eşiğin tümü, sonuçlardan bağımsız olarak raporlanmıştır.</w:t>
      </w:r>
    </w:p>
    <w:p>
      <w:pPr>
        <w:pStyle w:val="BodyText"/>
      </w:pPr>
      <w:r>
        <w:rPr>
          <w:bCs/>
          <w:b/>
        </w:rPr>
        <w:t xml:space="preserve">GSE125583’te stres geni analizi.</w:t>
      </w:r>
      <w:r>
        <w:t xml:space="preserve"> </w:t>
      </w:r>
      <w:r>
        <w:t xml:space="preserve">Orijinal analizin DD çeyreğinden türetilen altı stres geninin davranışı bağımsız bir AH kohortunda incelenmiştir. recount3 [10] sayımları okuma değil baz çifti kapsama değerleri olduğundan, negatif binom tabanlı yöntemler yerine log-CPM üzerinde limma-trend kullanılmıştır. İleri AH (n = 125) ile kontrol (n = 70) karşılaştırması</w:t>
      </w:r>
      <w:r>
        <w:t xml:space="preserve"> </w:t>
      </w:r>
      <w:r>
        <w:rPr>
          <w:rStyle w:val="VerbatimChar"/>
        </w:rPr>
        <w:t xml:space="preserve">~ grup + yaş + cinsiyet</w:t>
      </w:r>
      <w:r>
        <w:t xml:space="preserve"> </w:t>
      </w:r>
      <w:r>
        <w:t xml:space="preserve">modeliyle yapılmış, ek olarak nöron, astrosit ve mikroglia marker skorları (her marker grubunun z-skor ortalaması) kovaryat olarak eklenmiştir. Bu kohortun yükleme ve ön işleme adımları bir betikte belgelenmemiştir </w:t>
      </w:r>
      <w:r>
        <w:rPr>
          <w:highlight w:val="yellow"/>
        </w:rPr>
        <w:t>[KONTROL: submission öncesi betik eklenecek]</w:t>
      </w:r>
      <w:r>
        <w:rPr/>
        <w:t>.</w:t>
      </w:r>
    </w:p>
    <w:p>
      <w:pPr>
        <w:pStyle w:val="BodyText"/>
      </w:pPr>
      <w:r>
        <w:rPr>
          <w:bCs/>
          <w:b/>
        </w:rPr>
        <w:t xml:space="preserve">H1 için negatif kontrol.</w:t>
      </w:r>
      <w:r>
        <w:t xml:space="preserve"> </w:t>
      </w:r>
      <w:r>
        <w:t xml:space="preserve">H1’deki paylaşılan DEG azalmasının güç kaybından ya da veriden türetilen herhangi bir kovaryatın etkisinden kaynaklanıp kaynaklanmadığını değerlendirmek için iki kollu bir negatif kontrol, kuralları sonuçlardan önce tanımlanarak yürütülmüştür. Kol 1’de Model A’ya altı bağımsız standart normal değişken, Kol 2’de ise BRETIGEA marker listesi dışındaki tüm genlerden rastgele çekilen altı adet 50 genlik kümenin birinci temel bileşen skorları eklenmiştir (her kol 1.000 tekrar). Birincil ölçüt, AH DEG’lerinin korunma oranıdır (tekrar başına AH DEG sayısının medyanı / Model A’daki AH DEG sayısı). Kol 2’de rastgele kovaryatların kompozisyonu ne ölçüde yakaladığı, altı BRETIGEA skorunun her birinin altı rastgele bileşene regresyonundan elde edilen R² değerlerinin ortalamasıyla ölçülmüştür. Kol 1’de korunma oranı ≥ 0,80 ise güç kaybı azalmayı açıklamıyor, &lt; 0,20 ise azalma büyük ölçüde güç kaybına bağlı kabul edilmiştir. Kol 2’de medyan R² ≥ 0,25 ise kol ayırt edici değil kabul edilmiştir; &lt; 0,25 ise korunma oranı &lt; 0,20 kompozisyona özgü olmayan, ≥ 0,80 kompozisyona özgü bir azalma olarak yorumlanmıştır.</w:t>
      </w:r>
    </w:p>
    <w:bookmarkEnd w:id="26"/>
    <w:bookmarkStart w:id="27" w:name="yazılım-ve-tekrarlanabilirlik"/>
    <w:p>
      <w:pPr>
        <w:pStyle w:val="Heading2"/>
      </w:pPr>
      <w:r>
        <w:t xml:space="preserve">2.8 Yazılım ve tekrarlanabilirlik</w:t>
      </w:r>
    </w:p>
    <w:p>
      <w:pPr>
        <w:pStyle w:val="FirstParagraph"/>
      </w:pPr>
      <w:r>
        <w:t xml:space="preserve">Tüm analizler R 4.6.0 ile yürütülmüştür. Kullanılan başlıca paketler edgeR 4.10.3, limma 3.68.2, sva 3.60.0, BRETIGEA 1.0.4, MuSiC 1.0.0 ve RRHO2 1.0’dır. Rastgelelik içeren tüm adımlarda sabit bir tohum değeri (20260101) kullanılmıştır. Analiz betikleri, ara sonuçlar, sapma kaydı ve olgu sayfası (makaledeki tüm sayıları kilitli sonuç dosyalarından otomatik olarak üreten betik) proje deposunda yer almaktadır </w:t>
      </w:r>
      <w:r>
        <w:rPr>
          <w:highlight w:val="yellow"/>
        </w:rPr>
        <w:t>[KONTROL: adres]</w:t>
      </w:r>
      <w:r>
        <w:rPr/>
        <w:t>.</w:t>
      </w:r>
    </w:p>
    <w:p>
      <w:pPr>
        <w:pStyle w:val="BodyText"/>
      </w:pPr>
      <w:r>
        <w:rPr>
          <w:bCs/>
          <w:b/>
        </w:rPr>
        <w:t xml:space="preserve">Tablo 2.</w:t>
      </w:r>
      <w:r>
        <w:t xml:space="preserve"> </w:t>
      </w:r>
      <w:r>
        <w:t xml:space="preserve">Plandan sapmalar (özet; tam kayıt Ek Dosya 2).</w:t>
      </w:r>
    </w:p>
    <w:tbl>
      <w:tblPr>
        <w:tblStyle w:val="Table"/>
        <w:tblW w:type="pct" w:w="5000"/>
        <w:tblLook w:firstRow="1" w:lastRow="0" w:firstColumn="0" w:lastColumn="0" w:noHBand="0" w:noVBand="0" w:val="0020"/>
        <w:jc w:val="start"/>
        <w:tblBorders>
          <w:top w:val="single" w:sz="4" w:color="808080"/>
          <w:left w:val="single" w:sz="4" w:color="808080"/>
          <w:bottom w:val="single" w:sz="4" w:color="808080"/>
          <w:right w:val="single" w:sz="4" w:color="808080"/>
          <w:insideH w:val="single" w:sz="4" w:color="808080"/>
          <w:insideV w:val="single" w:sz="4" w:color="808080"/>
        </w:tblBorders>
      </w:tblPr>
      <w:tblGrid>
        <w:gridCol w:w="1980"/>
        <w:gridCol w:w="1980"/>
        <w:gridCol w:w="1980"/>
        <w:gridCol w:w="1980"/>
      </w:tblGrid>
      <w:tr>
        <w:trPr>
          <w:tblHeader w:val="true"/>
        </w:trPr>
        <w:tc>
          <w:tcPr/>
          <w:p>
            <w:pPr>
              <w:pStyle w:val="Compact"/>
              <w:spacing w:line="240" w:lineRule="auto" w:after="0"/>
              <w:jc w:val="left"/>
            </w:pPr>
            <w:r>
              <w:rPr>
                <w:rFonts w:ascii="Times New Roman" w:hAnsi="Times New Roman"/>
                <w:b/>
                <w:sz w:val="20"/>
              </w:rPr>
              <w:t xml:space="preserve">Plan</w:t>
            </w:r>
          </w:p>
        </w:tc>
        <w:tc>
          <w:tcPr/>
          <w:p>
            <w:pPr>
              <w:pStyle w:val="Compact"/>
              <w:spacing w:line="240" w:lineRule="auto" w:after="0"/>
              <w:jc w:val="left"/>
            </w:pPr>
            <w:r>
              <w:rPr>
                <w:rFonts w:ascii="Times New Roman" w:hAnsi="Times New Roman"/>
                <w:b/>
                <w:sz w:val="20"/>
              </w:rPr>
              <w:t xml:space="preserve">Uygulama</w:t>
            </w:r>
          </w:p>
        </w:tc>
        <w:tc>
          <w:tcPr/>
          <w:p>
            <w:pPr>
              <w:pStyle w:val="Compact"/>
              <w:spacing w:line="240" w:lineRule="auto" w:after="0"/>
              <w:jc w:val="left"/>
            </w:pPr>
            <w:r>
              <w:rPr>
                <w:rFonts w:ascii="Times New Roman" w:hAnsi="Times New Roman"/>
                <w:b/>
                <w:sz w:val="20"/>
              </w:rPr>
              <w:t xml:space="preserve">Gerekçe</w:t>
            </w:r>
          </w:p>
        </w:tc>
        <w:tc>
          <w:tcPr/>
          <w:p>
            <w:pPr>
              <w:pStyle w:val="Compact"/>
              <w:spacing w:line="240" w:lineRule="auto" w:after="0"/>
              <w:jc w:val="left"/>
            </w:pPr>
            <w:r>
              <w:rPr>
                <w:rFonts w:ascii="Times New Roman" w:hAnsi="Times New Roman"/>
                <w:b/>
                <w:sz w:val="20"/>
              </w:rPr>
              <w:t xml:space="preserve">Belgeleme</w:t>
            </w:r>
          </w:p>
        </w:tc>
      </w:tr>
      <w:tr>
        <w:tc>
          <w:tcPr/>
          <w:p>
            <w:pPr>
              <w:pStyle w:val="Compact"/>
              <w:spacing w:line="240" w:lineRule="auto" w:after="0"/>
              <w:jc w:val="left"/>
            </w:pPr>
            <w:r>
              <w:rPr>
                <w:rFonts w:ascii="Times New Roman" w:hAnsi="Times New Roman"/>
                <w:sz w:val="20"/>
              </w:rPr>
              <w:t xml:space="preserve">Aşama 1: RORB 75. yüzdelik ile tanımlanan tek alt tip</w:t>
            </w:r>
          </w:p>
        </w:tc>
        <w:tc>
          <w:tcPr/>
          <w:p>
            <w:pPr>
              <w:pStyle w:val="Compact"/>
              <w:spacing w:line="240" w:lineRule="auto" w:after="0"/>
              <w:jc w:val="left"/>
            </w:pPr>
            <w:r>
              <w:rPr>
                <w:rFonts w:ascii="Times New Roman" w:hAnsi="Times New Roman"/>
                <w:sz w:val="20"/>
              </w:rPr>
              <w:t xml:space="preserve">Leng’in üç RORB+ alt-kümesi (s1, s2, s4), donör düzeyinde toplanarak</w:t>
            </w:r>
          </w:p>
        </w:tc>
        <w:tc>
          <w:tcPr/>
          <w:p>
            <w:pPr>
              <w:pStyle w:val="Compact"/>
              <w:spacing w:line="240" w:lineRule="auto" w:after="0"/>
              <w:jc w:val="left"/>
            </w:pPr>
            <w:r>
              <w:rPr>
                <w:rFonts w:ascii="Times New Roman" w:hAnsi="Times New Roman"/>
                <w:sz w:val="20"/>
              </w:rPr>
              <w:t xml:space="preserve">Orijinal çalışmanın savunmasız alt-küme tanımı</w:t>
            </w:r>
          </w:p>
        </w:tc>
        <w:tc>
          <w:tcPr/>
          <w:p>
            <w:pPr>
              <w:pStyle w:val="Compact"/>
              <w:spacing w:line="240" w:lineRule="auto" w:after="0"/>
              <w:jc w:val="left"/>
            </w:pPr>
            <w:r>
              <w:rPr>
                <w:rFonts w:ascii="Times New Roman" w:hAnsi="Times New Roman"/>
                <w:sz w:val="20"/>
              </w:rPr>
              <w:t xml:space="preserve">Veri incelemesi sırasında, sonuçlardan önce</w:t>
            </w:r>
          </w:p>
        </w:tc>
      </w:tr>
      <w:tr>
        <w:tc>
          <w:tcPr/>
          <w:p>
            <w:pPr>
              <w:pStyle w:val="Compact"/>
              <w:spacing w:line="240" w:lineRule="auto" w:after="0"/>
              <w:jc w:val="left"/>
            </w:pPr>
            <w:r>
              <w:rPr>
                <w:rFonts w:ascii="Times New Roman" w:hAnsi="Times New Roman"/>
                <w:sz w:val="20"/>
              </w:rPr>
              <w:t xml:space="preserve">Aşama 1: Braak VI vs 0</w:t>
            </w:r>
          </w:p>
        </w:tc>
        <w:tc>
          <w:tcPr/>
          <w:p>
            <w:pPr>
              <w:pStyle w:val="Compact"/>
              <w:spacing w:line="240" w:lineRule="auto" w:after="0"/>
              <w:jc w:val="left"/>
            </w:pPr>
            <w:r>
              <w:rPr>
                <w:rFonts w:ascii="Times New Roman" w:hAnsi="Times New Roman"/>
                <w:sz w:val="20"/>
              </w:rPr>
              <w:t xml:space="preserve">Birincil olarak korundu; Braak II vs 0 ikincil kontrast</w:t>
            </w:r>
          </w:p>
        </w:tc>
        <w:tc>
          <w:tcPr/>
          <w:p>
            <w:pPr>
              <w:pStyle w:val="Compact"/>
              <w:spacing w:line="240" w:lineRule="auto" w:after="0"/>
              <w:jc w:val="left"/>
            </w:pPr>
            <w:r>
              <w:rPr>
                <w:rFonts w:ascii="Times New Roman" w:hAnsi="Times New Roman"/>
                <w:sz w:val="20"/>
              </w:rPr>
              <w:t xml:space="preserve">Nöron kaybının Braak II’de belirginleşmesi</w:t>
            </w:r>
          </w:p>
        </w:tc>
        <w:tc>
          <w:tcPr/>
          <w:p>
            <w:pPr>
              <w:pStyle w:val="Compact"/>
              <w:spacing w:line="240" w:lineRule="auto" w:after="0"/>
              <w:jc w:val="left"/>
            </w:pPr>
            <w:r>
              <w:rPr>
                <w:rFonts w:ascii="Times New Roman" w:hAnsi="Times New Roman"/>
                <w:sz w:val="20"/>
              </w:rPr>
              <w:t xml:space="preserve">Sonuçlardan önce</w:t>
            </w:r>
          </w:p>
        </w:tc>
      </w:tr>
      <w:tr>
        <w:tc>
          <w:tcPr/>
          <w:p>
            <w:pPr>
              <w:pStyle w:val="Compact"/>
              <w:spacing w:line="240" w:lineRule="auto" w:after="0"/>
              <w:jc w:val="left"/>
            </w:pPr>
            <w:r>
              <w:rPr>
                <w:rFonts w:ascii="Times New Roman" w:hAnsi="Times New Roman"/>
                <w:sz w:val="20"/>
              </w:rPr>
              <w:t xml:space="preserve">Aşama 1: yaş ve cinsiyet kovaryat</w:t>
            </w:r>
          </w:p>
        </w:tc>
        <w:tc>
          <w:tcPr/>
          <w:p>
            <w:pPr>
              <w:pStyle w:val="Compact"/>
              <w:spacing w:line="240" w:lineRule="auto" w:after="0"/>
              <w:jc w:val="left"/>
            </w:pPr>
            <w:r>
              <w:rPr>
                <w:rFonts w:ascii="Times New Roman" w:hAnsi="Times New Roman"/>
                <w:sz w:val="20"/>
              </w:rPr>
              <w:t xml:space="preserve">Yaş dahil; cinsiyet çıkarıldı</w:t>
            </w:r>
          </w:p>
        </w:tc>
        <w:tc>
          <w:tcPr/>
          <w:p>
            <w:pPr>
              <w:pStyle w:val="Compact"/>
              <w:spacing w:line="240" w:lineRule="auto" w:after="0"/>
              <w:jc w:val="left"/>
            </w:pPr>
            <w:r>
              <w:rPr>
                <w:rFonts w:ascii="Times New Roman" w:hAnsi="Times New Roman"/>
                <w:sz w:val="20"/>
              </w:rPr>
              <w:t xml:space="preserve">Tüm donörler erkek</w:t>
            </w:r>
          </w:p>
        </w:tc>
        <w:tc>
          <w:tcPr/>
          <w:p>
            <w:pPr>
              <w:pStyle w:val="Compact"/>
              <w:spacing w:line="240" w:lineRule="auto" w:after="0"/>
              <w:jc w:val="left"/>
            </w:pPr>
            <w:r>
              <w:rPr>
                <w:rFonts w:ascii="Times New Roman" w:hAnsi="Times New Roman"/>
                <w:sz w:val="20"/>
              </w:rPr>
              <w:t xml:space="preserve">Sonuçlardan önce</w:t>
            </w:r>
          </w:p>
        </w:tc>
      </w:tr>
      <w:tr>
        <w:tc>
          <w:tcPr/>
          <w:p>
            <w:pPr>
              <w:pStyle w:val="Compact"/>
              <w:spacing w:line="240" w:lineRule="auto" w:after="0"/>
              <w:jc w:val="left"/>
            </w:pPr>
            <w:r>
              <w:rPr>
                <w:rFonts w:ascii="Times New Roman" w:hAnsi="Times New Roman"/>
                <w:sz w:val="20"/>
              </w:rPr>
              <w:t xml:space="preserve">Aşama 1: donör düzeyinde çıkarım</w:t>
            </w:r>
          </w:p>
        </w:tc>
        <w:tc>
          <w:tcPr/>
          <w:p>
            <w:pPr>
              <w:pStyle w:val="Compact"/>
              <w:spacing w:line="240" w:lineRule="auto" w:after="0"/>
              <w:jc w:val="left"/>
            </w:pPr>
            <w:r>
              <w:rPr>
                <w:rFonts w:ascii="Times New Roman" w:hAnsi="Times New Roman"/>
                <w:sz w:val="20"/>
              </w:rPr>
              <w:t xml:space="preserve">Orijinal uygulamada donör modellenmemişti; yeniden analizde donör düzeyinde</w:t>
            </w:r>
          </w:p>
        </w:tc>
        <w:tc>
          <w:tcPr/>
          <w:p>
            <w:pPr>
              <w:pStyle w:val="Compact"/>
              <w:spacing w:line="240" w:lineRule="auto" w:after="0"/>
              <w:jc w:val="left"/>
            </w:pPr>
            <w:r>
              <w:rPr>
                <w:rFonts w:ascii="Times New Roman" w:hAnsi="Times New Roman"/>
                <w:sz w:val="20"/>
              </w:rPr>
              <w:t xml:space="preserve">Psödo-replikasyon</w:t>
            </w:r>
          </w:p>
        </w:tc>
        <w:tc>
          <w:tcPr/>
          <w:p>
            <w:pPr>
              <w:pStyle w:val="Compact"/>
              <w:spacing w:line="240" w:lineRule="auto" w:after="0"/>
              <w:jc w:val="left"/>
            </w:pPr>
            <w:r>
              <w:rPr>
                <w:rFonts w:ascii="Times New Roman" w:hAnsi="Times New Roman"/>
                <w:sz w:val="20"/>
              </w:rPr>
              <w:t xml:space="preserve">Denetimde tespit edildi</w:t>
            </w:r>
          </w:p>
        </w:tc>
      </w:tr>
      <w:tr>
        <w:tc>
          <w:tcPr/>
          <w:p>
            <w:pPr>
              <w:pStyle w:val="Compact"/>
              <w:spacing w:line="240" w:lineRule="auto" w:after="0"/>
              <w:jc w:val="left"/>
            </w:pPr>
            <w:r>
              <w:rPr>
                <w:rFonts w:ascii="Times New Roman" w:hAnsi="Times New Roman"/>
                <w:sz w:val="20"/>
              </w:rPr>
              <w:t xml:space="preserve">Aşama 1: imza için log2FC &lt; −0,5</w:t>
            </w:r>
          </w:p>
        </w:tc>
        <w:tc>
          <w:tcPr/>
          <w:p>
            <w:pPr>
              <w:pStyle w:val="Compact"/>
              <w:spacing w:line="240" w:lineRule="auto" w:after="0"/>
              <w:jc w:val="left"/>
            </w:pPr>
            <w:r>
              <w:rPr>
                <w:rFonts w:ascii="Times New Roman" w:hAnsi="Times New Roman"/>
                <w:sz w:val="20"/>
              </w:rPr>
              <w:t xml:space="preserve">Orijinal uygulamada uygulanmamıştı; yeniden analizde uygulandı</w:t>
            </w:r>
          </w:p>
        </w:tc>
        <w:tc>
          <w:tcPr/>
          <w:p>
            <w:pPr>
              <w:pStyle w:val="Compact"/>
              <w:spacing w:line="240" w:lineRule="auto" w:after="0"/>
              <w:jc w:val="left"/>
            </w:pPr>
            <w:r>
              <w:rPr>
                <w:rFonts w:ascii="Times New Roman" w:hAnsi="Times New Roman"/>
                <w:sz w:val="20"/>
              </w:rPr>
              <w:t xml:space="preserve">Plana dönüş</w:t>
            </w:r>
          </w:p>
        </w:tc>
        <w:tc>
          <w:tcPr/>
          <w:p>
            <w:pPr>
              <w:pStyle w:val="Compact"/>
              <w:spacing w:line="240" w:lineRule="auto" w:after="0"/>
              <w:jc w:val="left"/>
            </w:pPr>
            <w:r>
              <w:rPr>
                <w:rFonts w:ascii="Times New Roman" w:hAnsi="Times New Roman"/>
                <w:sz w:val="20"/>
              </w:rPr>
              <w:t xml:space="preserve">Denetimde tespit edildi</w:t>
            </w:r>
          </w:p>
        </w:tc>
      </w:tr>
      <w:tr>
        <w:tc>
          <w:tcPr/>
          <w:p>
            <w:pPr>
              <w:pStyle w:val="Compact"/>
              <w:spacing w:line="240" w:lineRule="auto" w:after="0"/>
              <w:jc w:val="left"/>
            </w:pPr>
            <w:r>
              <w:rPr>
                <w:rFonts w:ascii="Times New Roman" w:hAnsi="Times New Roman"/>
                <w:sz w:val="20"/>
              </w:rPr>
              <w:t xml:space="preserve">Aşama 2: 24 tümör</w:t>
            </w:r>
          </w:p>
        </w:tc>
        <w:tc>
          <w:tcPr/>
          <w:p>
            <w:pPr>
              <w:pStyle w:val="Compact"/>
              <w:spacing w:line="240" w:lineRule="auto" w:after="0"/>
              <w:jc w:val="left"/>
            </w:pPr>
            <w:r>
              <w:rPr>
                <w:rFonts w:ascii="Times New Roman" w:hAnsi="Times New Roman"/>
                <w:sz w:val="20"/>
              </w:rPr>
              <w:t xml:space="preserve">20 tümör (36 pseudo-bulk örnek)</w:t>
            </w:r>
          </w:p>
        </w:tc>
        <w:tc>
          <w:tcPr/>
          <w:p>
            <w:pPr>
              <w:pStyle w:val="Compact"/>
              <w:spacing w:line="240" w:lineRule="auto" w:after="0"/>
              <w:jc w:val="left"/>
            </w:pPr>
            <w:r>
              <w:rPr>
                <w:rFonts w:ascii="Times New Roman" w:hAnsi="Times New Roman"/>
                <w:sz w:val="20"/>
              </w:rPr>
              <w:t xml:space="preserve">Asgari hücre sayısı filtresi</w:t>
            </w:r>
          </w:p>
        </w:tc>
        <w:tc>
          <w:tcPr/>
          <w:p>
            <w:pPr>
              <w:pStyle w:val="Compact"/>
              <w:spacing w:line="240" w:lineRule="auto" w:after="0"/>
              <w:jc w:val="left"/>
            </w:pPr>
            <w:r>
              <w:rPr>
                <w:rFonts w:ascii="Times New Roman" w:hAnsi="Times New Roman"/>
                <w:sz w:val="20"/>
              </w:rPr>
              <w:t xml:space="preserve">Analiz sırasında</w:t>
            </w:r>
          </w:p>
        </w:tc>
      </w:tr>
      <w:tr>
        <w:tc>
          <w:tcPr/>
          <w:p>
            <w:pPr>
              <w:pStyle w:val="Compact"/>
              <w:spacing w:line="240" w:lineRule="auto" w:after="0"/>
              <w:jc w:val="left"/>
            </w:pPr>
            <w:r>
              <w:rPr>
                <w:rFonts w:ascii="Times New Roman" w:hAnsi="Times New Roman"/>
                <w:sz w:val="20"/>
              </w:rPr>
              <w:t xml:space="preserve">Aşama 3, Test 1: DU konumunda BH düzeltmesi</w:t>
            </w:r>
          </w:p>
        </w:tc>
        <w:tc>
          <w:tcPr/>
          <w:p>
            <w:pPr>
              <w:pStyle w:val="Compact"/>
              <w:spacing w:line="240" w:lineRule="auto" w:after="0"/>
              <w:jc w:val="left"/>
            </w:pPr>
            <w:r>
              <w:rPr>
                <w:rFonts w:ascii="Times New Roman" w:hAnsi="Times New Roman"/>
                <w:sz w:val="20"/>
              </w:rPr>
              <w:t xml:space="preserve">DU konumunda, piksel sayısıyla çarpılan düzeltme</w:t>
            </w:r>
          </w:p>
        </w:tc>
        <w:tc>
          <w:tcPr/>
          <w:p>
            <w:pPr>
              <w:pStyle w:val="Compact"/>
              <w:spacing w:line="240" w:lineRule="auto" w:after="0"/>
              <w:jc w:val="left"/>
            </w:pPr>
            <w:r>
              <w:rPr>
                <w:rFonts w:ascii="Times New Roman" w:hAnsi="Times New Roman"/>
                <w:sz w:val="20"/>
              </w:rPr>
              <w:t xml:space="preserve">Orijinal uygulamayla tutarlılık (daha konservatif)</w:t>
            </w:r>
          </w:p>
        </w:tc>
        <w:tc>
          <w:tcPr/>
          <w:p>
            <w:pPr>
              <w:pStyle w:val="Compact"/>
              <w:spacing w:line="240" w:lineRule="auto" w:after="0"/>
              <w:jc w:val="left"/>
            </w:pPr>
            <w:r>
              <w:rPr>
                <w:rFonts w:ascii="Times New Roman" w:hAnsi="Times New Roman"/>
                <w:sz w:val="20"/>
              </w:rPr>
              <w:t xml:space="preserve">Yeniden analiz öncesi</w:t>
            </w:r>
          </w:p>
        </w:tc>
      </w:tr>
      <w:tr>
        <w:tc>
          <w:tcPr/>
          <w:p>
            <w:pPr>
              <w:pStyle w:val="Compact"/>
              <w:spacing w:line="240" w:lineRule="auto" w:after="0"/>
              <w:jc w:val="left"/>
            </w:pPr>
            <w:r>
              <w:rPr>
                <w:rFonts w:ascii="Times New Roman" w:hAnsi="Times New Roman"/>
                <w:sz w:val="20"/>
              </w:rPr>
              <w:t xml:space="preserve">Aşama 4: bMIND</w:t>
            </w:r>
          </w:p>
        </w:tc>
        <w:tc>
          <w:tcPr/>
          <w:p>
            <w:pPr>
              <w:pStyle w:val="Compact"/>
              <w:spacing w:line="240" w:lineRule="auto" w:after="0"/>
              <w:jc w:val="left"/>
            </w:pPr>
            <w:r>
              <w:rPr>
                <w:rFonts w:ascii="Times New Roman" w:hAnsi="Times New Roman"/>
                <w:sz w:val="20"/>
              </w:rPr>
              <w:t xml:space="preserve">MuSiC, Allen insan M1 referansı</w:t>
            </w:r>
          </w:p>
        </w:tc>
        <w:tc>
          <w:tcPr/>
          <w:p>
            <w:pPr>
              <w:pStyle w:val="Compact"/>
              <w:spacing w:line="240" w:lineRule="auto" w:after="0"/>
              <w:jc w:val="left"/>
            </w:pPr>
            <w:r>
              <w:rPr>
                <w:rFonts w:ascii="Times New Roman" w:hAnsi="Times New Roman"/>
                <w:sz w:val="20"/>
              </w:rPr>
              <w:t xml:space="preserve">Paket erişilebilirliği</w:t>
            </w:r>
          </w:p>
        </w:tc>
        <w:tc>
          <w:tcPr/>
          <w:p>
            <w:pPr>
              <w:pStyle w:val="Compact"/>
              <w:spacing w:line="240" w:lineRule="auto" w:after="0"/>
              <w:jc w:val="left"/>
            </w:pPr>
            <w:r>
              <w:rPr>
                <w:rFonts w:ascii="Times New Roman" w:hAnsi="Times New Roman"/>
                <w:sz w:val="20"/>
              </w:rPr>
              <w:t xml:space="preserve">Analiz öncesi</w:t>
            </w:r>
          </w:p>
        </w:tc>
      </w:tr>
      <w:tr>
        <w:tc>
          <w:tcPr/>
          <w:p>
            <w:pPr>
              <w:pStyle w:val="Compact"/>
              <w:spacing w:line="240" w:lineRule="auto" w:after="0"/>
              <w:jc w:val="left"/>
            </w:pPr>
            <w:r>
              <w:rPr>
                <w:rFonts w:ascii="Times New Roman" w:hAnsi="Times New Roman"/>
                <w:sz w:val="20"/>
              </w:rPr>
              <w:t xml:space="preserve">Aşama 4: referans künyesi Tasic ve ark. (2018)</w:t>
            </w:r>
          </w:p>
        </w:tc>
        <w:tc>
          <w:tcPr/>
          <w:p>
            <w:pPr>
              <w:pStyle w:val="Compact"/>
              <w:spacing w:line="240" w:lineRule="auto" w:after="0"/>
              <w:jc w:val="left"/>
            </w:pPr>
            <w:r>
              <w:rPr>
                <w:rFonts w:ascii="Times New Roman" w:hAnsi="Times New Roman"/>
                <w:sz w:val="20"/>
              </w:rPr>
              <w:t xml:space="preserve">Bakken ve ark. (2021)</w:t>
            </w:r>
          </w:p>
        </w:tc>
        <w:tc>
          <w:tcPr/>
          <w:p>
            <w:pPr>
              <w:pStyle w:val="Compact"/>
              <w:spacing w:line="240" w:lineRule="auto" w:after="0"/>
              <w:jc w:val="left"/>
            </w:pPr>
            <w:r>
              <w:rPr>
                <w:rFonts w:ascii="Times New Roman" w:hAnsi="Times New Roman"/>
                <w:sz w:val="20"/>
              </w:rPr>
              <w:t xml:space="preserve">Plandaki künye fare verisine aittir; kullanılan insan M1 verisinin kaynağı Bakken ve ark. (2021)</w:t>
            </w:r>
          </w:p>
        </w:tc>
        <w:tc>
          <w:tcPr/>
          <w:p>
            <w:pPr>
              <w:pStyle w:val="Compact"/>
              <w:spacing w:line="240" w:lineRule="auto" w:after="0"/>
              <w:jc w:val="left"/>
            </w:pPr>
            <w:r>
              <w:rPr>
                <w:rFonts w:ascii="Times New Roman" w:hAnsi="Times New Roman"/>
                <w:sz w:val="20"/>
              </w:rPr>
              <w:t xml:space="preserve">Analiz öncesi</w:t>
            </w:r>
          </w:p>
        </w:tc>
      </w:tr>
      <w:tr>
        <w:tc>
          <w:tcPr/>
          <w:p>
            <w:pPr>
              <w:pStyle w:val="Compact"/>
              <w:spacing w:line="240" w:lineRule="auto" w:after="0"/>
              <w:jc w:val="left"/>
            </w:pPr>
            <w:r>
              <w:rPr>
                <w:rFonts w:ascii="Times New Roman" w:hAnsi="Times New Roman"/>
                <w:sz w:val="20"/>
              </w:rPr>
              <w:t xml:space="preserve">Aşama 4: AH kohortunda hipokampus ve entorinal korteks</w:t>
            </w:r>
          </w:p>
        </w:tc>
        <w:tc>
          <w:tcPr/>
          <w:p>
            <w:pPr>
              <w:pStyle w:val="Compact"/>
              <w:spacing w:line="240" w:lineRule="auto" w:after="0"/>
              <w:jc w:val="left"/>
            </w:pPr>
            <w:r>
              <w:rPr>
                <w:rFonts w:ascii="Times New Roman" w:hAnsi="Times New Roman"/>
                <w:sz w:val="20"/>
              </w:rPr>
              <w:t xml:space="preserve">Yalnızca hipokampus</w:t>
            </w:r>
          </w:p>
        </w:tc>
        <w:tc>
          <w:tcPr/>
          <w:p>
            <w:pPr>
              <w:pStyle w:val="Compact"/>
              <w:spacing w:line="240" w:lineRule="auto" w:after="0"/>
              <w:jc w:val="left"/>
            </w:pPr>
            <w:r>
              <w:rPr>
                <w:rFonts w:ascii="Times New Roman" w:hAnsi="Times New Roman"/>
                <w:sz w:val="20"/>
              </w:rPr>
              <w:t xml:space="preserve">İki platformda ortak bölge</w:t>
            </w:r>
          </w:p>
        </w:tc>
        <w:tc>
          <w:tcPr/>
          <w:p>
            <w:pPr>
              <w:pStyle w:val="Compact"/>
              <w:spacing w:line="240" w:lineRule="auto" w:after="0"/>
              <w:jc w:val="left"/>
            </w:pPr>
            <w:r>
              <w:rPr>
                <w:rFonts w:ascii="Times New Roman" w:hAnsi="Times New Roman"/>
                <w:sz w:val="20"/>
              </w:rPr>
              <w:t xml:space="preserve">Analiz öncesi</w:t>
            </w:r>
          </w:p>
        </w:tc>
      </w:tr>
      <w:tr>
        <w:tc>
          <w:tcPr/>
          <w:p>
            <w:pPr>
              <w:pStyle w:val="Compact"/>
              <w:spacing w:line="240" w:lineRule="auto" w:after="0"/>
              <w:jc w:val="left"/>
            </w:pPr>
            <w:r>
              <w:rPr>
                <w:rFonts w:ascii="Times New Roman" w:hAnsi="Times New Roman"/>
                <w:sz w:val="20"/>
              </w:rPr>
              <w:t xml:space="preserve">Aşama 4: GSE48350 tanı alanı</w:t>
            </w:r>
          </w:p>
        </w:tc>
        <w:tc>
          <w:tcPr/>
          <w:p>
            <w:pPr>
              <w:pStyle w:val="Compact"/>
              <w:spacing w:line="240" w:lineRule="auto" w:after="0"/>
              <w:jc w:val="left"/>
            </w:pPr>
            <w:r>
              <w:rPr>
                <w:rFonts w:ascii="Times New Roman" w:hAnsi="Times New Roman"/>
                <w:sz w:val="20"/>
              </w:rPr>
              <w:t xml:space="preserve">Braak tabanlı AH tanımı</w:t>
            </w:r>
          </w:p>
        </w:tc>
        <w:tc>
          <w:tcPr/>
          <w:p>
            <w:pPr>
              <w:pStyle w:val="Compact"/>
              <w:spacing w:line="240" w:lineRule="auto" w:after="0"/>
              <w:jc w:val="left"/>
            </w:pPr>
            <w:r>
              <w:rPr>
                <w:rFonts w:ascii="Times New Roman" w:hAnsi="Times New Roman"/>
                <w:sz w:val="20"/>
              </w:rPr>
              <w:t xml:space="preserve">Metadata’da tanı alanı yok</w:t>
            </w:r>
          </w:p>
        </w:tc>
        <w:tc>
          <w:tcPr/>
          <w:p>
            <w:pPr>
              <w:pStyle w:val="Compact"/>
              <w:spacing w:line="240" w:lineRule="auto" w:after="0"/>
              <w:jc w:val="left"/>
            </w:pPr>
            <w:r>
              <w:rPr>
                <w:rFonts w:ascii="Times New Roman" w:hAnsi="Times New Roman"/>
                <w:sz w:val="20"/>
              </w:rPr>
              <w:t xml:space="preserve">Analiz öncesi</w:t>
            </w:r>
          </w:p>
        </w:tc>
      </w:tr>
      <w:tr>
        <w:tc>
          <w:tcPr/>
          <w:p>
            <w:pPr>
              <w:pStyle w:val="Compact"/>
              <w:spacing w:line="240" w:lineRule="auto" w:after="0"/>
              <w:jc w:val="left"/>
            </w:pPr>
            <w:r>
              <w:rPr>
                <w:rFonts w:ascii="Times New Roman" w:hAnsi="Times New Roman"/>
                <w:sz w:val="20"/>
              </w:rPr>
              <w:t xml:space="preserve">Aşama 4: ComBat’ta tanı ve beyin bölgesi korunur</w:t>
            </w:r>
          </w:p>
        </w:tc>
        <w:tc>
          <w:tcPr/>
          <w:p>
            <w:pPr>
              <w:pStyle w:val="Compact"/>
              <w:spacing w:line="240" w:lineRule="auto" w:after="0"/>
              <w:jc w:val="left"/>
            </w:pPr>
            <w:r>
              <w:rPr>
                <w:rFonts w:ascii="Times New Roman" w:hAnsi="Times New Roman"/>
                <w:sz w:val="20"/>
              </w:rPr>
              <w:t xml:space="preserve">Tanı ve cinsiyet korundu</w:t>
            </w:r>
          </w:p>
        </w:tc>
        <w:tc>
          <w:tcPr/>
          <w:p>
            <w:pPr>
              <w:pStyle w:val="Compact"/>
              <w:spacing w:line="240" w:lineRule="auto" w:after="0"/>
              <w:jc w:val="left"/>
            </w:pPr>
            <w:r>
              <w:rPr>
                <w:rFonts w:ascii="Times New Roman" w:hAnsi="Times New Roman"/>
                <w:sz w:val="20"/>
              </w:rPr>
              <w:t xml:space="preserve">Bölge tek düzeyli; cinsiyet aday kovaryatlara eklenmişti</w:t>
            </w:r>
          </w:p>
        </w:tc>
        <w:tc>
          <w:tcPr/>
          <w:p>
            <w:pPr>
              <w:pStyle w:val="Compact"/>
              <w:spacing w:line="240" w:lineRule="auto" w:after="0"/>
              <w:jc w:val="left"/>
            </w:pPr>
            <w:r>
              <w:rPr>
                <w:rFonts w:ascii="Times New Roman" w:hAnsi="Times New Roman"/>
                <w:sz w:val="20"/>
              </w:rPr>
              <w:t xml:space="preserve">Analiz öncesi (kodda)</w:t>
            </w:r>
          </w:p>
        </w:tc>
      </w:tr>
      <w:tr>
        <w:tc>
          <w:tcPr/>
          <w:p>
            <w:pPr>
              <w:pStyle w:val="Compact"/>
              <w:spacing w:line="240" w:lineRule="auto" w:after="0"/>
              <w:jc w:val="left"/>
            </w:pPr>
            <w:r>
              <w:rPr>
                <w:rFonts w:ascii="Times New Roman" w:hAnsi="Times New Roman"/>
                <w:sz w:val="20"/>
              </w:rPr>
              <w:t xml:space="preserve">Aşama 4: Model A’da beyin bölgesi</w:t>
            </w:r>
          </w:p>
        </w:tc>
        <w:tc>
          <w:tcPr/>
          <w:p>
            <w:pPr>
              <w:pStyle w:val="Compact"/>
              <w:spacing w:line="240" w:lineRule="auto" w:after="0"/>
              <w:jc w:val="left"/>
            </w:pPr>
            <w:r>
              <w:rPr>
                <w:rFonts w:ascii="Times New Roman" w:hAnsi="Times New Roman"/>
                <w:sz w:val="20"/>
              </w:rPr>
              <w:t xml:space="preserve">Çıkarıldı</w:t>
            </w:r>
          </w:p>
        </w:tc>
        <w:tc>
          <w:tcPr/>
          <w:p>
            <w:pPr>
              <w:pStyle w:val="Compact"/>
              <w:spacing w:line="240" w:lineRule="auto" w:after="0"/>
              <w:jc w:val="left"/>
            </w:pPr>
            <w:r>
              <w:rPr>
                <w:rFonts w:ascii="Times New Roman" w:hAnsi="Times New Roman"/>
                <w:sz w:val="20"/>
              </w:rPr>
              <w:t xml:space="preserve">AH’de tek düzey; GBM’de tanıyla çakışma</w:t>
            </w:r>
          </w:p>
        </w:tc>
        <w:tc>
          <w:tcPr/>
          <w:p>
            <w:pPr>
              <w:pStyle w:val="Compact"/>
              <w:spacing w:line="240" w:lineRule="auto" w:after="0"/>
              <w:jc w:val="left"/>
            </w:pPr>
            <w:r>
              <w:rPr>
                <w:rFonts w:ascii="Times New Roman" w:hAnsi="Times New Roman"/>
                <w:sz w:val="20"/>
              </w:rPr>
              <w:t xml:space="preserve">Analiz öncesi</w:t>
            </w:r>
          </w:p>
        </w:tc>
      </w:tr>
      <w:tr>
        <w:tc>
          <w:tcPr/>
          <w:p>
            <w:pPr>
              <w:pStyle w:val="Compact"/>
              <w:spacing w:line="240" w:lineRule="auto" w:after="0"/>
              <w:jc w:val="left"/>
            </w:pPr>
            <w:r>
              <w:rPr>
                <w:rFonts w:ascii="Times New Roman" w:hAnsi="Times New Roman"/>
                <w:sz w:val="20"/>
              </w:rPr>
              <w:t xml:space="preserve">Aşama 4: GTEx RIN &lt; 6 ve Hardy &gt; 3 dışlama</w:t>
            </w:r>
          </w:p>
        </w:tc>
        <w:tc>
          <w:tcPr/>
          <w:p>
            <w:pPr>
              <w:pStyle w:val="Compact"/>
              <w:spacing w:line="240" w:lineRule="auto" w:after="0"/>
              <w:jc w:val="left"/>
            </w:pPr>
            <w:r>
              <w:rPr>
                <w:rFonts w:ascii="Times New Roman" w:hAnsi="Times New Roman"/>
                <w:sz w:val="20"/>
              </w:rPr>
              <w:t xml:space="preserve">Uygulanmadı</w:t>
            </w:r>
          </w:p>
        </w:tc>
        <w:tc>
          <w:tcPr/>
          <w:p>
            <w:pPr>
              <w:pStyle w:val="Compact"/>
              <w:spacing w:line="240" w:lineRule="auto" w:after="0"/>
              <w:jc w:val="left"/>
            </w:pPr>
            <w:r>
              <w:rPr>
                <w:rFonts w:ascii="Times New Roman" w:hAnsi="Times New Roman"/>
                <w:sz w:val="20"/>
              </w:rPr>
              <w:t xml:space="preserve">Xena fenotipinde yok</w:t>
            </w:r>
          </w:p>
        </w:tc>
        <w:tc>
          <w:tcPr/>
          <w:p>
            <w:pPr>
              <w:pStyle w:val="Compact"/>
              <w:spacing w:line="240" w:lineRule="auto" w:after="0"/>
              <w:jc w:val="left"/>
            </w:pPr>
            <w:r>
              <w:rPr>
                <w:rFonts w:ascii="Times New Roman" w:hAnsi="Times New Roman"/>
                <w:sz w:val="20"/>
              </w:rPr>
              <w:t xml:space="preserve">Analiz öncesi</w:t>
            </w:r>
          </w:p>
        </w:tc>
      </w:tr>
      <w:tr>
        <w:tc>
          <w:tcPr/>
          <w:p>
            <w:pPr>
              <w:pStyle w:val="Compact"/>
              <w:spacing w:line="240" w:lineRule="auto" w:after="0"/>
              <w:jc w:val="left"/>
            </w:pPr>
            <w:r>
              <w:rPr>
                <w:rFonts w:ascii="Times New Roman" w:hAnsi="Times New Roman"/>
                <w:sz w:val="20"/>
              </w:rPr>
              <w:t xml:space="preserve">Aşama 4: H1’in terk edilmesi (22 Eylül kaydı)</w:t>
            </w:r>
          </w:p>
        </w:tc>
        <w:tc>
          <w:tcPr/>
          <w:p>
            <w:pPr>
              <w:pStyle w:val="Compact"/>
              <w:spacing w:line="240" w:lineRule="auto" w:after="0"/>
              <w:jc w:val="left"/>
            </w:pPr>
            <w:r>
              <w:rPr>
                <w:rFonts w:ascii="Times New Roman" w:hAnsi="Times New Roman"/>
                <w:sz w:val="20"/>
              </w:rPr>
              <w:t xml:space="preserve">H1 plana uygun olarak test edildi</w:t>
            </w:r>
          </w:p>
        </w:tc>
        <w:tc>
          <w:tcPr/>
          <w:p>
            <w:pPr>
              <w:pStyle w:val="Compact"/>
              <w:spacing w:line="240" w:lineRule="auto" w:after="0"/>
              <w:jc w:val="left"/>
            </w:pPr>
            <w:r>
              <w:rPr>
                <w:rFonts w:ascii="Times New Roman" w:hAnsi="Times New Roman"/>
                <w:sz w:val="20"/>
              </w:rPr>
              <w:t xml:space="preserve">Terk gerekçesi (erişim anlaşması) hatalıydı</w:t>
            </w:r>
          </w:p>
        </w:tc>
        <w:tc>
          <w:tcPr/>
          <w:p>
            <w:pPr>
              <w:pStyle w:val="Compact"/>
              <w:spacing w:line="240" w:lineRule="auto" w:after="0"/>
              <w:jc w:val="left"/>
            </w:pPr>
            <w:r>
              <w:rPr>
                <w:rFonts w:ascii="Times New Roman" w:hAnsi="Times New Roman"/>
                <w:sz w:val="20"/>
              </w:rPr>
              <w:t xml:space="preserve">Denetimde tespit edildi</w:t>
            </w:r>
          </w:p>
        </w:tc>
      </w:tr>
      <w:tr>
        <w:tc>
          <w:tcPr/>
          <w:p>
            <w:pPr>
              <w:pStyle w:val="Compact"/>
              <w:spacing w:line="240" w:lineRule="auto" w:after="0"/>
              <w:jc w:val="left"/>
            </w:pPr>
            <w:r>
              <w:rPr>
                <w:rFonts w:ascii="Times New Roman" w:hAnsi="Times New Roman"/>
                <w:sz w:val="20"/>
              </w:rPr>
              <w:t xml:space="preserve">—</w:t>
            </w:r>
          </w:p>
        </w:tc>
        <w:tc>
          <w:tcPr/>
          <w:p>
            <w:pPr>
              <w:pStyle w:val="Compact"/>
              <w:spacing w:line="240" w:lineRule="auto" w:after="0"/>
              <w:jc w:val="left"/>
            </w:pPr>
            <w:r>
              <w:rPr>
                <w:rFonts w:ascii="Times New Roman" w:hAnsi="Times New Roman"/>
                <w:sz w:val="20"/>
              </w:rPr>
              <w:t xml:space="preserve">GSE125583 kohortu</w:t>
            </w:r>
          </w:p>
        </w:tc>
        <w:tc>
          <w:tcPr/>
          <w:p>
            <w:pPr>
              <w:pStyle w:val="Compact"/>
              <w:spacing w:line="240" w:lineRule="auto" w:after="0"/>
              <w:jc w:val="left"/>
            </w:pPr>
            <w:r>
              <w:rPr>
                <w:rFonts w:ascii="Times New Roman" w:hAnsi="Times New Roman"/>
                <w:sz w:val="20"/>
              </w:rPr>
              <w:t xml:space="preserve">Planda yok; yalnızca keşifsel</w:t>
            </w:r>
          </w:p>
        </w:tc>
        <w:tc>
          <w:tcPr/>
          <w:p>
            <w:pPr>
              <w:pStyle w:val="Compact"/>
              <w:spacing w:line="240" w:lineRule="auto" w:after="0"/>
              <w:jc w:val="left"/>
            </w:pPr>
            <w:r>
              <w:rPr>
                <w:rFonts w:ascii="Times New Roman" w:hAnsi="Times New Roman"/>
                <w:sz w:val="20"/>
              </w:rPr>
              <w:t xml:space="preserve">Keşifsel olarak etiketlendi</w:t>
            </w:r>
          </w:p>
        </w:tc>
      </w:tr>
    </w:tbl>
    <w:bookmarkEnd w:id="27"/>
    <w:bookmarkStart w:id="28" w:name="kaynaklar"/>
    <w:p>
      <w:pPr>
        <w:pStyle w:val="Heading2"/>
      </w:pPr>
      <w:r>
        <w:t xml:space="preserve">Kaynaklar</w:t>
      </w:r>
    </w:p>
    <w:p>
      <w:pPr>
        <w:numPr>
          <w:ilvl w:val="0"/>
          <w:numId w:val="1001"/>
        </w:numPr>
        <w:pStyle w:val="Compact"/>
      </w:pPr>
      <w:r>
        <w:t xml:space="preserve">Leng K, Li E, Eser R, et al. Molecular characterization of selectively vulnerable neurons in Alzheimer’s disease. Nat Neurosci. 2021;24(2):276-287. doi:10.1038/s41593-020-00764-7</w:t>
      </w:r>
    </w:p>
    <w:p>
      <w:pPr>
        <w:numPr>
          <w:ilvl w:val="0"/>
          <w:numId w:val="1001"/>
        </w:numPr>
        <w:pStyle w:val="Compact"/>
      </w:pPr>
      <w:r>
        <w:t xml:space="preserve">Neftel C, Laffy J, Filbin MG, et al. An integrative model of cellular states, plasticity, and genetics for glioblastoma. Cell. 2019;178(4):835-849.e21. doi:10.1016/j.cell.2019.06.024</w:t>
      </w:r>
    </w:p>
    <w:p>
      <w:pPr>
        <w:numPr>
          <w:ilvl w:val="0"/>
          <w:numId w:val="1001"/>
        </w:numPr>
        <w:pStyle w:val="Compact"/>
      </w:pPr>
      <w:r>
        <w:t xml:space="preserve">Berchtold NC, Coleman PD, Cribbs DH, et al. Synaptic genes are extensively downregulated across multiple brain regions in normal human aging and Alzheimer’s disease. Neurobiol Aging. 2013;34(6):1653-1661. doi:10.1016/j.neurobiolaging.2012.11.024</w:t>
      </w:r>
    </w:p>
    <w:p>
      <w:pPr>
        <w:numPr>
          <w:ilvl w:val="0"/>
          <w:numId w:val="1001"/>
        </w:numPr>
        <w:pStyle w:val="Compact"/>
      </w:pPr>
      <w:r>
        <w:t xml:space="preserve">Hokama M, Oka S, Leon J, et al. Altered expression of diabetes-related genes in Alzheimer’s disease brains: the Hisayama study. Cereb Cortex. 2014;24(9):2476-2488. doi:10.1093/cercor/bht101</w:t>
      </w:r>
    </w:p>
    <w:p>
      <w:pPr>
        <w:numPr>
          <w:ilvl w:val="0"/>
          <w:numId w:val="1001"/>
        </w:numPr>
        <w:pStyle w:val="Compact"/>
      </w:pPr>
      <w:r>
        <w:t xml:space="preserve">Brennan CW, Verhaak RGW, McKenna A, et al. The somatic genomic landscape of glioblastoma. Cell. 2013;155(2):462-477. doi:10.1016/j.cell.2013.09.034</w:t>
      </w:r>
    </w:p>
    <w:p>
      <w:pPr>
        <w:numPr>
          <w:ilvl w:val="0"/>
          <w:numId w:val="1001"/>
        </w:numPr>
        <w:pStyle w:val="Compact"/>
      </w:pPr>
      <w:r>
        <w:t xml:space="preserve">GTEx Consortium. The GTEx Consortium atlas of genetic regulatory effects across human tissues. Science. 2020;369(6509):1318-1330. doi:10.1126/science.aaz1776</w:t>
      </w:r>
    </w:p>
    <w:p>
      <w:pPr>
        <w:numPr>
          <w:ilvl w:val="0"/>
          <w:numId w:val="1001"/>
        </w:numPr>
        <w:pStyle w:val="Compact"/>
      </w:pPr>
      <w:r>
        <w:t xml:space="preserve">Goldman MJ, Craft B, Hastie M, et al. Visualizing and interpreting cancer genomics data via the Xena platform. Nat Biotechnol. 2020;38(6):675-678. doi:10.1038/s41587-020-0546-8</w:t>
      </w:r>
    </w:p>
    <w:p>
      <w:pPr>
        <w:numPr>
          <w:ilvl w:val="0"/>
          <w:numId w:val="1001"/>
        </w:numPr>
        <w:pStyle w:val="Compact"/>
      </w:pPr>
      <w:r>
        <w:t xml:space="preserve">Vivian J, Rao AA, Nothaft FA, et al. Toil enables reproducible, open source, big biomedical data analyses. Nat Biotechnol. 2017;35(4):314-316. doi:10.1038/nbt.3772</w:t>
      </w:r>
    </w:p>
    <w:p>
      <w:pPr>
        <w:numPr>
          <w:ilvl w:val="0"/>
          <w:numId w:val="1001"/>
        </w:numPr>
        <w:pStyle w:val="Compact"/>
      </w:pPr>
      <w:r>
        <w:t xml:space="preserve">Bakken TE, Jorstad NL, Hu Q, et al. Comparative cellular analysis of motor cortex in human, marmoset and mouse. Nature. 2021;598(7879):111-119. doi:10.1038/s41586-021-03465-8</w:t>
      </w:r>
    </w:p>
    <w:p>
      <w:pPr>
        <w:numPr>
          <w:ilvl w:val="0"/>
          <w:numId w:val="1001"/>
        </w:numPr>
        <w:pStyle w:val="Compact"/>
      </w:pPr>
      <w:r>
        <w:t xml:space="preserve">Wilks C, Zheng SC, Chen FY, et al. recount3: summaries and queries for large-scale RNA-seq expression and splicing. Genome Biol. 2021;22(1):323. doi:10.1186/s13059-021-02533-6</w:t>
      </w:r>
    </w:p>
    <w:p>
      <w:pPr>
        <w:numPr>
          <w:ilvl w:val="0"/>
          <w:numId w:val="1001"/>
        </w:numPr>
        <w:pStyle w:val="Compact"/>
      </w:pPr>
      <w:r>
        <w:t xml:space="preserve">Johansen N, Quon G. scAlign: a tool for alignment, integration, and rare cell identification from scRNA-seq data. Genome Biol. 2019;20(1):166. doi:10.1186/s13059-019-1766-4</w:t>
      </w:r>
    </w:p>
    <w:p>
      <w:pPr>
        <w:numPr>
          <w:ilvl w:val="0"/>
          <w:numId w:val="1001"/>
        </w:numPr>
        <w:pStyle w:val="Compact"/>
      </w:pPr>
      <w:r>
        <w:t xml:space="preserve">Robinson MD, McCarthy DJ, Smyth GK. edgeR: a Bioconductor package for differential expression analysis of digital gene expression data. Bioinformatics. 2010;26(1):139-140. doi:10.1093/bioinformatics/btp616</w:t>
      </w:r>
    </w:p>
    <w:p>
      <w:pPr>
        <w:numPr>
          <w:ilvl w:val="0"/>
          <w:numId w:val="1001"/>
        </w:numPr>
        <w:pStyle w:val="Compact"/>
      </w:pPr>
      <w:r>
        <w:t xml:space="preserve">Chen Y, Lun ATL, Smyth GK. From reads to genes to pathways: differential expression analysis of RNA-Seq experiments using Rsubread and the edgeR quasi-likelihood pipeline. F1000Res. 2016;5:1438. doi:10.12688/f1000research.8987.2</w:t>
      </w:r>
    </w:p>
    <w:p>
      <w:pPr>
        <w:numPr>
          <w:ilvl w:val="0"/>
          <w:numId w:val="1001"/>
        </w:numPr>
        <w:pStyle w:val="Compact"/>
      </w:pPr>
      <w:r>
        <w:t xml:space="preserve">Robinson MD, Oshlack A. A scaling normalization method for differential expression analysis of RNA-seq data. Genome Biol. 2010;11(3):R25. doi:10.1186/gb-2010-11-3-r25</w:t>
      </w:r>
    </w:p>
    <w:p>
      <w:pPr>
        <w:numPr>
          <w:ilvl w:val="0"/>
          <w:numId w:val="1001"/>
        </w:numPr>
        <w:pStyle w:val="Compact"/>
      </w:pPr>
      <w:r>
        <w:t xml:space="preserve">Benjamini Y, Hochberg Y. Controlling the false discovery rate: a practical and powerful approach to multiple testing. J R Stat Soc Series B Stat Methodol. 1995;57(1):289-300. doi:10.1111/j.2517-6161.1995.tb02031.x</w:t>
      </w:r>
    </w:p>
    <w:p>
      <w:pPr>
        <w:numPr>
          <w:ilvl w:val="0"/>
          <w:numId w:val="1001"/>
        </w:numPr>
        <w:pStyle w:val="Compact"/>
      </w:pPr>
      <w:r>
        <w:t xml:space="preserve">Ritchie ME, Phipson B, Wu D, et al. limma powers differential expression analyses for RNA-sequencing and microarray studies. Nucleic Acids Res. 2015;43(7):e47. doi:10.1093/nar/gkv007</w:t>
      </w:r>
    </w:p>
    <w:p>
      <w:pPr>
        <w:numPr>
          <w:ilvl w:val="0"/>
          <w:numId w:val="1001"/>
        </w:numPr>
        <w:pStyle w:val="Compact"/>
      </w:pPr>
      <w:r>
        <w:t xml:space="preserve">Law CW, Chen Y, Shi W, Smyth GK. voom: precision weights unlock linear model analysis tools for RNA-seq read counts. Genome Biol. 2014;15(2):R29. doi:10.1186/gb-2014-15-2-r29</w:t>
      </w:r>
    </w:p>
    <w:p>
      <w:pPr>
        <w:numPr>
          <w:ilvl w:val="0"/>
          <w:numId w:val="1001"/>
        </w:numPr>
        <w:pStyle w:val="Compact"/>
      </w:pPr>
      <w:r>
        <w:t xml:space="preserve">Smyth GK, Michaud J, Scott HS. Use of within-array replicate spots for assessing differential expression in microarray experiments. Bioinformatics. 2005;21(9):2067-2075. doi:10.1093/bioinformatics/bti270</w:t>
      </w:r>
    </w:p>
    <w:p>
      <w:pPr>
        <w:numPr>
          <w:ilvl w:val="0"/>
          <w:numId w:val="1001"/>
        </w:numPr>
        <w:pStyle w:val="Compact"/>
      </w:pPr>
      <w:r>
        <w:t xml:space="preserve">Squair JW, Gautier M, Kathe C, et al. Confronting false discoveries in single-cell differential expression. Nat Commun. 2021;12(1):5692. doi:10.1038/s41467-021-25960-2</w:t>
      </w:r>
    </w:p>
    <w:p>
      <w:pPr>
        <w:numPr>
          <w:ilvl w:val="0"/>
          <w:numId w:val="1001"/>
        </w:numPr>
        <w:pStyle w:val="Compact"/>
      </w:pPr>
      <w:r>
        <w:t xml:space="preserve">Zimmerman KD, Espeland MA, Langefeld CD. A practical solution to pseudoreplication bias in single-cell studies. Nat Commun. 2021;12(1):738. doi:10.1038/s41467-021-21038-1</w:t>
      </w:r>
    </w:p>
    <w:p>
      <w:pPr>
        <w:numPr>
          <w:ilvl w:val="0"/>
          <w:numId w:val="1001"/>
        </w:numPr>
        <w:pStyle w:val="Compact"/>
      </w:pPr>
      <w:r>
        <w:t xml:space="preserve">Cahill KM, Huo Z, Tseng GC, Logan RW, Seney ML. Improved identification of concordant and discordant gene expression signatures using an updated rank-rank hypergeometric overlap approach. Sci Rep. 2018;8(1):9588. doi:10.1038/s41598-018-27903-2</w:t>
      </w:r>
    </w:p>
    <w:p>
      <w:pPr>
        <w:numPr>
          <w:ilvl w:val="0"/>
          <w:numId w:val="1001"/>
        </w:numPr>
        <w:pStyle w:val="Compact"/>
      </w:pPr>
      <w:r>
        <w:t xml:space="preserve">Irizarry RA, Hobbs B, Collin F, et al. Exploration, normalization, and summaries of high density oligonucleotide array probe level data. Biostatistics. 2003;4(2):249-264. doi:10.1093/biostatistics/4.2.249</w:t>
      </w:r>
    </w:p>
    <w:p>
      <w:pPr>
        <w:numPr>
          <w:ilvl w:val="0"/>
          <w:numId w:val="1001"/>
        </w:numPr>
        <w:pStyle w:val="Compact"/>
      </w:pPr>
      <w:r>
        <w:t xml:space="preserve">Johnson WE, Li C, Rabinovic A. Adjusting batch effects in microarray expression data using empirical Bayes methods. Biostatistics. 2007;8(1):118-127. doi:10.1093/biostatistics/kxj037</w:t>
      </w:r>
    </w:p>
    <w:p>
      <w:pPr>
        <w:numPr>
          <w:ilvl w:val="0"/>
          <w:numId w:val="1001"/>
        </w:numPr>
        <w:pStyle w:val="Compact"/>
      </w:pPr>
      <w:r>
        <w:t xml:space="preserve">Leek JT, Johnson WE, Parker HS, Jaffe AE, Storey JD. The sva package for removing batch effects and other unwanted variation in high-throughput experiments. Bioinformatics. 2012;28(6):882-883. doi:10.1093/bioinformatics/bts034</w:t>
      </w:r>
    </w:p>
    <w:p>
      <w:pPr>
        <w:numPr>
          <w:ilvl w:val="0"/>
          <w:numId w:val="1001"/>
        </w:numPr>
        <w:pStyle w:val="Compact"/>
      </w:pPr>
      <w:r>
        <w:t xml:space="preserve">Nygaard V, Rødland EA, Hovig E. Methods that remove batch effects while retaining group differences may lead to exaggerated confidence in downstream analyses. Biostatistics. 2016;17(1):29-39. doi:10.1093/biostatistics/kxv027</w:t>
      </w:r>
    </w:p>
    <w:p>
      <w:pPr>
        <w:numPr>
          <w:ilvl w:val="0"/>
          <w:numId w:val="1001"/>
        </w:numPr>
        <w:pStyle w:val="Compact"/>
      </w:pPr>
      <w:r>
        <w:t xml:space="preserve">McKenzie AT, Wang M, Hauberg ME, et al. Brain cell type specific gene expression and co-expression network architectures. Sci Rep. 2018;8(1):8868. doi:10.1038/s41598-018-27293-5</w:t>
      </w:r>
    </w:p>
    <w:p>
      <w:pPr>
        <w:numPr>
          <w:ilvl w:val="0"/>
          <w:numId w:val="1001"/>
        </w:numPr>
        <w:pStyle w:val="Compact"/>
      </w:pPr>
      <w:r>
        <w:t xml:space="preserve">Wang J, Roeder K, Devlin B. Bayesian estimation of cell type-specific gene expression with prior derived from single-cell data. Genome Res. 2021. doi:10.1101/gr.268722.120 </w:t>
      </w:r>
      <w:r>
        <w:rPr>
          <w:highlight w:val="yellow"/>
        </w:rPr>
        <w:t>[KONTROL: cilt/sayfa]</w:t>
      </w:r>
    </w:p>
    <w:p>
      <w:pPr>
        <w:numPr>
          <w:ilvl w:val="0"/>
          <w:numId w:val="1001"/>
        </w:numPr>
        <w:pStyle w:val="Compact"/>
      </w:pPr>
      <w:r>
        <w:t xml:space="preserve">Wang X, Park J, Susztak K, Zhang NR, Li M. Bulk tissue cell type deconvolution with multi-subject single-cell expression reference. Nat Commun. 2019;10(1):380. doi:10.1038/s41467-018-08023-x</w:t>
      </w:r>
    </w:p>
    <w:bookmarkEnd w:id="28"/>
    <w:bookmarkEnd w:id="29"/>
    <w:sectPr>
      <w:pgSz w:w="11906" w:h="16838"/>
      <w:pgMar w:left="1417" w:right="1417" w:top="1417" w:bottom="1417"/>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411">
    <w:nsid w:val="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stylePaneFormatFilter w:val="0004"/>
  <w:footnotePr>
    <w:footnote w:id="-1"/>
    <w:footnote w:id="0"/>
  </w:footnotePr>
  <w:rsids>
  </w:rsids>
  <w:clrSchemeMapping w:accent1="accent1" w:accent2="accent2" w:accent3="accent3" w:accent4="accent4" w:accent5="accent5" w:accent6="accent6" w:bg1="light1" w:bg2="light2" w:followedHyperlink="followedHyperlink" w:hyperlink="hyperlink" w:t1="dark1" w:t2="dark2"/>
  <w:zoom w:percent="100"/>
  <w:embedSystemFonts/>
  <w:proofState w:grammar="clean" w:spelling="clean"/>
  <w:doNotTrackMoves/>
  <w:defaultTabStop w:val="720"/>
  <w:drawingGridHorizontalSpacing w:val="360"/>
  <w:drawingGridVerticalSpacing w:val="360"/>
  <w:displayHorizontalDrawingGridEvery w:val="0"/>
  <w:displayVerticalDrawingGridEvery w:val="0"/>
  <w:characterSpacingControl w:val="doNotCompress"/>
  <w:savePreviewPicture/>
  <m:mathPr>
    <m:mathFont m:val="Cambria Math"/>
    <m:brkBin m:val="before"/>
    <m:brkBinSub m:val="--"/>
    <m:smallFrac m:val="0"/>
    <m:dispDef/>
    <m:lMargin m:val="0"/>
    <m:rMargin m:val="0"/>
    <m:wrapRight/>
    <m:intLim m:val="subSup"/>
    <m:naryLim m:val="undOvr"/>
  </m:mathPr>
  <w:themeFontLang w:val="en-U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pPr>
      <w:spacing w:line="360" w:lineRule="auto" w:after="120"/>
    </w:pPr>
    <w:rPr>
      <w:rFonts w:ascii="Times New Roman" w:hAnsi="Times New Roman" w:cs="Times New Roman" w:eastAsia="Times New Roman"/>
      <w:color w:val="000000"/>
      <w:sz w:val="24"/>
    </w:rPr>
  </w:style>
  <w:style w:styleId="BodyText" w:type="paragraph">
    <w:name w:val="Body Text"/>
    <w:basedOn w:val="Normal"/>
    <w:link w:val="BodyTextChar"/>
    <w:pPr>
      <w:spacing w:after="120" w:before="180" w:line="360" w:lineRule="auto"/>
    </w:pPr>
    <w:qFormat/>
    <w:rPr>
      <w:rFonts w:ascii="Times New Roman" w:hAnsi="Times New Roman" w:cs="Times New Roman" w:eastAsia="Times New Roman"/>
      <w:color w:val="000000"/>
      <w:sz w:val="24"/>
    </w:rPr>
  </w:style>
  <w:style w:customStyle="1" w:styleId="FirstParagraph" w:type="paragraph">
    <w:name w:val="First Paragraph"/>
    <w:basedOn w:val="BodyText"/>
    <w:next w:val="BodyText"/>
    <w:qFormat/>
    <w:pPr>
      <w:spacing w:line="360" w:lineRule="auto" w:after="120"/>
    </w:pPr>
    <w:rPr>
      <w:rFonts w:ascii="Times New Roman" w:hAnsi="Times New Roman" w:cs="Times New Roman" w:eastAsia="Times New Roman"/>
      <w:color w:val="000000"/>
      <w:sz w:val="24"/>
    </w:rPr>
  </w:style>
  <w:style w:customStyle="1" w:styleId="Compact" w:type="paragraph">
    <w:name w:val="Compact"/>
    <w:basedOn w:val="BodyText"/>
    <w:qFormat/>
    <w:pPr>
      <w:spacing w:after="120" w:before="36" w:line="360" w:lineRule="auto"/>
    </w:pPr>
    <w:rPr>
      <w:rFonts w:ascii="Times New Roman" w:hAnsi="Times New Roman" w:cs="Times New Roman" w:eastAsia="Times New Roman"/>
      <w:color w:val="000000"/>
      <w:sz w:val="24"/>
    </w:r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jc w:val="center"/>
      <w:spacing w:after="0" w:before="300"/>
    </w:pPr>
    <w:rPr>
      <w:sz w:val="20"/>
      <w:szCs w:val="20"/>
      <w:b/>
      <w:color w:val="345A8A"/>
      &gt;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120" w:before="240" w:line="276" w:lineRule="auto"/>
      <w:outlineLvl w:val="0"/>
    </w:pPr>
    <w:rPr>
      <w:rFonts w:ascii="Times New Roman" w:hAnsi="Times New Roman" w:cs="Times New Roman" w:eastAsia="Times New Roman"/>
      <w:b/>
      <w:bCs/>
      <w:color w:val="000000"/>
      <w:sz w:val="28"/>
      <w:szCs w:val="32"/>
    </w:rPr>
  </w:style>
  <w:style w:styleId="Heading2" w:type="paragraph">
    <w:name w:val="Heading 2"/>
    <w:basedOn w:val="Normal"/>
    <w:next w:val="BodyText"/>
    <w:uiPriority w:val="9"/>
    <w:unhideWhenUsed/>
    <w:qFormat/>
    <w:pPr>
      <w:keepNext/>
      <w:keepLines/>
      <w:spacing w:after="120" w:before="240" w:line="276" w:lineRule="auto"/>
      <w:outlineLvl w:val="1"/>
    </w:pPr>
    <w:rPr>
      <w:rFonts w:ascii="Times New Roman" w:hAnsi="Times New Roman" w:cs="Times New Roman" w:eastAsia="Times New Roman"/>
      <w:b/>
      <w:bCs/>
      <w:color w:val="000000"/>
      <w:sz w:val="24"/>
      <w:szCs w:val="28"/>
    </w:rPr>
  </w:style>
  <w:style w:styleId="Heading3" w:type="paragraph">
    <w:name w:val="Heading 3"/>
    <w:basedOn w:val="Normal"/>
    <w:next w:val="BodyText"/>
    <w:uiPriority w:val="9"/>
    <w:unhideWhenUsed/>
    <w:qFormat/>
    <w:pPr>
      <w:keepNext/>
      <w:keepLines/>
      <w:spacing w:after="120" w:before="240" w:line="276" w:lineRule="auto"/>
      <w:outlineLvl w:val="2"/>
    </w:pPr>
    <w:rPr>
      <w:rFonts w:ascii="Times New Roman" w:hAnsi="Times New Roman" w:cs="Times New Roman" w:eastAsia="Times New Roman"/>
      <w:b/>
      <w:bCs/>
      <w:color w:val="000000"/>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i/>
      <w:bCs/>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vAlign w:val="bottom"/>
        <w:tcBorders>
          <w:bottom w:val="single"/>
        </w:tcBorders>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color w:val="008000"/>
      <w:b/>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 standalone='yes'?>
<Relationships xmlns="http://schemas.openxmlformats.org/package/2006/relationships"><Relationship Id="rId1" Type="http://schemas.openxmlformats.org/officeDocument/2006/relationships/numbering" Target="numbering.xml"/><Relationship Id="rId2" Type="http://schemas.openxmlformats.org/officeDocument/2006/relationships/styles" Target="styles.xml"/><Relationship Id="rId3" Type="http://schemas.openxmlformats.org/officeDocument/2006/relationships/settings" Target="settings.xml"/><Relationship Id="rId4" Type="http://schemas.openxmlformats.org/officeDocument/2006/relationships/webSettings" Target="webSettings.xml"/><Relationship Id="rId5" Type="http://schemas.openxmlformats.org/officeDocument/2006/relationships/fontTable" Target="fontTable.xml"/><Relationship Id="rId6" Type="http://schemas.openxmlformats.org/officeDocument/2006/relationships/theme" Target="theme/theme1.xml"/><Relationship Id="rId7" Type="http://schemas.openxmlformats.org/officeDocument/2006/relationships/footnotes" Target="footnotes.xml"/><Relationship Id="rId8" Type="http://schemas.openxmlformats.org/officeDocument/2006/relationships/comments" Target="comment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2026-09-28T06:51:20Z</dcterms:created>
  <dcterms:modified xsi:type="dcterms:W3CDTF">2026-09-28T06:51:20Z</dcterms:modified>
</cp:coreProperties>
</file>

<file path=docProps/custom.xml><?xml version="1.0" encoding="utf-8"?>
<Properties xmlns="http://schemas.openxmlformats.org/officeDocument/2006/custom-properties" xmlns:vt="http://schemas.openxmlformats.org/officeDocument/2006/docPropsVTypes"/>
</file>