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Bartın University, </w:t>
      </w:r>
      <w:r>
        <w:rPr>
          <w:highlight w:val="yellow"/>
        </w:rPr>
        <w:t>[CHECK: department]</w:t>
      </w:r>
      <w:r>
        <w:rPr/>
        <w:t xml:space="preserve">, </w:t>
      </w:r>
      <w:r>
        <w:rPr>
          <w:highlight w:val="yellow"/>
        </w:rPr>
        <w:t>[CHECK: postal address]</w:t>
      </w:r>
      <w:r>
        <w:rPr/>
        <w:t>, Bartın, Türkiye</w:t>
      </w:r>
    </w:p>
    <w:p>
      <w:pPr>
        <w:pStyle w:val="BodyText"/>
        <w:jc w:val="center"/>
      </w:pPr>
      <w:r>
        <w:t xml:space="preserve">Corresponding author: Ahmet Karakuş, akarakus@bartin.edu.tr</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Under a time-stamped analysis plan, I tested two hypotheses.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MuSiC gave the same count but implausible proportions. Independent noise covariates did not reproduce this loss, whereas components from random genes, which also captured composition, did. In the independent cohort, 30% of AD DEGs remained significant after adjustment, but only 3.5%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In an earlier bulk analysis I had observed a shared gene signature between AD and GBM, and I wanted to know whether it would hold up once composition was controlled </w:t>
      </w:r>
      <w:r>
        <w:rPr>
          <w:highlight w:val="yellow"/>
        </w:rPr>
        <w:t>[CHECK: publication status and citation of the earlier analysis]</w:t>
      </w:r>
      <w:r>
        <w:rPr/>
        <w:t>.</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is made public together with this article </w:t>
      </w:r>
      <w:r>
        <w:rPr>
          <w:highlight w:val="yellow"/>
        </w:rPr>
        <w:t>[CHECK: repository URL / Zenodo DOI]</w:t>
      </w:r>
      <w:r>
        <w:rPr/>
        <w:t>.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t>
      </w:r>
      <w:r>
        <w:rPr>
          <w:highlight w:val="yellow"/>
        </w:rPr>
        <w:t>[CHECK: exact criterion]</w:t>
      </w:r>
      <w:r>
        <w:rPr/>
        <w:t xml:space="preserve">, and Braak stage V–VI for the advanced AD group of GSE125583 </w:t>
      </w:r>
      <w:r>
        <w:rPr>
          <w:highlight w:val="yellow"/>
        </w:rPr>
        <w:t>[CHECK]</w:t>
      </w:r>
      <w:r>
        <w:rPr/>
        <w:t>.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et al. (2021), with its scAlign (Johansen and Quon, 2019)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I used MuSiC (Wang et al., 2019) (version 1.0.0), which is also reference-based (deviation). The plan called for an Allen Brain Map reference and cited Tasic et al. (2018), a mouse dataset. I used the human primary motor cortex (M1) 10x Chromium v3 snRNA-seq data published by Bakken et al. (2021)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(Wilks et al., 2021)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w:t>
      </w:r>
      <w:r>
        <w:rPr>
          <w:highlight w:val="yellow"/>
        </w:rPr>
        <w:t>[CHECK: URL]</w:t>
      </w:r>
      <w:r>
        <w:rPr/>
        <w:t>.</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the model gave 4,242 AD DEGs (diagnosis VIF 1.4) and 288 shared DEGs. The pre-declared shared-DEG ratio (288/3,912 = 0.074) was below the threshold of 0.20, so H1 replicated. With the fold-change thresholds, shared DEGs fell from 1,105 to 3 (ratio 0.003). Figure S1 compares the two AD cohorts. Supplementary Table S1b lists the 3,912 shared genes and marks those that remained shared, and Table S1c lists the genes that became shared only after adjustment.</w:t>
      </w:r>
    </w:p>
    <w:p>
      <w:pPr>
        <w:pStyle w:val="BodyText"/>
      </w:pPr>
      <w:r>
        <w:t xml:space="preserve">The ratio compares counts, not genes, so I also looked at which genes remained (this was not pre-declared). Of the 9,306 AD DEGs under Model A, 2,800 (30.1%) were still significant under Model B, and of the 14,811 GBM DEGs, 6,718 (45.4%) were. Of the 3,912 shared DEGs, only 138 (3.5%) were still shared after adjustment; the other 150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Supplementary Table S4).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the direction of the BAIAP2 difference reversed.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My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My findings do not invalidate their conclusions. What they do show is that convergence claims resting on the number of shared bulk DEGs are weak evidence unless composition has been controlled.</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My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30%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3.5% of the shared genes in the replication cohort), while about 30%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r>
        <w:rPr>
          <w:highlight w:val="yellow"/>
        </w:rPr>
        <w:t>[CHECK: 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r>
        <w:rPr>
          <w:highlight w:val="yellow"/>
        </w:rPr>
        <w:t>[CHECK: funding statement, or</w:t>
      </w:r>
      <w:r>
        <w:t xml:space="preserve"> </w:t>
      </w:r>
      <w:r>
        <w:t xml:space="preserve">“</w:t>
      </w:r>
      <w:r>
        <w:t xml:space="preserve">This research did not receive any specific grant from funding agencies in the public, commercial, or not-for-profit sectors.</w:t>
      </w:r>
      <w:r>
        <w:t xml:space="preserve">”</w:t>
      </w:r>
      <w:r>
        <w:t xml:space="preserve">]</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w:t>
      </w:r>
      <w:r>
        <w:rPr>
          <w:highlight w:val="yellow"/>
        </w:rPr>
        <w:t>[CHECK: repository URL and Zenodo DOI]</w:t>
      </w:r>
      <w:r>
        <w:rPr/>
        <w:t>.</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3,912 shared DEGs of the replication analysis (GSE125583), with estimates under Models A and B and an indicator for the 138 genes that remained shared after adjustment. Table S1c: the 150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2026-09-28T15:25:46Z</dcterms:created>
  <dcterms:modified xsi:type="dcterms:W3CDTF">2026-09-28T15:25:46Z</dcterms:modified>
</cp:coreProperties>
</file>

<file path=docProps/custom.xml><?xml version="1.0" encoding="utf-8"?>
<Properties xmlns="http://schemas.openxmlformats.org/officeDocument/2006/custom-properties" xmlns:vt="http://schemas.openxmlformats.org/officeDocument/2006/docPropsVTypes"/>
</file>