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bulgular"/>
    <w:p>
      <w:pPr>
        <w:pStyle w:val="Heading1"/>
      </w:pPr>
      <w:r>
        <w:t xml:space="preserve">3. Bulgular</w:t>
      </w:r>
    </w:p>
    <w:p>
      <w:pPr>
        <w:pStyle w:val="FirstParagraph"/>
      </w:pPr>
      <w:r>
        <w:t xml:space="preserve">Bu bölümde önce ön-belirlenmiş iki hipotezin test sonuçları (Bölüm 3.1–3.3), ardından hipotez kararlarına girmeyen keşifsel analizler (Bölüm 3.4–3.5) sunulmaktadır. Tüm sayılar, kilitli sonuç dosyalarından otomatik olarak üretilen olgu sayfasından alınmıştır.</w:t>
      </w:r>
    </w:p>
    <w:bookmarkStart w:id="20" w:name="X363822a3d224165dc764a704427fca7ed01551c"/>
    <w:p>
      <w:pPr>
        <w:pStyle w:val="Heading2"/>
      </w:pPr>
      <w:r>
        <w:t xml:space="preserve">3.1 H1: Paylaşılan DEG’ler hücre kompozisyonu kontrolüyle ortadan kalkmaktadır</w:t>
      </w:r>
    </w:p>
    <w:p>
      <w:pPr>
        <w:pStyle w:val="FirstParagraph"/>
      </w:pPr>
      <w:r>
        <w:t xml:space="preserve">Hipokampus ile sınırlandırılmış AH meta-kohortunda (n = 51; AH 18, kontrol 33) ve TCGA-GBM/GTEx kohortunda (n = 338; tümör 152, kontrol 186) Model A (kompozisyon düzeltmesiz), AH için 4.449, GBM için 14.811 DEG (FDR &lt; 0,05) üretmiştir (Şekil 2A). Bu iki liste arasında aynı yönde değişen 1.458 paylaşılan DEG bulunmuştur (Tablo 3).</w:t>
      </w:r>
    </w:p>
    <w:p>
      <w:pPr>
        <w:pStyle w:val="BodyText"/>
      </w:pPr>
      <w:r>
        <w:t xml:space="preserve">Kompozisyon kovaryatları eklendiğinde paylaşılan DEG sayısı her iki dekonvolüsyon yönteminde de sıfıra inmiştir (Model B, BRETIGEA: 0; Model C, MuSiC: 0; Şekil 2C). Model B/Model A ve Model C/Model A oranları 0,000’dır. Her iki oran da önceden belirlenmiş ≤ 0,20 eşiğinin altında kaldığından,</w:t>
      </w:r>
      <w:r>
        <w:t xml:space="preserve"> </w:t>
      </w:r>
      <w:r>
        <w:rPr>
          <w:bCs/>
          <w:b/>
        </w:rPr>
        <w:t xml:space="preserve">H1 plandaki karar kuralına göre desteklenmiştir.</w:t>
      </w:r>
      <w:r>
        <w:t xml:space="preserve"> </w:t>
      </w:r>
      <w:r>
        <w:t xml:space="preserve">Bu sonuç önceden tanımlanmış tüm duyarlılık analizlerinde değişmemiştir: kat değişimi eşiği eklendiğinde (Model A: 413 paylaşılan DEG), kontrol grubu yalnızca BA9 ile (1.587) ya da yalnızca hipokampus ile (1.240) sınırlandırıldığında ve kat değişimi eşiği tek bölge kısıtlamasıyla birlikte uygulandığında (BA9: 485; hipokampus: 340), Model B ve Model C altında paylaşılan DEG sayısı her durumda 0 olarak bulunmuştur (Şekil 2C). Her iki yöntemin kovaryatlarını birlikte içeren keşifsel Model D’de de paylaşılan DEG gözlenmemiştir.</w:t>
      </w:r>
    </w:p>
    <w:p>
      <w:pPr>
        <w:pStyle w:val="BodyText"/>
      </w:pPr>
      <w:r>
        <w:rPr>
          <w:bCs/>
          <w:b/>
        </w:rPr>
        <w:t xml:space="preserve">Tablo 3.</w:t>
      </w:r>
      <w:r>
        <w:t xml:space="preserve"> </w:t>
      </w:r>
      <w:r>
        <w:t xml:space="preserve">H1: modellere göre DEG ve paylaşılan DEG sayıları (FDR &lt; 0,05).</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p>
            <w:pPr>
              <w:pStyle w:val="Compact"/>
              <w:spacing w:line="240" w:lineRule="auto" w:after="0"/>
              <w:jc w:val="left"/>
            </w:pPr>
            <w:r>
              <w:rPr>
                <w:rFonts w:ascii="Times New Roman" w:hAnsi="Times New Roman"/>
                <w:b/>
                <w:sz w:val="20"/>
              </w:rPr>
              <w:t xml:space="preserve">Model</w:t>
            </w:r>
          </w:p>
        </w:tc>
        <w:tc>
          <w:tcPr/>
          <w:p>
            <w:pPr>
              <w:pStyle w:val="Compact"/>
              <w:spacing w:line="240" w:lineRule="auto" w:after="0"/>
              <w:jc w:val="left"/>
            </w:pPr>
            <w:r>
              <w:rPr>
                <w:rFonts w:ascii="Times New Roman" w:hAnsi="Times New Roman"/>
                <w:b/>
                <w:sz w:val="20"/>
              </w:rPr>
              <w:t xml:space="preserve">AH DEG</w:t>
            </w:r>
          </w:p>
        </w:tc>
        <w:tc>
          <w:tcPr/>
          <w:p>
            <w:pPr>
              <w:pStyle w:val="Compact"/>
              <w:spacing w:line="240" w:lineRule="auto" w:after="0"/>
              <w:jc w:val="left"/>
            </w:pPr>
            <w:r>
              <w:rPr>
                <w:rFonts w:ascii="Times New Roman" w:hAnsi="Times New Roman"/>
                <w:b/>
                <w:sz w:val="20"/>
              </w:rPr>
              <w:t xml:space="preserve">GBM DEG</w:t>
            </w:r>
          </w:p>
        </w:tc>
        <w:tc>
          <w:tcPr/>
          <w:p>
            <w:pPr>
              <w:pStyle w:val="Compact"/>
              <w:spacing w:line="240" w:lineRule="auto" w:after="0"/>
              <w:jc w:val="left"/>
            </w:pPr>
            <w:r>
              <w:rPr>
                <w:rFonts w:ascii="Times New Roman" w:hAnsi="Times New Roman"/>
                <w:b/>
                <w:sz w:val="20"/>
              </w:rPr>
              <w:t xml:space="preserve">Paylaşılan DEG</w:t>
            </w:r>
          </w:p>
        </w:tc>
        <w:tc>
          <w:tcPr/>
          <w:p>
            <w:pPr>
              <w:pStyle w:val="Compact"/>
              <w:spacing w:line="240" w:lineRule="auto" w:after="0"/>
              <w:jc w:val="left"/>
            </w:pPr>
            <w:r>
              <w:rPr>
                <w:rFonts w:ascii="Times New Roman" w:hAnsi="Times New Roman"/>
                <w:b/>
                <w:sz w:val="20"/>
              </w:rPr>
              <w:t xml:space="preserve">Oran (Model A’ya göre)</w:t>
            </w:r>
          </w:p>
        </w:tc>
      </w:tr>
      <w:tr>
        <w:tc>
          <w:tcPr/>
          <w:p>
            <w:pPr>
              <w:pStyle w:val="Compact"/>
              <w:spacing w:line="240" w:lineRule="auto" w:after="0"/>
              <w:jc w:val="left"/>
            </w:pPr>
            <w:r>
              <w:rPr>
                <w:rFonts w:ascii="Times New Roman" w:hAnsi="Times New Roman"/>
                <w:sz w:val="20"/>
              </w:rPr>
              <w:t xml:space="preserve">A: düzeltmesiz</w:t>
            </w:r>
          </w:p>
        </w:tc>
        <w:tc>
          <w:tcPr/>
          <w:p>
            <w:pPr>
              <w:pStyle w:val="Compact"/>
              <w:spacing w:line="240" w:lineRule="auto" w:after="0"/>
              <w:jc w:val="left"/>
            </w:pPr>
            <w:r>
              <w:rPr>
                <w:rFonts w:ascii="Times New Roman" w:hAnsi="Times New Roman"/>
                <w:sz w:val="20"/>
              </w:rPr>
              <w:t xml:space="preserve">4.449</w:t>
            </w:r>
          </w:p>
        </w:tc>
        <w:tc>
          <w:tcPr/>
          <w:p>
            <w:pPr>
              <w:pStyle w:val="Compact"/>
              <w:spacing w:line="240" w:lineRule="auto" w:after="0"/>
              <w:jc w:val="left"/>
            </w:pPr>
            <w:r>
              <w:rPr>
                <w:rFonts w:ascii="Times New Roman" w:hAnsi="Times New Roman"/>
                <w:sz w:val="20"/>
              </w:rPr>
              <w:t xml:space="preserve">14.811</w:t>
            </w:r>
          </w:p>
        </w:tc>
        <w:tc>
          <w:tcPr/>
          <w:p>
            <w:pPr>
              <w:pStyle w:val="Compact"/>
              <w:spacing w:line="240" w:lineRule="auto" w:after="0"/>
              <w:jc w:val="left"/>
            </w:pPr>
            <w:r>
              <w:rPr>
                <w:rFonts w:ascii="Times New Roman" w:hAnsi="Times New Roman"/>
                <w:sz w:val="20"/>
              </w:rPr>
              <w:t xml:space="preserve">1.458</w:t>
            </w:r>
          </w:p>
        </w:tc>
        <w:tc>
          <w:tcPr/>
          <w:p>
            <w:pPr>
              <w:pStyle w:val="Compact"/>
              <w:spacing w:line="240" w:lineRule="auto" w:after="0"/>
              <w:jc w:val="left"/>
            </w:pPr>
            <w:r>
              <w:rPr>
                <w:rFonts w:ascii="Times New Roman" w:hAnsi="Times New Roman"/>
                <w:sz w:val="20"/>
              </w:rPr>
              <w:t xml:space="preserve">—</w:t>
            </w:r>
          </w:p>
        </w:tc>
      </w:tr>
      <w:tr>
        <w:tc>
          <w:tcPr/>
          <w:p>
            <w:pPr>
              <w:pStyle w:val="Compact"/>
              <w:spacing w:line="240" w:lineRule="auto" w:after="0"/>
              <w:jc w:val="left"/>
            </w:pPr>
            <w:r>
              <w:rPr>
                <w:rFonts w:ascii="Times New Roman" w:hAnsi="Times New Roman"/>
                <w:sz w:val="20"/>
              </w:rPr>
              <w:t xml:space="preserve">B: + BRETIGEA</w:t>
            </w:r>
          </w:p>
        </w:tc>
        <w:tc>
          <w:tcPr/>
          <w:p>
            <w:pPr>
              <w:pStyle w:val="Compact"/>
              <w:spacing w:line="240" w:lineRule="auto" w:after="0"/>
              <w:jc w:val="left"/>
            </w:pPr>
            <w:r>
              <w:rPr>
                <w:rFonts w:ascii="Times New Roman" w:hAnsi="Times New Roman"/>
                <w:sz w:val="20"/>
              </w:rPr>
              <w:t xml:space="preserve">0</w:t>
            </w:r>
          </w:p>
        </w:tc>
        <w:tc>
          <w:tcPr/>
          <w:p>
            <w:pPr>
              <w:pStyle w:val="Compact"/>
              <w:spacing w:line="240" w:lineRule="auto" w:after="0"/>
              <w:jc w:val="left"/>
            </w:pPr>
            <w:r>
              <w:rPr>
                <w:rFonts w:ascii="Times New Roman" w:hAnsi="Times New Roman"/>
                <w:sz w:val="20"/>
              </w:rPr>
              <w:t xml:space="preserve">7.787</w:t>
            </w:r>
          </w:p>
        </w:tc>
        <w:tc>
          <w:tcPr/>
          <w:p>
            <w:pPr>
              <w:pStyle w:val="Compact"/>
              <w:spacing w:line="240" w:lineRule="auto" w:after="0"/>
              <w:jc w:val="left"/>
            </w:pPr>
            <w:r>
              <w:rPr>
                <w:rFonts w:ascii="Times New Roman" w:hAnsi="Times New Roman"/>
                <w:sz w:val="20"/>
              </w:rPr>
              <w:t xml:space="preserve">0</w:t>
            </w:r>
          </w:p>
        </w:tc>
        <w:tc>
          <w:tcPr/>
          <w:p>
            <w:pPr>
              <w:pStyle w:val="Compact"/>
              <w:spacing w:line="240" w:lineRule="auto" w:after="0"/>
              <w:jc w:val="left"/>
            </w:pPr>
            <w:r>
              <w:rPr>
                <w:rFonts w:ascii="Times New Roman" w:hAnsi="Times New Roman"/>
                <w:sz w:val="20"/>
              </w:rPr>
              <w:t xml:space="preserve">0,000</w:t>
            </w:r>
          </w:p>
        </w:tc>
      </w:tr>
      <w:tr>
        <w:tc>
          <w:tcPr/>
          <w:p>
            <w:pPr>
              <w:pStyle w:val="Compact"/>
              <w:spacing w:line="240" w:lineRule="auto" w:after="0"/>
              <w:jc w:val="left"/>
            </w:pPr>
            <w:r>
              <w:rPr>
                <w:rFonts w:ascii="Times New Roman" w:hAnsi="Times New Roman"/>
                <w:sz w:val="20"/>
              </w:rPr>
              <w:t xml:space="preserve">C: + MuSiC</w:t>
            </w:r>
          </w:p>
        </w:tc>
        <w:tc>
          <w:tcPr/>
          <w:p>
            <w:pPr>
              <w:pStyle w:val="Compact"/>
              <w:spacing w:line="240" w:lineRule="auto" w:after="0"/>
              <w:jc w:val="left"/>
            </w:pPr>
            <w:r>
              <w:rPr>
                <w:rFonts w:ascii="Times New Roman" w:hAnsi="Times New Roman"/>
                <w:sz w:val="20"/>
              </w:rPr>
              <w:t xml:space="preserve">0</w:t>
            </w:r>
          </w:p>
        </w:tc>
        <w:tc>
          <w:tcPr/>
          <w:p>
            <w:pPr>
              <w:pStyle w:val="Compact"/>
              <w:spacing w:line="240" w:lineRule="auto" w:after="0"/>
              <w:jc w:val="left"/>
            </w:pPr>
            <w:r>
              <w:rPr>
                <w:rFonts w:ascii="Times New Roman" w:hAnsi="Times New Roman"/>
                <w:sz w:val="20"/>
              </w:rPr>
              <w:t xml:space="preserve">14.853</w:t>
            </w:r>
          </w:p>
        </w:tc>
        <w:tc>
          <w:tcPr/>
          <w:p>
            <w:pPr>
              <w:pStyle w:val="Compact"/>
              <w:spacing w:line="240" w:lineRule="auto" w:after="0"/>
              <w:jc w:val="left"/>
            </w:pPr>
            <w:r>
              <w:rPr>
                <w:rFonts w:ascii="Times New Roman" w:hAnsi="Times New Roman"/>
                <w:sz w:val="20"/>
              </w:rPr>
              <w:t xml:space="preserve">0</w:t>
            </w:r>
          </w:p>
        </w:tc>
        <w:tc>
          <w:tcPr/>
          <w:p>
            <w:pPr>
              <w:pStyle w:val="Compact"/>
              <w:spacing w:line="240" w:lineRule="auto" w:after="0"/>
              <w:jc w:val="left"/>
            </w:pPr>
            <w:r>
              <w:rPr>
                <w:rFonts w:ascii="Times New Roman" w:hAnsi="Times New Roman"/>
                <w:sz w:val="20"/>
              </w:rPr>
              <w:t xml:space="preserve">0,000</w:t>
            </w:r>
          </w:p>
        </w:tc>
      </w:tr>
      <w:tr>
        <w:tc>
          <w:tcPr/>
          <w:p>
            <w:pPr>
              <w:pStyle w:val="Compact"/>
              <w:spacing w:line="240" w:lineRule="auto" w:after="0"/>
              <w:jc w:val="left"/>
            </w:pPr>
            <w:r>
              <w:rPr>
                <w:rFonts w:ascii="Times New Roman" w:hAnsi="Times New Roman"/>
                <w:sz w:val="20"/>
              </w:rPr>
              <w:t xml:space="preserve">D: + her ikisi (keşifsel)</w:t>
            </w:r>
          </w:p>
        </w:tc>
        <w:tc>
          <w:tcPr/>
          <w:p>
            <w:pPr>
              <w:pStyle w:val="Compact"/>
              <w:spacing w:line="240" w:lineRule="auto" w:after="0"/>
              <w:jc w:val="left"/>
            </w:pPr>
            <w:r>
              <w:rPr>
                <w:rFonts w:ascii="Times New Roman" w:hAnsi="Times New Roman"/>
                <w:sz w:val="20"/>
              </w:rPr>
              <w:t xml:space="preserve">0</w:t>
            </w:r>
          </w:p>
        </w:tc>
        <w:tc>
          <w:tcPr/>
          <w:p>
            <w:pPr>
              <w:pStyle w:val="Compact"/>
              <w:spacing w:line="240" w:lineRule="auto" w:after="0"/>
              <w:jc w:val="left"/>
            </w:pPr>
            <w:r>
              <w:rPr>
                <w:rFonts w:ascii="Times New Roman" w:hAnsi="Times New Roman"/>
                <w:sz w:val="20"/>
              </w:rPr>
              <w:t xml:space="preserve">6.873</w:t>
            </w:r>
          </w:p>
        </w:tc>
        <w:tc>
          <w:tcPr/>
          <w:p>
            <w:pPr>
              <w:pStyle w:val="Compact"/>
              <w:spacing w:line="240" w:lineRule="auto" w:after="0"/>
              <w:jc w:val="left"/>
            </w:pPr>
            <w:r>
              <w:rPr>
                <w:rFonts w:ascii="Times New Roman" w:hAnsi="Times New Roman"/>
                <w:sz w:val="20"/>
              </w:rPr>
              <w:t xml:space="preserve">0</w:t>
            </w:r>
          </w:p>
        </w:tc>
        <w:tc>
          <w:tcPr/>
          <w:p>
            <w:pPr>
              <w:pStyle w:val="Compact"/>
              <w:spacing w:line="240" w:lineRule="auto" w:after="0"/>
              <w:jc w:val="left"/>
            </w:pPr>
            <w:r>
              <w:rPr>
                <w:rFonts w:ascii="Times New Roman" w:hAnsi="Times New Roman"/>
                <w:sz w:val="20"/>
              </w:rPr>
              <w:t xml:space="preserve">—</w:t>
            </w:r>
          </w:p>
        </w:tc>
      </w:tr>
    </w:tbl>
    <w:p>
      <w:pPr>
        <w:pStyle w:val="BodyText"/>
      </w:pPr>
      <w:r>
        <w:t xml:space="preserve">Paylaşılan DEG’lerdeki bu azalmanın tamamı AH tarafından kaynaklanmaktadır. AH kohortunda kompozisyon kovaryatları eklendiğinde genom genelinde hiçbir gen anlamlı kalmamıştır; tanı katsayısının VIF değeri Model B’de 2,2’dir, dolayısıyla bu kayıp tanı ile kompozisyon kovaryatları arasındaki kolinerliğe bağlanamamaktadır. GBM tarafında ise BRETIGEA düzeltmesi DEG sayısını 14.811’den 7.787’ye düşürmüş (tanı VIF’i 13,4), MuSiC düzeltmesi ise DEG sayısını neredeyse hiç değiştirmemiştir (14.853).</w:t>
      </w:r>
    </w:p>
    <w:p>
      <w:pPr>
        <w:pStyle w:val="BodyText"/>
      </w:pPr>
      <w:r>
        <w:t xml:space="preserve">İki yöntemin GBM kohortundaki davranışı ve MuSiC tahminleri, yöntemlere özgü sınırlılıklara işaret etmektedir. MuSiC ile tahmin edilen oranlar her iki kohortta biyolojik olarak inandırıcı değildir (Şekil 2B): AH kontrol hipokampusunda nöron oranı %0,9, endotel %43 ve mikroglia %31; GTEx kontrol korteksinde nöron %0,7, endotel %46 ve mikroglia %16; GBM tümörlerinde ise nöron %0,0 ve endotel %60 olarak tahmin edilmiştir. BRETIGEA astrosit skorunu oluşturan marker genler GBM kohortunda tutarsız davranmıştır (ör. AQP4 ile skor arasındaki korelasyon −0,22, GFAP ile −0,27, ETNPPL ile +0,87). Bu tutarsızlık, malign AC-benzeri hücrelerin astrosit markerlarını ifade etmesiyle uyumludur. Bu nedenle GBM tarafındaki kompozisyon düzeltmesi, normal glial hücre oranlarını ancak kısmen yansıtıyor olabilir.</w:t>
      </w:r>
    </w:p>
    <w:bookmarkEnd w:id="20"/>
    <w:bookmarkStart w:id="21" w:name="Xf77af4b0e46fff1729aacd7ffda05154bb3eea5"/>
    <w:p>
      <w:pPr>
        <w:pStyle w:val="Heading2"/>
      </w:pPr>
      <w:r>
        <w:t xml:space="preserve">3.2 H2: AH savunmasız nöron kimliği ile GBM nöral taklit durumları arasında yakınsama yoktur</w:t>
      </w:r>
    </w:p>
    <w:p>
      <w:pPr>
        <w:pStyle w:val="FirstParagraph"/>
      </w:pPr>
      <w:r>
        <w:t xml:space="preserve">Plana uygun Aşama 1 analizi (Braak VI ile Braak 0; donör düzeyinde, yaş kovaryatlı) 3’e karşı 3 donörle ve 3 artık serbestlik derecesiyle yürütülmüştür. Bu analizde FDR &lt; 0,05 düzeyinde hiçbir gen bulunmamış ve plandaki ölçütlerle (FDR &lt; 0,05 ve log2FC &lt; −0,5) tanımlanan AH savunmasız nöron imzası boş çıkmıştır. İkincil kontrastta (Braak II ile Braak 0; 3’e karşı 4 donör, 4 artık serbestlik derecesi) bir gen anlamlı bulunmuş, imza yine boş kalmıştır. Alt-küme bilgisini koruyan ve donörü blok faktörü olarak modelleyen duyarlılık analizi Braak VI kontrastında 336 gen üretmiştir (donör-içi korelasyon 0,41). Ancak bu yaklaşımın az donörle anti-konservatif olabileceği göz önünde bulundurularak, bu analizin karar için kullanılmaması önceden kararlaştırılmıştı.</w:t>
      </w:r>
    </w:p>
    <w:p>
      <w:pPr>
        <w:pStyle w:val="BodyText"/>
      </w:pPr>
      <w:r>
        <w:t xml:space="preserve">İmza boş olduğundan Aşama 3 testleri planda tanımlandığı biçimde tam sıralı gen listeleri (RRHO2) ve sıralamanın ilk 200 geni (hipergeometrik ve permütasyon testleri) üzerinden yürütülmüştür. Uygulamanın doğruluğu, orijinal Aşama 1 girdisiyle orijinal sonucun birebir yeniden üretilmesiyle doğrulanmıştır (RRHO2 haritasındaki en yüksek değer: 6,54; satır 35, sütun 38). Sonuçlar Tablo 4’te özetlenmiş, RRHO2 haritaları Şekil 3’te gösterilmiştir.</w:t>
      </w:r>
    </w:p>
    <w:p>
      <w:pPr>
        <w:pStyle w:val="BodyText"/>
      </w:pPr>
      <w:r>
        <w:rPr>
          <w:bCs/>
          <w:b/>
        </w:rPr>
        <w:t xml:space="preserve">Tablo 4.</w:t>
      </w:r>
      <w:r>
        <w:t xml:space="preserve"> </w:t>
      </w:r>
      <w:r>
        <w:t xml:space="preserve">H2: ön-belirlenmiş üç testin sonuçları. RRHO2 değerleri ilgili çeyrekteki en yüksek −log10(P) değerleridir; çeyrek sınırları her listede işaretin değiştiği konumdan belirlenmiştir. Düzeltilmiş P değerleri 1’de kesilmiştir.</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p>
            <w:pPr>
              <w:pStyle w:val="Compact"/>
              <w:spacing w:line="240" w:lineRule="auto" w:after="0"/>
              <w:jc w:val="left"/>
            </w:pPr>
            <w:r>
              <w:rPr>
                <w:rFonts w:ascii="Times New Roman" w:hAnsi="Times New Roman"/>
                <w:b/>
                <w:sz w:val="20"/>
              </w:rPr>
              <w:t xml:space="preserve">Analiz</w:t>
            </w:r>
          </w:p>
        </w:tc>
        <w:tc>
          <w:tcPr/>
          <w:p>
            <w:pPr>
              <w:pStyle w:val="Compact"/>
              <w:spacing w:line="240" w:lineRule="auto" w:after="0"/>
              <w:jc w:val="left"/>
            </w:pPr>
            <w:r>
              <w:rPr>
                <w:rFonts w:ascii="Times New Roman" w:hAnsi="Times New Roman"/>
                <w:b/>
                <w:sz w:val="20"/>
              </w:rPr>
              <w:t xml:space="preserve">Test 1: RRHO2, DU çeyreği</w:t>
            </w:r>
          </w:p>
        </w:tc>
        <w:tc>
          <w:tcPr/>
          <w:p>
            <w:pPr>
              <w:pStyle w:val="Compact"/>
              <w:spacing w:line="240" w:lineRule="auto" w:after="0"/>
              <w:jc w:val="left"/>
            </w:pPr>
            <w:r>
              <w:rPr>
                <w:rFonts w:ascii="Times New Roman" w:hAnsi="Times New Roman"/>
                <w:b/>
                <w:sz w:val="20"/>
              </w:rPr>
              <w:t xml:space="preserve">RRHO2, DD çeyreği (karşılaştırma)</w:t>
            </w:r>
          </w:p>
        </w:tc>
        <w:tc>
          <w:tcPr/>
          <w:p>
            <w:pPr>
              <w:pStyle w:val="Compact"/>
              <w:spacing w:line="240" w:lineRule="auto" w:after="0"/>
              <w:jc w:val="left"/>
            </w:pPr>
            <w:r>
              <w:rPr>
                <w:rFonts w:ascii="Times New Roman" w:hAnsi="Times New Roman"/>
                <w:b/>
                <w:sz w:val="20"/>
              </w:rPr>
              <w:t xml:space="preserve">Test 2: hipergeometrik</w:t>
            </w:r>
          </w:p>
        </w:tc>
        <w:tc>
          <w:tcPr/>
          <w:p>
            <w:pPr>
              <w:pStyle w:val="Compact"/>
              <w:spacing w:line="240" w:lineRule="auto" w:after="0"/>
              <w:jc w:val="left"/>
            </w:pPr>
            <w:r>
              <w:rPr>
                <w:rFonts w:ascii="Times New Roman" w:hAnsi="Times New Roman"/>
                <w:b/>
                <w:sz w:val="20"/>
              </w:rPr>
              <w:t xml:space="preserve">Test 3: permütasyon</w:t>
            </w:r>
          </w:p>
        </w:tc>
        <w:tc>
          <w:tcPr/>
          <w:p>
            <w:pPr>
              <w:pStyle w:val="Compact"/>
              <w:spacing w:line="240" w:lineRule="auto" w:after="0"/>
              <w:jc w:val="left"/>
            </w:pPr>
            <w:r>
              <w:rPr>
                <w:rFonts w:ascii="Times New Roman" w:hAnsi="Times New Roman"/>
                <w:b/>
                <w:sz w:val="20"/>
              </w:rPr>
              <w:t xml:space="preserve">Karar</w:t>
            </w:r>
          </w:p>
        </w:tc>
      </w:tr>
      <w:tr>
        <w:tc>
          <w:tcPr/>
          <w:p>
            <w:pPr>
              <w:pStyle w:val="Compact"/>
              <w:spacing w:line="240" w:lineRule="auto" w:after="0"/>
              <w:jc w:val="left"/>
            </w:pPr>
            <w:r>
              <w:rPr>
                <w:rFonts w:ascii="Times New Roman" w:hAnsi="Times New Roman"/>
                <w:sz w:val="20"/>
              </w:rPr>
              <w:t xml:space="preserve">Plan: Braak VI vs 0, donör düzeyi, yaş</w:t>
            </w:r>
          </w:p>
        </w:tc>
        <w:tc>
          <w:tcPr/>
          <w:p>
            <w:pPr>
              <w:pStyle w:val="Compact"/>
              <w:spacing w:line="240" w:lineRule="auto" w:after="0"/>
              <w:jc w:val="left"/>
            </w:pPr>
            <w:r>
              <w:rPr>
                <w:rFonts w:ascii="Times New Roman" w:hAnsi="Times New Roman"/>
                <w:sz w:val="20"/>
              </w:rPr>
              <w:t xml:space="preserve">1,28 (düz. P = 1)</w:t>
            </w:r>
          </w:p>
        </w:tc>
        <w:tc>
          <w:tcPr/>
          <w:p>
            <w:pPr>
              <w:pStyle w:val="Compact"/>
              <w:spacing w:line="240" w:lineRule="auto" w:after="0"/>
              <w:jc w:val="left"/>
            </w:pPr>
            <w:r>
              <w:rPr>
                <w:rFonts w:ascii="Times New Roman" w:hAnsi="Times New Roman"/>
                <w:sz w:val="20"/>
              </w:rPr>
              <w:t xml:space="preserve">2,06 (düz. P = 1)</w:t>
            </w:r>
          </w:p>
        </w:tc>
        <w:tc>
          <w:tcPr/>
          <w:p>
            <w:pPr>
              <w:pStyle w:val="Compact"/>
              <w:spacing w:line="240" w:lineRule="auto" w:after="0"/>
              <w:jc w:val="left"/>
            </w:pPr>
            <w:r>
              <w:rPr>
                <w:rFonts w:ascii="Times New Roman" w:hAnsi="Times New Roman"/>
                <w:sz w:val="20"/>
              </w:rPr>
              <w:t xml:space="preserve">OR 1,40; düz. P = 0,458</w:t>
            </w:r>
          </w:p>
        </w:tc>
        <w:tc>
          <w:tcPr/>
          <w:p>
            <w:pPr>
              <w:pStyle w:val="Compact"/>
              <w:spacing w:line="240" w:lineRule="auto" w:after="0"/>
              <w:jc w:val="left"/>
            </w:pPr>
            <w:r>
              <w:rPr>
                <w:rFonts w:ascii="Times New Roman" w:hAnsi="Times New Roman"/>
                <w:sz w:val="20"/>
              </w:rPr>
              <w:t xml:space="preserve">P = 0,157</w:t>
            </w:r>
          </w:p>
        </w:tc>
        <w:tc>
          <w:tcPr/>
          <w:p>
            <w:pPr>
              <w:pStyle w:val="Compact"/>
              <w:spacing w:line="240" w:lineRule="auto" w:after="0"/>
              <w:jc w:val="left"/>
            </w:pPr>
            <w:r>
              <w:rPr>
                <w:rFonts w:ascii="Times New Roman" w:hAnsi="Times New Roman"/>
                <w:sz w:val="20"/>
              </w:rPr>
              <w:t xml:space="preserve">Reddedildi (0/3)</w:t>
            </w:r>
          </w:p>
        </w:tc>
      </w:tr>
      <w:tr>
        <w:tc>
          <w:tcPr/>
          <w:p>
            <w:pPr>
              <w:pStyle w:val="Compact"/>
              <w:spacing w:line="240" w:lineRule="auto" w:after="0"/>
              <w:jc w:val="left"/>
            </w:pPr>
            <w:r>
              <w:rPr>
                <w:rFonts w:ascii="Times New Roman" w:hAnsi="Times New Roman"/>
                <w:sz w:val="20"/>
              </w:rPr>
              <w:t xml:space="preserve">Sapma: Braak II vs 0, donör düzeyi, yaş</w:t>
            </w:r>
          </w:p>
        </w:tc>
        <w:tc>
          <w:tcPr/>
          <w:p>
            <w:pPr>
              <w:pStyle w:val="Compact"/>
              <w:spacing w:line="240" w:lineRule="auto" w:after="0"/>
              <w:jc w:val="left"/>
            </w:pPr>
            <w:r>
              <w:rPr>
                <w:rFonts w:ascii="Times New Roman" w:hAnsi="Times New Roman"/>
                <w:sz w:val="20"/>
              </w:rPr>
              <w:t xml:space="preserve">3,37 (düz. P = 0,796)</w:t>
            </w:r>
          </w:p>
        </w:tc>
        <w:tc>
          <w:tcPr/>
          <w:p>
            <w:pPr>
              <w:pStyle w:val="Compact"/>
              <w:spacing w:line="240" w:lineRule="auto" w:after="0"/>
              <w:jc w:val="left"/>
            </w:pPr>
            <w:r>
              <w:rPr>
                <w:rFonts w:ascii="Times New Roman" w:hAnsi="Times New Roman"/>
                <w:sz w:val="20"/>
              </w:rPr>
              <w:t xml:space="preserve">1,48 (düz. P = 1)</w:t>
            </w:r>
          </w:p>
        </w:tc>
        <w:tc>
          <w:tcPr/>
          <w:p>
            <w:pPr>
              <w:pStyle w:val="Compact"/>
              <w:spacing w:line="240" w:lineRule="auto" w:after="0"/>
              <w:jc w:val="left"/>
            </w:pPr>
            <w:r>
              <w:rPr>
                <w:rFonts w:ascii="Times New Roman" w:hAnsi="Times New Roman"/>
                <w:sz w:val="20"/>
              </w:rPr>
              <w:t xml:space="preserve">OR 1,40; düz. P = 0,458</w:t>
            </w:r>
          </w:p>
        </w:tc>
        <w:tc>
          <w:tcPr/>
          <w:p>
            <w:pPr>
              <w:pStyle w:val="Compact"/>
              <w:spacing w:line="240" w:lineRule="auto" w:after="0"/>
              <w:jc w:val="left"/>
            </w:pPr>
            <w:r>
              <w:rPr>
                <w:rFonts w:ascii="Times New Roman" w:hAnsi="Times New Roman"/>
                <w:sz w:val="20"/>
              </w:rPr>
              <w:t xml:space="preserve">P = 0,157</w:t>
            </w:r>
          </w:p>
        </w:tc>
        <w:tc>
          <w:tcPr/>
          <w:p>
            <w:pPr>
              <w:pStyle w:val="Compact"/>
              <w:spacing w:line="240" w:lineRule="auto" w:after="0"/>
              <w:jc w:val="left"/>
            </w:pPr>
            <w:r>
              <w:rPr>
                <w:rFonts w:ascii="Times New Roman" w:hAnsi="Times New Roman"/>
                <w:sz w:val="20"/>
              </w:rPr>
              <w:t xml:space="preserve">Reddedildi (0/3)</w:t>
            </w:r>
          </w:p>
        </w:tc>
      </w:tr>
      <w:tr>
        <w:tc>
          <w:tcPr/>
          <w:p>
            <w:pPr>
              <w:pStyle w:val="Compact"/>
              <w:spacing w:line="240" w:lineRule="auto" w:after="0"/>
              <w:jc w:val="left"/>
            </w:pPr>
            <w:r>
              <w:rPr>
                <w:rFonts w:ascii="Times New Roman" w:hAnsi="Times New Roman"/>
                <w:sz w:val="20"/>
              </w:rPr>
              <w:t xml:space="preserve">Orijinal uygulama (psödo-replike, yaşsız, Braak II)</w:t>
            </w:r>
          </w:p>
        </w:tc>
        <w:tc>
          <w:tcPr/>
          <w:p>
            <w:pPr>
              <w:pStyle w:val="Compact"/>
              <w:spacing w:line="240" w:lineRule="auto" w:after="0"/>
              <w:jc w:val="left"/>
            </w:pPr>
            <w:r>
              <w:rPr>
                <w:rFonts w:ascii="Times New Roman" w:hAnsi="Times New Roman"/>
                <w:sz w:val="20"/>
              </w:rPr>
              <w:t xml:space="preserve">4,21 (düz. P = 0,114)</w:t>
            </w:r>
          </w:p>
        </w:tc>
        <w:tc>
          <w:tcPr/>
          <w:p>
            <w:pPr>
              <w:pStyle w:val="Compact"/>
              <w:spacing w:line="240" w:lineRule="auto" w:after="0"/>
              <w:jc w:val="left"/>
            </w:pPr>
            <w:r>
              <w:rPr>
                <w:rFonts w:ascii="Times New Roman" w:hAnsi="Times New Roman"/>
                <w:sz w:val="20"/>
              </w:rPr>
              <w:t xml:space="preserve">6,54 (düz. P = 5,3 × 10⁻⁴)</w:t>
            </w:r>
          </w:p>
        </w:tc>
        <w:tc>
          <w:tcPr/>
          <w:p>
            <w:pPr>
              <w:pStyle w:val="Compact"/>
              <w:spacing w:line="240" w:lineRule="auto" w:after="0"/>
              <w:jc w:val="left"/>
            </w:pPr>
            <w:r>
              <w:rPr>
                <w:rFonts w:ascii="Times New Roman" w:hAnsi="Times New Roman"/>
                <w:sz w:val="20"/>
              </w:rPr>
              <w:t xml:space="preserve">OR 1,52; düz. P = 0,278</w:t>
            </w:r>
          </w:p>
        </w:tc>
        <w:tc>
          <w:tcPr/>
          <w:p>
            <w:pPr>
              <w:pStyle w:val="Compact"/>
              <w:spacing w:line="240" w:lineRule="auto" w:after="0"/>
              <w:jc w:val="left"/>
            </w:pPr>
            <w:r>
              <w:rPr>
                <w:rFonts w:ascii="Times New Roman" w:hAnsi="Times New Roman"/>
                <w:sz w:val="20"/>
              </w:rPr>
              <w:t xml:space="preserve">P = 0,098</w:t>
            </w:r>
          </w:p>
        </w:tc>
        <w:tc>
          <w:tcPr/>
          <w:p>
            <w:pPr>
              <w:pStyle w:val="Compact"/>
              <w:spacing w:line="240" w:lineRule="auto" w:after="0"/>
              <w:jc w:val="left"/>
            </w:pPr>
            <w:r>
              <w:rPr>
                <w:rFonts w:ascii="Times New Roman" w:hAnsi="Times New Roman"/>
                <w:sz w:val="20"/>
              </w:rPr>
              <w:t xml:space="preserve">Reddedildi (0/3)</w:t>
            </w:r>
          </w:p>
        </w:tc>
      </w:tr>
    </w:tbl>
    <w:p>
      <w:pPr>
        <w:pStyle w:val="BodyText"/>
      </w:pPr>
      <w:r>
        <w:t xml:space="preserve">Plana uygun analizde üç testin hiçbiri eşiği geçmemiş ve</w:t>
      </w:r>
      <w:r>
        <w:t xml:space="preserve"> </w:t>
      </w:r>
      <w:r>
        <w:rPr>
          <w:bCs/>
          <w:b/>
        </w:rPr>
        <w:t xml:space="preserve">H2 reddedilmiştir.</w:t>
      </w:r>
      <w:r>
        <w:t xml:space="preserve"> </w:t>
      </w:r>
      <w:r>
        <w:t xml:space="preserve">Belgelenmiş Braak II sapmasında ve orijinal uygulamada da sonuç aynıdır. Orijinal uygulamada RRHO2 haritasındaki güçlü sinyal (düzeltilmiş P = 5,3 × 10⁻⁴) plandaki DU konumunda değil, her iki hastalıkta aşağı yönlü (DD) çeyrekte yer almaktadır (Şekil 3, sol panel). Plan Test 1’in DU konumunda değerlendirilmesini şart koştuğundan, orijinal uygulamanın H2 değerlendirmesi de sapma kaydında daha önce belirtildiği gibi 1/3 değil, 0/3 başarılı testle sonuçlanmaktadır.</w:t>
      </w:r>
    </w:p>
    <w:p>
      <w:pPr>
        <w:pStyle w:val="BodyText"/>
      </w:pPr>
      <w:r>
        <w:t xml:space="preserve">Plan ve sapma satırlarında Test 2 ve Test 3 sonuçlarının aynı olması tesadüfidir. İki kontrastın ilk 200 AH geni yalnızca 30 geni paylaşmakta ve örtüşen gen kümeleri birbirinden farklıdır; yalnızca örtüşme sayıları (14) eşittir. Hipergeometrik testte seçilen ilk 200 genin medyan ifade düzeyi tüm genlerinkinden hafifçe düşüktür (logCPM 4,19’a karşı 4,57).</w:t>
      </w:r>
    </w:p>
    <w:bookmarkEnd w:id="21"/>
    <w:bookmarkStart w:id="22" w:name="h1-bulgusunun-sağlamlığı-negatif-kontrol"/>
    <w:p>
      <w:pPr>
        <w:pStyle w:val="Heading2"/>
      </w:pPr>
      <w:r>
        <w:t xml:space="preserve">3.3 H1 bulgusunun sağlamlığı: negatif kontrol</w:t>
      </w:r>
    </w:p>
    <w:p>
      <w:pPr>
        <w:pStyle w:val="FirstParagraph"/>
      </w:pPr>
      <w:r>
        <w:t xml:space="preserve">H1’deki azalmanın, eklenen kovaryatların serbestlik derecesi kaybından mı yoksa veriden türetilen herhangi bir kovaryatın etkisinden mi kaynaklandığını sınamak için iki kollu bir negatif kontrol yürütülmüştür (Şekil 4).</w:t>
      </w:r>
    </w:p>
    <w:p>
      <w:pPr>
        <w:pStyle w:val="BodyText"/>
      </w:pPr>
      <w:r>
        <w:t xml:space="preserve">Model A’ya altı bağımsız gürültü değişkeni eklendiğinde (Kol 1; 1.000 tekrar), AH DEG’lerinin medyanı 3.784 olarak bulunmuş ve DEG’lerin %85,1’i korunmuştur (Şekil 4A). Paylaşılan DEG’lerin medyanı ise 1.279’dur (Model A: 1.458). Önceden belirlenen kurala göre (korunma ≥ 0,80),</w:t>
      </w:r>
      <w:r>
        <w:t xml:space="preserve"> </w:t>
      </w:r>
      <w:r>
        <w:rPr>
          <w:bCs/>
          <w:b/>
        </w:rPr>
        <w:t xml:space="preserve">güç kaybı azalmayı açıklamamaktadır.</w:t>
      </w:r>
    </w:p>
    <w:p>
      <w:pPr>
        <w:pStyle w:val="BodyText"/>
      </w:pPr>
      <w:r>
        <w:t xml:space="preserve">Model A’ya rastgele gen kümelerinden türetilen altı temel bileşen skoru eklendiğinde (Kol 2; 1.000 tekrar), AH DEG’lerinin medyanı 0’a inmiştir (Şekil 4B). Ancak bu rastgele bileşenler, BRETIGEA hücre tipi skorlarındaki varyansın önemli bir kısmını da açıklamıştır (medyan ortalama R² = 0,501; en düşük 0,249; Şekil 4C). Önceden belirlenen kurala göre (medyan R² ≥ 0,25), bu kol</w:t>
      </w:r>
      <w:r>
        <w:t xml:space="preserve"> </w:t>
      </w:r>
      <w:r>
        <w:rPr>
          <w:bCs/>
          <w:b/>
        </w:rPr>
        <w:t xml:space="preserve">ayırt edici değildir</w:t>
      </w:r>
      <w:r>
        <w:t xml:space="preserve">. Başka bir deyişle, beyin dokusundaki bulk ifade verisinde rastgele seçilen genler de kompozisyon eksenini yakalamaktadır.</w:t>
      </w:r>
    </w:p>
    <w:p>
      <w:pPr>
        <w:pStyle w:val="BodyText"/>
      </w:pPr>
      <w:r>
        <w:t xml:space="preserve">Bu iki sonuç birlikte değerlendirildiğinde, AH bulk DEG’leri, kompozisyon skorları ile rastgele gen kümelerinden türetilen bileşenlerin paylaştığı baskın bir ifade ekseni tarafından taşınmaktadır. H1’deki azalma istatistiksel güç kaybıyla açıklanamamaktadır. Ancak bu eksenin yalnızca hücre kompozisyonunu yansıttığı, mevcut verilerle kesin olarak gösterilememektedir.</w:t>
      </w:r>
    </w:p>
    <w:bookmarkEnd w:id="22"/>
    <w:bookmarkStart w:id="23" w:name="Xa335a1eab8d51b8d373c6e6937e0836276c64a2"/>
    <w:p>
      <w:pPr>
        <w:pStyle w:val="Heading2"/>
      </w:pPr>
      <w:r>
        <w:t xml:space="preserve">3.4 Keşifsel: Orijinal analizdeki DD sinyali analitik düzeltmelere dayanıklı değildir</w:t>
      </w:r>
    </w:p>
    <w:p>
      <w:pPr>
        <w:pStyle w:val="FirstParagraph"/>
      </w:pPr>
      <w:r>
        <w:t xml:space="preserve">Orijinal Aşama 1 uygulaması, planın öngördüğü analizden üç noktada ayrılmaktaydı: aynı donöre ait üç alt-kümeyi bağımsız örnekler olarak ele almış (21 örnek, 7 donör), plandaki yaş kovaryatını içermemiş ve birincil kontrast olarak Braak II ile Braak 0’ı kullanmıştı. Bu uygulama 486 anlamlı gen üretmiş ve Aşama 3’te DD çeyreğinde görünür bir sinyal oluşturmuştu (Tablo 4, son satır). Bu sinyalin analitik seçimlere duyarlılığı keşifsel olarak incelenmiştir (Şekil 5).</w:t>
      </w:r>
    </w:p>
    <w:p>
      <w:pPr>
        <w:pStyle w:val="BodyText"/>
      </w:pPr>
      <w:r>
        <w:rPr>
          <w:bCs/>
          <w:b/>
        </w:rPr>
        <w:t xml:space="preserve">Psödo-replikasyon.</w:t>
      </w:r>
      <w:r>
        <w:t xml:space="preserve"> </w:t>
      </w:r>
      <w:r>
        <w:t xml:space="preserve">Aynı donöre ait alt-kümeler arasındaki korelasyon 0,346 olarak tahmin edilmiştir. Donör bu yapıyla hesaba katıldığında anlamlı gen sayısı 486’dan 27’ye (donör bloklu limma-voom) veya 0’a (donör düzeyinde toplanmış edgeR) düşmüştür (Şekil 5A). Buna karşın etki tahminleri büyük ölçüde korunmuştur: orijinal ve donör düzeyindeki log2FC değerleri arasındaki korelasyon 0,981 (Şekil 5B), gen sıralamaları arasındaki Spearman korelasyonu 0,970’tir ve en çok aşağı yönlü 200 genin 153’ü iki sıralamada ortaktır. Yani psödo-replikasyon, etkilerin yönünü değil, bu etkilere atfedilen istatistiksel kesinliği değiştirmiştir.</w:t>
      </w:r>
    </w:p>
    <w:p>
      <w:pPr>
        <w:pStyle w:val="BodyText"/>
      </w:pPr>
      <w:r>
        <w:rPr>
          <w:bCs/>
          <w:b/>
        </w:rPr>
        <w:t xml:space="preserve">Eşik profili.</w:t>
      </w:r>
      <w:r>
        <w:t xml:space="preserve"> </w:t>
      </w:r>
      <w:r>
        <w:t xml:space="preserve">Dört-çeyrek örtüşme testi, önceden sabitlenmiş dört eşikte (ilk 100, 200, 300 ve 500 gen) hem orijinal hem de donör düzeyindeki sıralamayla tekrarlanmıştır (Tablo 5; Şekil 5C). Orijinal sıralamada DD çeyreği dört eşiğin üçünde anlamlıyken (BH düzeltmeli P &lt; 0,05), donör düzeyindeki sıralamada yalnızca bir eşikte (ilk 300 gen) anlamlı kalmıştır. DU çeyreği ise donör düzeyindeki sıralamada dört eşiğin üçünde anlamlı bulunmuştur. Ancak bu çeyrekteki en yüksek odds oranı (ilk 200 gende 2,42), H2 için önceden belirlenen OR ≥ 3 eşiğinin altında kalmaktadır. DD ve DU çeyreklerinin eşzamanlı zenginleşmesi, AH’de aşağı yönlü genlerin GBM sıralamasının her iki ucunda da fazla temsil edildiğini göstermektedir. Bu örüntü, yönlü bir yakınsamadan çok, iki veri setinde de uç değer alma eğiliminde olan genleri yansıtıyor olabilir.</w:t>
      </w:r>
    </w:p>
    <w:p>
      <w:pPr>
        <w:pStyle w:val="BodyText"/>
      </w:pPr>
      <w:r>
        <w:rPr>
          <w:bCs/>
          <w:b/>
        </w:rPr>
        <w:t xml:space="preserve">Tablo 5.</w:t>
      </w:r>
      <w:r>
        <w:t xml:space="preserve"> </w:t>
      </w:r>
      <w:r>
        <w:t xml:space="preserve">Dört-çeyrek örtüşme testinin eşik profili (gözlenen örtüşme / beklenen; BH düzeltmeli P, dört çeyrek üzerinden).</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p>
            <w:pPr>
              <w:pStyle w:val="Compact"/>
              <w:spacing w:line="240" w:lineRule="auto" w:after="0"/>
              <w:jc w:val="left"/>
            </w:pPr>
            <w:r>
              <w:rPr>
                <w:rFonts w:ascii="Times New Roman" w:hAnsi="Times New Roman"/>
                <w:b/>
                <w:sz w:val="20"/>
              </w:rPr>
              <w:t xml:space="preserve">İlk N gen</w:t>
            </w:r>
          </w:p>
        </w:tc>
        <w:tc>
          <w:tcPr/>
          <w:p>
            <w:pPr>
              <w:pStyle w:val="Compact"/>
              <w:spacing w:line="240" w:lineRule="auto" w:after="0"/>
              <w:jc w:val="left"/>
            </w:pPr>
            <w:r>
              <w:rPr>
                <w:rFonts w:ascii="Times New Roman" w:hAnsi="Times New Roman"/>
                <w:b/>
                <w:sz w:val="20"/>
              </w:rPr>
              <w:t xml:space="preserve">DD, orijinal</w:t>
            </w:r>
          </w:p>
        </w:tc>
        <w:tc>
          <w:tcPr/>
          <w:p>
            <w:pPr>
              <w:pStyle w:val="Compact"/>
              <w:spacing w:line="240" w:lineRule="auto" w:after="0"/>
              <w:jc w:val="left"/>
            </w:pPr>
            <w:r>
              <w:rPr>
                <w:rFonts w:ascii="Times New Roman" w:hAnsi="Times New Roman"/>
                <w:b/>
                <w:sz w:val="20"/>
              </w:rPr>
              <w:t xml:space="preserve">DD, donör düzeyi</w:t>
            </w:r>
          </w:p>
        </w:tc>
        <w:tc>
          <w:tcPr/>
          <w:p>
            <w:pPr>
              <w:pStyle w:val="Compact"/>
              <w:spacing w:line="240" w:lineRule="auto" w:after="0"/>
              <w:jc w:val="left"/>
            </w:pPr>
            <w:r>
              <w:rPr>
                <w:rFonts w:ascii="Times New Roman" w:hAnsi="Times New Roman"/>
                <w:b/>
                <w:sz w:val="20"/>
              </w:rPr>
              <w:t xml:space="preserve">DU, orijinal</w:t>
            </w:r>
          </w:p>
        </w:tc>
        <w:tc>
          <w:tcPr/>
          <w:p>
            <w:pPr>
              <w:pStyle w:val="Compact"/>
              <w:spacing w:line="240" w:lineRule="auto" w:after="0"/>
              <w:jc w:val="left"/>
            </w:pPr>
            <w:r>
              <w:rPr>
                <w:rFonts w:ascii="Times New Roman" w:hAnsi="Times New Roman"/>
                <w:b/>
                <w:sz w:val="20"/>
              </w:rPr>
              <w:t xml:space="preserve">DU, donör düzeyi</w:t>
            </w:r>
          </w:p>
        </w:tc>
      </w:tr>
      <w:tr>
        <w:tc>
          <w:tcPr/>
          <w:p>
            <w:pPr>
              <w:pStyle w:val="Compact"/>
              <w:spacing w:line="240" w:lineRule="auto" w:after="0"/>
              <w:jc w:val="left"/>
            </w:pPr>
            <w:r>
              <w:rPr>
                <w:rFonts w:ascii="Times New Roman" w:hAnsi="Times New Roman"/>
                <w:sz w:val="20"/>
              </w:rPr>
              <w:t xml:space="preserve">100</w:t>
            </w:r>
          </w:p>
        </w:tc>
        <w:tc>
          <w:tcPr/>
          <w:p>
            <w:pPr>
              <w:pStyle w:val="Compact"/>
              <w:spacing w:line="240" w:lineRule="auto" w:after="0"/>
              <w:jc w:val="left"/>
            </w:pPr>
            <w:r>
              <w:rPr>
                <w:rFonts w:ascii="Times New Roman" w:hAnsi="Times New Roman"/>
                <w:sz w:val="20"/>
              </w:rPr>
              <w:t xml:space="preserve">4 / 2,6; P = 0,520</w:t>
            </w:r>
          </w:p>
        </w:tc>
        <w:tc>
          <w:tcPr/>
          <w:p>
            <w:pPr>
              <w:pStyle w:val="Compact"/>
              <w:spacing w:line="240" w:lineRule="auto" w:after="0"/>
              <w:jc w:val="left"/>
            </w:pPr>
            <w:r>
              <w:rPr>
                <w:rFonts w:ascii="Times New Roman" w:hAnsi="Times New Roman"/>
                <w:sz w:val="20"/>
              </w:rPr>
              <w:t xml:space="preserve">3 / 2,6; P = 0,930</w:t>
            </w:r>
          </w:p>
        </w:tc>
        <w:tc>
          <w:tcPr/>
          <w:p>
            <w:pPr>
              <w:pStyle w:val="Compact"/>
              <w:spacing w:line="240" w:lineRule="auto" w:after="0"/>
              <w:jc w:val="left"/>
            </w:pPr>
            <w:r>
              <w:rPr>
                <w:rFonts w:ascii="Times New Roman" w:hAnsi="Times New Roman"/>
                <w:sz w:val="20"/>
              </w:rPr>
              <w:t xml:space="preserve">6 / 2,6; P = 0,176</w:t>
            </w:r>
          </w:p>
        </w:tc>
        <w:tc>
          <w:tcPr/>
          <w:p>
            <w:pPr>
              <w:pStyle w:val="Compact"/>
              <w:spacing w:line="240" w:lineRule="auto" w:after="0"/>
              <w:jc w:val="left"/>
            </w:pPr>
            <w:r>
              <w:rPr>
                <w:rFonts w:ascii="Times New Roman" w:hAnsi="Times New Roman"/>
                <w:sz w:val="20"/>
              </w:rPr>
              <w:t xml:space="preserve">4 / 2,6; P = 0,930</w:t>
            </w:r>
          </w:p>
        </w:tc>
      </w:tr>
      <w:tr>
        <w:tc>
          <w:tcPr/>
          <w:p>
            <w:pPr>
              <w:pStyle w:val="Compact"/>
              <w:spacing w:line="240" w:lineRule="auto" w:after="0"/>
              <w:jc w:val="left"/>
            </w:pPr>
            <w:r>
              <w:rPr>
                <w:rFonts w:ascii="Times New Roman" w:hAnsi="Times New Roman"/>
                <w:sz w:val="20"/>
              </w:rPr>
              <w:t xml:space="preserve">200</w:t>
            </w:r>
          </w:p>
        </w:tc>
        <w:tc>
          <w:tcPr/>
          <w:p>
            <w:pPr>
              <w:pStyle w:val="Compact"/>
              <w:spacing w:line="240" w:lineRule="auto" w:after="0"/>
              <w:jc w:val="left"/>
            </w:pPr>
            <w:r>
              <w:rPr>
                <w:rFonts w:ascii="Times New Roman" w:hAnsi="Times New Roman"/>
                <w:sz w:val="20"/>
              </w:rPr>
              <w:t xml:space="preserve">20 / 10,4; P = 0,012</w:t>
            </w:r>
          </w:p>
        </w:tc>
        <w:tc>
          <w:tcPr/>
          <w:p>
            <w:pPr>
              <w:pStyle w:val="Compact"/>
              <w:spacing w:line="240" w:lineRule="auto" w:after="0"/>
              <w:jc w:val="left"/>
            </w:pPr>
            <w:r>
              <w:rPr>
                <w:rFonts w:ascii="Times New Roman" w:hAnsi="Times New Roman"/>
                <w:sz w:val="20"/>
              </w:rPr>
              <w:t xml:space="preserve">16 / 10,4; P = 0,106</w:t>
            </w:r>
          </w:p>
        </w:tc>
        <w:tc>
          <w:tcPr/>
          <w:p>
            <w:pPr>
              <w:pStyle w:val="Compact"/>
              <w:spacing w:line="240" w:lineRule="auto" w:after="0"/>
              <w:jc w:val="left"/>
            </w:pPr>
            <w:r>
              <w:rPr>
                <w:rFonts w:ascii="Times New Roman" w:hAnsi="Times New Roman"/>
                <w:sz w:val="20"/>
              </w:rPr>
              <w:t xml:space="preserve">18 / 10,4; P = 0,029</w:t>
            </w:r>
          </w:p>
        </w:tc>
        <w:tc>
          <w:tcPr/>
          <w:p>
            <w:pPr>
              <w:pStyle w:val="Compact"/>
              <w:spacing w:line="240" w:lineRule="auto" w:after="0"/>
              <w:jc w:val="left"/>
            </w:pPr>
            <w:r>
              <w:rPr>
                <w:rFonts w:ascii="Times New Roman" w:hAnsi="Times New Roman"/>
                <w:sz w:val="20"/>
              </w:rPr>
              <w:t xml:space="preserve">22 / 10,4; P = 0,002</w:t>
            </w:r>
          </w:p>
        </w:tc>
      </w:tr>
      <w:tr>
        <w:tc>
          <w:tcPr/>
          <w:p>
            <w:pPr>
              <w:pStyle w:val="Compact"/>
              <w:spacing w:line="240" w:lineRule="auto" w:after="0"/>
              <w:jc w:val="left"/>
            </w:pPr>
            <w:r>
              <w:rPr>
                <w:rFonts w:ascii="Times New Roman" w:hAnsi="Times New Roman"/>
                <w:sz w:val="20"/>
              </w:rPr>
              <w:t xml:space="preserve">300</w:t>
            </w:r>
          </w:p>
        </w:tc>
        <w:tc>
          <w:tcPr/>
          <w:p>
            <w:pPr>
              <w:pStyle w:val="Compact"/>
              <w:spacing w:line="240" w:lineRule="auto" w:after="0"/>
              <w:jc w:val="left"/>
            </w:pPr>
            <w:r>
              <w:rPr>
                <w:rFonts w:ascii="Times New Roman" w:hAnsi="Times New Roman"/>
                <w:sz w:val="20"/>
              </w:rPr>
              <w:t xml:space="preserve">38 / 23,3; P = 0,005</w:t>
            </w:r>
          </w:p>
        </w:tc>
        <w:tc>
          <w:tcPr/>
          <w:p>
            <w:pPr>
              <w:pStyle w:val="Compact"/>
              <w:spacing w:line="240" w:lineRule="auto" w:after="0"/>
              <w:jc w:val="left"/>
            </w:pPr>
            <w:r>
              <w:rPr>
                <w:rFonts w:ascii="Times New Roman" w:hAnsi="Times New Roman"/>
                <w:sz w:val="20"/>
              </w:rPr>
              <w:t xml:space="preserve">34 / 23,3; P = 0,029</w:t>
            </w:r>
          </w:p>
        </w:tc>
        <w:tc>
          <w:tcPr/>
          <w:p>
            <w:pPr>
              <w:pStyle w:val="Compact"/>
              <w:spacing w:line="240" w:lineRule="auto" w:after="0"/>
              <w:jc w:val="left"/>
            </w:pPr>
            <w:r>
              <w:rPr>
                <w:rFonts w:ascii="Times New Roman" w:hAnsi="Times New Roman"/>
                <w:sz w:val="20"/>
              </w:rPr>
              <w:t xml:space="preserve">37 / 23,3; P = 0,005</w:t>
            </w:r>
          </w:p>
        </w:tc>
        <w:tc>
          <w:tcPr/>
          <w:p>
            <w:pPr>
              <w:pStyle w:val="Compact"/>
              <w:spacing w:line="240" w:lineRule="auto" w:after="0"/>
              <w:jc w:val="left"/>
            </w:pPr>
            <w:r>
              <w:rPr>
                <w:rFonts w:ascii="Times New Roman" w:hAnsi="Times New Roman"/>
                <w:sz w:val="20"/>
              </w:rPr>
              <w:t xml:space="preserve">39 / 23,3; P = 0,003</w:t>
            </w:r>
          </w:p>
        </w:tc>
      </w:tr>
      <w:tr>
        <w:tc>
          <w:tcPr/>
          <w:p>
            <w:pPr>
              <w:pStyle w:val="Compact"/>
              <w:spacing w:line="240" w:lineRule="auto" w:after="0"/>
              <w:jc w:val="left"/>
            </w:pPr>
            <w:r>
              <w:rPr>
                <w:rFonts w:ascii="Times New Roman" w:hAnsi="Times New Roman"/>
                <w:sz w:val="20"/>
              </w:rPr>
              <w:t xml:space="preserve">500</w:t>
            </w:r>
          </w:p>
        </w:tc>
        <w:tc>
          <w:tcPr/>
          <w:p>
            <w:pPr>
              <w:pStyle w:val="Compact"/>
              <w:spacing w:line="240" w:lineRule="auto" w:after="0"/>
              <w:jc w:val="left"/>
            </w:pPr>
            <w:r>
              <w:rPr>
                <w:rFonts w:ascii="Times New Roman" w:hAnsi="Times New Roman"/>
                <w:sz w:val="20"/>
              </w:rPr>
              <w:t xml:space="preserve">88 / 64,8; P = 0,003</w:t>
            </w:r>
          </w:p>
        </w:tc>
        <w:tc>
          <w:tcPr/>
          <w:p>
            <w:pPr>
              <w:pStyle w:val="Compact"/>
              <w:spacing w:line="240" w:lineRule="auto" w:after="0"/>
              <w:jc w:val="left"/>
            </w:pPr>
            <w:r>
              <w:rPr>
                <w:rFonts w:ascii="Times New Roman" w:hAnsi="Times New Roman"/>
                <w:sz w:val="20"/>
              </w:rPr>
              <w:t xml:space="preserve">79 / 64,8; P = 0,055</w:t>
            </w:r>
          </w:p>
        </w:tc>
        <w:tc>
          <w:tcPr/>
          <w:p>
            <w:pPr>
              <w:pStyle w:val="Compact"/>
              <w:spacing w:line="240" w:lineRule="auto" w:after="0"/>
              <w:jc w:val="left"/>
            </w:pPr>
            <w:r>
              <w:rPr>
                <w:rFonts w:ascii="Times New Roman" w:hAnsi="Times New Roman"/>
                <w:sz w:val="20"/>
              </w:rPr>
              <w:t xml:space="preserve">79 / 64,8; P = 0,055</w:t>
            </w:r>
          </w:p>
        </w:tc>
        <w:tc>
          <w:tcPr/>
          <w:p>
            <w:pPr>
              <w:pStyle w:val="Compact"/>
              <w:spacing w:line="240" w:lineRule="auto" w:after="0"/>
              <w:jc w:val="left"/>
            </w:pPr>
            <w:r>
              <w:rPr>
                <w:rFonts w:ascii="Times New Roman" w:hAnsi="Times New Roman"/>
                <w:sz w:val="20"/>
              </w:rPr>
              <w:t xml:space="preserve">82 / 64,8; P = 0,040</w:t>
            </w:r>
          </w:p>
        </w:tc>
      </w:tr>
    </w:tbl>
    <w:p>
      <w:pPr>
        <w:pStyle w:val="BodyText"/>
      </w:pPr>
      <w:r>
        <w:rPr>
          <w:bCs/>
          <w:b/>
        </w:rPr>
        <w:t xml:space="preserve">Yaş ve plana uygun sıralama.</w:t>
      </w:r>
      <w:r>
        <w:t xml:space="preserve"> </w:t>
      </w:r>
      <w:r>
        <w:t xml:space="preserve">Leng kohortunda Braak II ile Braak 0 grupları arasında yaş aralıkları örtüşmemektedir (Braak 0: 50–71, Braak II: 72–91; r = 0,80; VIF = 2,74). Braak II kontrastı korunup donör düzeyinde çıkarım ve yaş kovaryatı eklendiğinde, RRHO2 haritasındaki DD çeyreğinin en yüksek değeri 6,54’ten 1,48’e (düzeltilmiş P = 1) düşmüştür (Şekil 5D). Plana uygun Braak VI sıralaması ile orijinal sıralama arasındaki Spearman korelasyonu ise 0,584’tür. Sonuç olarak, orijinal analizdeki DD sinyali, psödo-replikasyon ile yaş kovaryatının atlanmasının birlikte yarattığı bir sinyal olarak değerlendirilmektedir.</w:t>
      </w:r>
    </w:p>
    <w:p>
      <w:pPr>
        <w:pStyle w:val="BodyText"/>
      </w:pPr>
      <w:r>
        <w:t xml:space="preserve">Ek bir not: sapma kaydında belgelendiği üzere, orijinal analizin yaş eklenmiş bir versiyonunda (psödo-replike tasarım korunarak) anlamlı gen sayısı 486’dan 3’e düşmüştür. Bu analizde bildirilen ham koşul sayısı (951), ölçeklendirilmemiş yaş değişkeni nedeniyle şişmiştir; standartlaştırılmış koşul sayısı 3’tür. Bu nedenle Leng kohortundaki sorun sayısal tekillik değil, yaş örtüşmesinin olmaması ve donör sayısının azlığıdır.</w:t>
      </w:r>
    </w:p>
    <w:bookmarkEnd w:id="23"/>
    <w:bookmarkStart w:id="24" w:name="X8734d86596ebd0b18295f9a53056f1ee9fad1c4"/>
    <w:p>
      <w:pPr>
        <w:pStyle w:val="Heading2"/>
      </w:pPr>
      <w:r>
        <w:t xml:space="preserve">3.5 Keşifsel: Stres genleri bağımsız bir AH kohortunda kompozisyondan bağımsız olarak artmaktadır</w:t>
      </w:r>
    </w:p>
    <w:p>
      <w:pPr>
        <w:pStyle w:val="FirstParagraph"/>
      </w:pPr>
      <w:r>
        <w:t xml:space="preserve">Orijinal DD çeyreğinden türetilen altı stres geninin (CEBPD, FLNA, JUNB, PER1, PFKFB3 ve ZFP36L1) davranışı, planda yer almayan bağımsız bir AH kohortunda (GSE125583, fuziform korteks; ileri AH 125, kontrol 70) incelenmiştir. Bu kohortta gruplar arasında yaş dengelidir (grup ile yaş arasındaki korelasyon r = 0,071; Wilcoxon P = 0,373).</w:t>
      </w:r>
    </w:p>
    <w:p>
      <w:pPr>
        <w:pStyle w:val="BodyText"/>
      </w:pPr>
      <w:r>
        <w:t xml:space="preserve">Yaş ve cinsiyet ayarlı modelde DD imzasındaki 20 genin tamamı ayarsız modeldeki yönünü korumuştur (log2FC korelasyonu 1,000). Altı stres geninin tamamı ileri AH’de artmış, beşi FDR &lt; 0,05 düzeyinde anlamlı bulunmuştur (JUNB: FDR = 0,083). Nöron, astrosit ve mikroglia marker skorları eklendiğinde de altı genin tamamı yukarı yönlü kalmış ve beşi anlamlılığını korumuştur (log2FC 0,27 ile 0,44 arasında; JUNB: FDR = 0,087). Kompozisyon düzeltmesi genom genelindeki anlamlı gen sayısını 9.313’ten 4.514’e düşürmüştür. Nöronal kategori genlerinin çoğu bu düzeltmeden sonra anlamlılığını kaybetmiştir. Yalnızca NRN1 aşağı yönlü kalmış (log2FC −1,30’dan −0,45’e), BAIAP2 ise yön değiştirmiştir; bu, söz konusu genlerin bulk dokudaki azalmasının büyük ölçüde nöron kaybını yansıttığıyla uyumludur (nöron skoru ile grup arasındaki korelasyon r = −0,42). Tümöre özgü (divergent) kategorinin sekiz geninin hiçbiri anlamlı kalmamıştır. Astrosit skoru ise gruplar arasında farklılık göstermemiştir (r = −0,05).</w:t>
      </w:r>
    </w:p>
    <w:p>
      <w:pPr>
        <w:pStyle w:val="BodyText"/>
      </w:pPr>
      <w:r>
        <w:t xml:space="preserve">Bu bulgunun yorumunda iki noktaya dikkat edilmelidir. Birincisi, bu altı gen orijinal Leng analizinde savunmasız nöronlarda aşağı yönlü bulunmuştu; bulk dokudaki artış bu yönün tersidir ve yönlü bir yakınsama olarak yorumlanamaz. İkincisi, bu genlerin seçilme gerekçesi olan DD çeyreği, Bölüm 3.4’te gösterildiği gibi analitik düzeltmelere dayanmamaktadır. Dolayısıyla bu bulgu, AH-GBM ortak ekseni için bir kanıt değil, ileri AH dokusunda kompozisyondan bağımsız bir stres geni artışının tanımlayıcı bir gözlemidir. Artışın hangi hücre tipinden kaynaklandığı bulk verilerle belirlenememektedir.</w:t>
      </w:r>
    </w:p>
    <w:bookmarkEnd w:id="24"/>
    <w:bookmarkEnd w:id="25"/>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Times New Roman" w:hAnsi="Times New Roman" w:cs="Times New Roman" w:eastAsia="Times New Roman"/>
      <w:color w:val="000000"/>
      <w:sz w:val="24"/>
    </w:rPr>
  </w:style>
  <w:style w:styleId="BodyText" w:type="paragraph">
    <w:name w:val="Body Text"/>
    <w:basedOn w:val="Normal"/>
    <w:link w:val="BodyTextChar"/>
    <w:pPr>
      <w:spacing w:after="120" w:before="180" w:line="360" w:lineRule="auto"/>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360" w:lineRule="auto" w:after="120"/>
    </w:pPr>
    <w:rPr>
      <w:rFonts w:ascii="Times New Roman" w:hAnsi="Times New Roman" w:cs="Times New Roman" w:eastAsia="Times New Roman"/>
      <w:color w:val="000000"/>
      <w:sz w:val="24"/>
    </w:rPr>
  </w:style>
  <w:style w:customStyle="1" w:styleId="Compact" w:type="paragraph">
    <w:name w:val="Compact"/>
    <w:basedOn w:val="BodyText"/>
    <w:qFormat/>
    <w:pPr>
      <w:spacing w:after="120" w:before="36" w:line="36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76" w:lineRule="auto"/>
      <w:outlineLvl w:val="0"/>
    </w:pPr>
    <w:rPr>
      <w:rFonts w:ascii="Times New Roman" w:hAnsi="Times New Roman" w:cs="Times New Roman" w:eastAsia="Times New Roman"/>
      <w:b/>
      <w:bCs/>
      <w:color w:val="000000"/>
      <w:sz w:val="28"/>
      <w:szCs w:val="32"/>
    </w:rPr>
  </w:style>
  <w:style w:styleId="Heading2" w:type="paragraph">
    <w:name w:val="Heading 2"/>
    <w:basedOn w:val="Normal"/>
    <w:next w:val="BodyText"/>
    <w:uiPriority w:val="9"/>
    <w:unhideWhenUsed/>
    <w:qFormat/>
    <w:pPr>
      <w:keepNext/>
      <w:keepLines/>
      <w:spacing w:after="120" w:before="240" w:line="276" w:lineRule="auto"/>
      <w:outlineLvl w:val="1"/>
    </w:pPr>
    <w:rPr>
      <w:rFonts w:ascii="Times New Roman" w:hAnsi="Times New Roman" w:cs="Times New Roman" w:eastAsia="Times New Roman"/>
      <w:b/>
      <w:bCs/>
      <w:color w:val="000000"/>
      <w:sz w:val="24"/>
      <w:szCs w:val="28"/>
    </w:rPr>
  </w:style>
  <w:style w:styleId="Heading3" w:type="paragraph">
    <w:name w:val="Heading 3"/>
    <w:basedOn w:val="Normal"/>
    <w:next w:val="BodyText"/>
    <w:uiPriority w:val="9"/>
    <w:unhideWhenUsed/>
    <w:qFormat/>
    <w:pPr>
      <w:keepNext/>
      <w:keepLines/>
      <w:spacing w:after="120" w:before="240" w:line="276" w:lineRule="auto"/>
      <w:outlineLvl w:val="2"/>
    </w:pPr>
    <w:rPr>
      <w:rFonts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2026-09-28T07:11:27Z</dcterms:created>
  <dcterms:modified xsi:type="dcterms:W3CDTF">2026-09-28T07:11:27Z</dcterms:modified>
</cp:coreProperties>
</file>

<file path=docProps/custom.xml><?xml version="1.0" encoding="utf-8"?>
<Properties xmlns="http://schemas.openxmlformats.org/officeDocument/2006/custom-properties" xmlns:vt="http://schemas.openxmlformats.org/officeDocument/2006/docPropsVTypes"/>
</file>