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artışma"/>
    <w:p>
      <w:pPr>
        <w:pStyle w:val="Heading1"/>
      </w:pPr>
      <w:r>
        <w:t xml:space="preserve">4. Tartışma</w:t>
      </w:r>
    </w:p>
    <w:bookmarkStart w:id="20" w:name="ana-bulgular"/>
    <w:p>
      <w:pPr>
        <w:pStyle w:val="Heading2"/>
      </w:pPr>
      <w:r>
        <w:t xml:space="preserve">4.1 Ana bulgular</w:t>
      </w:r>
    </w:p>
    <w:p>
      <w:pPr>
        <w:pStyle w:val="FirstParagraph"/>
      </w:pPr>
      <w:r>
        <w:t xml:space="preserve">Bu çalışma, AH ile GBM arasında bulk transkriptomik düzeyde bildirilen yakınsamanın hücre kompozisyonu karıştırıcılığından ne ölçüde bağımsız olduğunu ve kalan sinyalin hücre-tipi çözünürlüğünde ortak bir nöral kimliğe karşılık gelip gelmediğini, veri analizinden önce belirlenmiş bir plan çerçevesinde sınamıştır. Birincil hipotez (H1) desteklenmiştir: kompozisyon düzeltmesiz modelde saptanan 1.458 paylaşılan DEG, iki farklı dekonvolüsyon yaklaşımıyla yapılan düzeltmeden sonra sıfıra inmiştir. İkincil hipotez (H2) ise plana uygun analizde, belgelenmiş sapma analizinde ve orijinal uygulamada ön-belirlenmiş üç testin hiçbirini geçmediği için reddedilmiştir. Planın önceden tanımladığı yayın senaryolarına göre bu bulgu örüntüsü, bulk düzeyde gözlenen AH-GBM yakınsamasının büyük ölçüde kompozisyon farklılıklarını yansıttığı ve AH’de savunmasız nöronların kimliği ile GBM’nin nöral taklit durumları arasında saptanabilir bir örtüşme bulunmadığı senaryosuna karşılık gelmektedir.</w:t>
      </w:r>
    </w:p>
    <w:p>
      <w:pPr>
        <w:pStyle w:val="BodyText"/>
      </w:pPr>
      <w:r>
        <w:t xml:space="preserve">Bu iki sonucun kanıt ağırlığı aynı değildir ve ayrı ayrı değerlendirilmelidir. H1 sonucu, iki bağımsız yöntemde, önceden tanımlanmış tüm duyarlılık analizlerinde ve istatistiksel güç kaybını dışlayan bir negatif kontrolde tutarlıdır. H2’nin reddi ise, Bölüm 4.3’te tartışıldığı gibi, keşif kohortunun sınırlı istatistiksel gücüyle birlikte yorumlanmalıdır.</w:t>
      </w:r>
    </w:p>
    <w:bookmarkEnd w:id="20"/>
    <w:bookmarkStart w:id="21" w:name="X521db9e9fdb33641f52932993fd15ea5b67c2dd"/>
    <w:p>
      <w:pPr>
        <w:pStyle w:val="Heading2"/>
      </w:pPr>
      <w:r>
        <w:t xml:space="preserve">4.2 AH-kanser transkriptomik literatürü için anlamı</w:t>
      </w:r>
    </w:p>
    <w:p>
      <w:pPr>
        <w:pStyle w:val="FirstParagraph"/>
      </w:pPr>
      <w:r>
        <w:t xml:space="preserve">AH ile kanser arasındaki ters komorbidite, prospektif kohort ve popülasyon tabanlı insidans çalışmalarıyla desteklenen bir gözlemdir [1, 2]. Bu epidemiyolojik gözlem, iki hastalık grubunda ters yönde düzenlenen ortak moleküler süreçler arayan transkriptomik çalışmaları teşvik etmiştir [3]. AH ile GBM özelinde, bulk mikroarray verilerinden ters yönde düzenlenen sinyal yolakları [4], bulk ve tek hücre verilerini birleştiren entegre analizlerle aday genler [5] ve tek hücre verileriyle mitokondriyal belirteçler [6] önerilmiştir.</w:t>
      </w:r>
    </w:p>
    <w:p>
      <w:pPr>
        <w:pStyle w:val="BodyText"/>
      </w:pPr>
      <w:r>
        <w:t xml:space="preserve">Bu çalışmanın bulguları, bulk dokuda saptanan paylaşılan ifade değişikliklerinin hücre kompozisyonu farklılıklarından ayrıştırılmadan yorumlanmaması gerektiğine işaret etmektedir. AH’de nöron kaybı ve glial yanıt, GBM’de ise malign hücrelerin normal beyin dokusunun yerini alması, iki hastalıkta da dokunun hücresel bileşimini köklü biçimde değiştirmektedir. Bozulmamış beyin dokusu örneklerindeki gen ifadesi kovaryasyonunun büyük ölçüde hücre kompozisyonundaki farklılıklar tarafından belirlendiği [7] ve kompozisyon tahminlerinin karıştırıcı olarak modele alınmasının AH fenotipleri ile gen ifadesi arasındaki yanlış ilişkileri azalttığı [8] gösterilmiştir. Bizim bulgularımız bu gözlemlerin hastalıklar arası karşılaştırmalara da uzandığını düşündürmektedir: iki hastalığın kontrollere göre benzer yönde değişen genleri, her iki dokuda da benzer biçimde değişen hücre tipi oranlarının bir yansıması olabilir.</w:t>
      </w:r>
    </w:p>
    <w:p>
      <w:pPr>
        <w:pStyle w:val="BodyText"/>
      </w:pPr>
      <w:r>
        <w:t xml:space="preserve">Bununla birlikte, bu çalışma önceki çalışmalarda bildirilen belirli genleri veya yolakları doğrudan test etmemiştir. Bu çalışmaların tasarımları farklıdır ve bir kısmı tek hücre verisi veya işlevsel deneyler içermektedir [5, 6]. Dolayısıyla bulgularımız bu çalışmaların sonuçlarını geçersiz kılmamakta, bulk düzeyde paylaşılan DEG sayısına dayanan yakınsama iddialarının kompozisyon kontrolü olmadan güçlü bir kanıt sayılamayacağını göstermektedir.</w:t>
      </w:r>
    </w:p>
    <w:bookmarkEnd w:id="21"/>
    <w:bookmarkStart w:id="22" w:name="X3e8ace39cde4f6676365b6e7cb6326f42460af3"/>
    <w:p>
      <w:pPr>
        <w:pStyle w:val="Heading2"/>
      </w:pPr>
      <w:r>
        <w:t xml:space="preserve">4.3 Hücre-tipi düzeyinde yakınsamanın yokluğu: kanıt mı, güç yetersizliği mi?</w:t>
      </w:r>
    </w:p>
    <w:p>
      <w:pPr>
        <w:pStyle w:val="FirstParagraph"/>
      </w:pPr>
      <w:r>
        <w:t xml:space="preserve">H2, savunmasız RORB+ entorinal korteks nöronlarında kaybolan genlerin GBM’nin nöral taklit durumlarında kazanıldığını öngörmekteydi. Plana uygun Aşama 1 analizinde yalnızca altı donör (3’e karşı 3) ve üç artık serbestlik derecesi bulunmaktaydı; bu analizde FDR &lt; 0,05 düzeyinde hiçbir gen saptanmamış ve plandaki ölçütlerle tanımlanan AH imzası boş kalmıştır. Aşama 3 testleri gen sıralamasına dayandığından, imzanın boş olması testlerin yürütülmesini engellememiş, ancak sıralamanın kendisi zayıf bir sinyale dayanmıştır.</w:t>
      </w:r>
    </w:p>
    <w:p>
      <w:pPr>
        <w:pStyle w:val="BodyText"/>
      </w:pPr>
      <w:r>
        <w:t xml:space="preserve">Bu nedenle H2’nin reddi,</w:t>
      </w:r>
      <w:r>
        <w:t xml:space="preserve"> </w:t>
      </w:r>
      <w:r>
        <w:t xml:space="preserve">“</w:t>
      </w:r>
      <w:r>
        <w:t xml:space="preserve">iki hücre popülasyonu arasında örtüşme yoktur</w:t>
      </w:r>
      <w:r>
        <w:t xml:space="preserve">”</w:t>
      </w:r>
      <w:r>
        <w:t xml:space="preserve"> </w:t>
      </w:r>
      <w:r>
        <w:t xml:space="preserve">biçiminde değil,</w:t>
      </w:r>
      <w:r>
        <w:t xml:space="preserve"> </w:t>
      </w:r>
      <w:r>
        <w:t xml:space="preserve">“</w:t>
      </w:r>
      <w:r>
        <w:t xml:space="preserve">bu verilerle saptanabilir bir örtüşme gösterilememiştir</w:t>
      </w:r>
      <w:r>
        <w:t xml:space="preserve">”</w:t>
      </w:r>
      <w:r>
        <w:t xml:space="preserve"> </w:t>
      </w:r>
      <w:r>
        <w:t xml:space="preserve">biçiminde yorumlanmalıdır. Plan bu olasılığı öngörmüş ve önceki bulk çalışmalarındaki sinyalin hücre-tipi düzeyinde bir karşılığı olup olmadığını sormuştur; gözlenen sonuç, böyle bir karşılığın varsa bile bu kohortla ortaya konamayacak kadar zayıf olduğunu göstermektedir. Daha fazla donör içeren tek çekirdek atlasları, bu sorunun daha güçlü bir testini mümkün kılacaktır.</w:t>
      </w:r>
    </w:p>
    <w:bookmarkEnd w:id="22"/>
    <w:bookmarkStart w:id="23" w:name="X7b7c12571da0d745e492697b328738daccb7ca9"/>
    <w:p>
      <w:pPr>
        <w:pStyle w:val="Heading2"/>
      </w:pPr>
      <w:r>
        <w:t xml:space="preserve">4.4 Metodolojik dersler: görünür bir yakınsama sinyali nasıl ortaya çıktı?</w:t>
      </w:r>
    </w:p>
    <w:p>
      <w:pPr>
        <w:pStyle w:val="FirstParagraph"/>
      </w:pPr>
      <w:r>
        <w:t xml:space="preserve">Bu çalışmanın belki de en genellenebilir katkısı, orijinal analizde gözlenen</w:t>
      </w:r>
      <w:r>
        <w:t xml:space="preserve"> </w:t>
      </w:r>
      <w:r>
        <w:t xml:space="preserve">“</w:t>
      </w:r>
      <w:r>
        <w:t xml:space="preserve">her iki hastalıkta aşağı</w:t>
      </w:r>
      <w:r>
        <w:t xml:space="preserve">”</w:t>
      </w:r>
      <w:r>
        <w:t xml:space="preserve"> </w:t>
      </w:r>
      <w:r>
        <w:t xml:space="preserve">(DD) sinyalinin kaynağının izlenebilmesidir. Orijinal Aşama 1 uygulaması, aynı donörden elde edilen üç alt-küme profilini bağımsız örnekler olarak ele almış ve plandaki yaş kovaryatını içermemiştir. Aynı donöre ait gözlemler arasındaki korelasyon (0,35) göz ardı edildiğinde anlamlı gen sayısı 486 olarak bulunmuş; donör uygun biçimde modellendiğinde bu sayı 27’ye veya 0’a düşmüştür. Tek hücre verilerinde donörler arası karşılaştırmalarda hücre veya alt-küme düzeyindeki gözlemlerin bağımsız kabul edilmesinin yanlış pozitif oranını belirgin biçimde artırdığı ve donör düzeyinde pseudo-bulk yaklaşımlarının bu hatayı en iyi kontrol eden yöntemler arasında yer aldığı daha önce gösterilmiştir [9, 10, 11]. Bizim gözlemimiz bu literatürle uyumludur ve bu hatanın yalnızca anlamlı gen sayısını değil, gen sıralamasına dayanan sonraki yakınsama testlerini de etkileyebileceğini göstermektedir.</w:t>
      </w:r>
    </w:p>
    <w:p>
      <w:pPr>
        <w:pStyle w:val="BodyText"/>
      </w:pPr>
      <w:r>
        <w:t xml:space="preserve">İkinci etken, keşif kohortundaki yaş yapısıdır. Braak 0 ve Braak II gruplarının yaş aralıkları örtüşmemektedir (50–71 ve 72–91). Bu durumda yaş etkisini Braak etkisinden ayırmak, ancak gözlenmemiş bir yaş aralığına doğrusal ekstrapolasyonla mümkündür. Orijinal DD sinyali, Braak II karşılaştırması korunup donör düzeyinde çıkarım ve yaş kovaryatı eklendiğinde RRHO2 haritasında 6,54’ten 1,48’e düşmüştür. Buna karşın etki tahminlerinin yönü büyük ölçüde korunmuştur (log2FC korelasyonu 0,981). Bu örüntü, hatanın etkilerin varlığını değil, onlara atfedilen istatistiksel kesinliği ve dolayısıyla uç gen kümelerinin bileşimini değiştirdiğini göstermektedir.</w:t>
      </w:r>
    </w:p>
    <w:p>
      <w:pPr>
        <w:pStyle w:val="BodyText"/>
      </w:pPr>
      <w:r>
        <w:t xml:space="preserve">Bu hataların yakalanmasında ön-belirlenmiş analiz planı belirleyici olmuştur. Veriyi gördükten sonra alınan analiz kararlarının yanlış pozitif oranını artırdığı [12], ön-kaydın ise hipotez üretimini hipotez testinden ayırarak bu riski azalttığı bilinmektedir [13]. Bu çalışmada plan, üç farklı biçimde işlev görmüştür. Birincisi, plandaki</w:t>
      </w:r>
      <w:r>
        <w:t xml:space="preserve"> </w:t>
      </w:r>
      <w:r>
        <w:t xml:space="preserve">“</w:t>
      </w:r>
      <w:r>
        <w:t xml:space="preserve">donör düzeyinde pseudo-bulk</w:t>
      </w:r>
      <w:r>
        <w:t xml:space="preserve">”</w:t>
      </w:r>
      <w:r>
        <w:t xml:space="preserve"> </w:t>
      </w:r>
      <w:r>
        <w:t xml:space="preserve">ve yaş kovaryatı tanımları, uygulamanın plandan ayrıldığı noktaların tespit edilmesini sağlamıştır. İkincisi, H2 için önceden tanımlanmış eşikler (ör. odds oranı ≥ 3), düzeltilmiş analizde güçlenen DU çeyreğinin sonradan bir bulgu olarak sunulmasını engellemiştir. Üçüncüsü, planın hipotez yeniden formülasyonunu yasaklayan hükmü, keşifsel bir gözlem olan DD sinyalinin makalenin ana iddiası hâline gelmesini önlemiştir. Bu süreç ayrıca ön-belirlemenin yalnızca planın yazılmasıyla değil, uygulamanın plana karşı düzenli olarak denetlenmesiyle işlevsel hâle geldiğini göstermektedir; denetim ve yeniden analizler, kararların sonuçlardan önce commit edildiği bir sırayla yürütülmüştür.</w:t>
      </w:r>
    </w:p>
    <w:bookmarkEnd w:id="23"/>
    <w:bookmarkStart w:id="24" w:name="keşifsel-stres-geni-bulgusunun-yorumu"/>
    <w:p>
      <w:pPr>
        <w:pStyle w:val="Heading2"/>
      </w:pPr>
      <w:r>
        <w:t xml:space="preserve">4.5 Keşifsel stres geni bulgusunun yorumu</w:t>
      </w:r>
    </w:p>
    <w:p>
      <w:pPr>
        <w:pStyle w:val="FirstParagraph"/>
      </w:pPr>
      <w:r>
        <w:t xml:space="preserve">Orijinal DD çeyreğinden türetilen altı stres geni, bağımsız bir AH kohortunda yaş, cinsiyet ve marker tabanlı kompozisyon ayarından sonra da ileri AH’de artmış bulunmuştur. Bu bulgu üç nedenle temkinli yorumlanmalıdır. Birincisi, bu genlerin seçilme gerekçesi olan DD sinyali analitik düzeltmelere dayanmamaktadır. İkincisi, bu genlerin bulk dokudaki artışı, keşif kohortunda savunmasız nöronlarda gözlenen azalmanın tersi yöndedir; dolayısıyla yönlü bir yakınsama olarak yorumlanamaz. Üçüncüsü, ölüm sonrası beyin dokusunun gen ifadesi profilleri ölüm öncesi (agonal) koşullardan güçlü biçimde etkilenebilmektedir [14]. Ayrıca JUNB’nin de ait olduğu erken yanıt genleri, tek hücre çalışmalarında doku ayrıştırması sırasında ex vivo olarak indüklenebilmekte [15] ve benzer bir yapay sinyal, özellikle mikrogliada olmak üzere, ölüm sonrası insan beyni tek çekirdek verilerinde de saptanmıştır [16]. Artışın reaktif astrosit durumlarındaki moleküler yeniden şekillenmeyi [17] veya bu tür teknik ve agonal etkenleri yansıtıp yansıtmadığı bulk verilerle ayırt edilememektedir. Bu nedenle bu gözlem, AH-GBM ortak ekseni için bir kanıt değil, hücre kaynağı tek hücre verileriyle belirlenmesi gereken tanımlayıcı bir bulgu olarak değerlendirilmelidir.</w:t>
      </w:r>
    </w:p>
    <w:bookmarkEnd w:id="24"/>
    <w:bookmarkStart w:id="25" w:name="sınırlılıklar"/>
    <w:p>
      <w:pPr>
        <w:pStyle w:val="Heading2"/>
      </w:pPr>
      <w:r>
        <w:t xml:space="preserve">4.6 Sınırlılıklar</w:t>
      </w:r>
    </w:p>
    <w:p>
      <w:pPr>
        <w:pStyle w:val="FirstParagraph"/>
      </w:pPr>
      <w:r>
        <w:t xml:space="preserve">Bu çalışmanın sınırlılıkları dört başlık altında toplanabilir.</w:t>
      </w:r>
    </w:p>
    <w:p>
      <w:pPr>
        <w:pStyle w:val="BodyText"/>
      </w:pPr>
      <w:r>
        <w:rPr>
          <w:bCs/>
          <w:b/>
        </w:rPr>
        <w:t xml:space="preserve">Keşif kohortunun gücü ve demografisi.</w:t>
      </w:r>
      <w:r>
        <w:t xml:space="preserve"> </w:t>
      </w:r>
      <w:r>
        <w:t xml:space="preserve">Aşama 1’deki birincil analiz altı donöre dayanmaktadır ve tüm donörler erkektir. Braak grupları arasında yaş örtüşmesinin bulunmaması, yaş ve hastalık etkilerinin ayrıştırılmasını sınırlandırmaktadır. Ayrıca orijinal çalışmada savunmasız olarak tanımlanan alt-kümelerin kullanılması, planın öngördüğü RORB ifade eşiğine dayalı tanımdan farklıdır.</w:t>
      </w:r>
    </w:p>
    <w:p>
      <w:pPr>
        <w:pStyle w:val="BodyText"/>
      </w:pPr>
      <w:r>
        <w:rPr>
          <w:bCs/>
          <w:b/>
        </w:rPr>
        <w:t xml:space="preserve">Dekonvolüsyon yöntemlerinin geçerliliği.</w:t>
      </w:r>
      <w:r>
        <w:t xml:space="preserve"> </w:t>
      </w:r>
      <w:r>
        <w:t xml:space="preserve">MuSiC ile tahmin edilen oranlar her iki kohortta biyolojik olarak inandırıcı değildir (ör. kontrol dokusunda nöron oranı %1’in altında). Bunun birkaç olası nedeni vardır. Kullanılan referans bir tek çekirdek veri setidir [18]; fare görsel korteksinde yapılan eşleştirilmiş bir karşılaştırmada, çekirdeğin toplam hücresel mRNA içindeki payının piramidal nöronun boyutuna göre %20 ile %50’nin üzeri arasında değiştiği bildirilmiştir [19], bu da çekirdek referansı ile bulk dokunun tüm hücre RNA’sı arasında sistematik bir uyumsuzluk yaratabilir. Referans ayrıca nöronca zenginleştirilmiştir ve glial profiller az sayıda çekirdekten tahmin edilmiştir. Dekonvolüsyonun doğrusal ölçekte daha iyi çalıştığı ve karışımda bulunup referansta bulunmayan hücre tiplerinin sonuçları belirgin biçimde bozduğu gösterilmiştir [20]; AH kohortu mikroarray verisine dayandığından ölçek dönüşümü, GBM dokusunda ise referansta malign hücre tipinin bulunmaması bu yöntemin başlıca zayıflıklarıdır. Beyin dokusu için dekonvolüsyon doğruluğunun beyin bölgesi ve kullanılan hücre tipi imzasının özellikleri gibi etkenlere güçlü biçimde bağlı olduğu da bildirilmiştir [21]. Marker tabanlı BRETIGEA yöntemi [22] ise tümör dokusunda farklı bir sorunla karşılaşmaktadır: astrosit benzeri malign hücreler astrosit markerlarını ifade ettiğinden [23], astrosit skoru tümörde normal astrositleri kısmen malign durumlarla karıştırmaktadır. GBM dokusu ayrıca makrofaj ve mikroglia gibi değişken oranlarda bağışıklık hücreleri içermektedir [24]. Bu nedenle H1 sonucunun GBM tarafındaki kompozisyon düzeltmesi yaklaşık kabul edilmelidir.</w:t>
      </w:r>
    </w:p>
    <w:p>
      <w:pPr>
        <w:pStyle w:val="BodyText"/>
      </w:pPr>
      <w:r>
        <w:rPr>
          <w:bCs/>
          <w:b/>
        </w:rPr>
        <w:t xml:space="preserve">Kompozisyon özgüllüğü.</w:t>
      </w:r>
      <w:r>
        <w:t xml:space="preserve"> </w:t>
      </w:r>
      <w:r>
        <w:t xml:space="preserve">Negatif kontrol, H1’deki azalmanın serbestlik derecesi kaybıyla açıklanamayacağını göstermiş, ancak rastgele gen kümelerinden türetilen bileşenlerin de hem kompozisyon skorlarının varyansının yaklaşık yarısını açıkladığını hem de AH DEG’lerini ortadan kaldırdığını ortaya koymuştur. Bu, AH bulk DEG’lerinin baskın bir ifade ekseni tarafından taşındığını; ancak bu eksenin yalnızca hücre kompozisyonunu mu yoksa kompozisyonla birlikte değişen RNA kalitesi veya agonal etkenler gibi başka faktörleri de mi içerdiğinin bu verilerle ayırt edilemediğini göstermektedir [14]. Ayrıca nöron kaybı hastalığın bir sonucu olduğundan, kompozisyon kovaryatlarının modele eklenmesi gerçek hastalık etkisinin bir bölümünü de ortadan kaldırıyor olabilir.</w:t>
      </w:r>
    </w:p>
    <w:p>
      <w:pPr>
        <w:pStyle w:val="BodyText"/>
      </w:pPr>
      <w:r>
        <w:rPr>
          <w:bCs/>
          <w:b/>
        </w:rPr>
        <w:t xml:space="preserve">Veri ve süreç.</w:t>
      </w:r>
      <w:r>
        <w:t xml:space="preserve"> </w:t>
      </w:r>
      <w:r>
        <w:t xml:space="preserve">AH meta-kohortu küçüktür (n = 51) ve iki mikroarray platformunun ComBat ile birleştirilmesine dayanmaktadır; tanının korunan kovaryat olarak kullanılması, gruplar veri setleri arasında dengesiz dağıldığında sonraki testlerde anlamlılığı şişirebilir [25]. GTEx örnekleri için planda öngörülen RNA kalitesi ve ölüm biçimi dışlama ölçütleri uygulanamamıştır. Neftel verisi kamuya yalnızca TPM olarak açıktır ve negatif binom modeller için ideal değildir. Son olarak, analiz planı yerel bir git deposuna veri analizinden önce işlenmiş olsa da, planda öngörülen kamuya açık yükleme analiz öncesinde gerçekleştirilmemiştir; zaman damgaları yazar tarafından sağlanmıştır ve bağımsız olarak doğrulanamamaktadır. Bu nedenle çalışma resmi bir ön-kayıt değil, zaman damgalı bir ön-belirlenmiş analiz planına dayanmaktadır. Uygulamanın plandan ayrıldığı tüm noktalar, keşfedildikleri tarihlerle birlikte sapma kaydında belgelenmiştir.</w:t>
      </w:r>
    </w:p>
    <w:bookmarkEnd w:id="25"/>
    <w:bookmarkStart w:id="26" w:name="sonuç"/>
    <w:p>
      <w:pPr>
        <w:pStyle w:val="Heading2"/>
      </w:pPr>
      <w:r>
        <w:t xml:space="preserve">4.7 Sonuç</w:t>
      </w:r>
    </w:p>
    <w:p>
      <w:pPr>
        <w:pStyle w:val="FirstParagraph"/>
      </w:pPr>
      <w:r>
        <w:t xml:space="preserve">Bu çalışmada AH ile GBM arasında bulk düzeyde gözlenen transkriptomik yakınsama, hücre kompozisyonu kontrol edildiğinde ortadan kalkmıştır; hücre-tipi çözünürlüğünde ise savunmasız nöron kimliği ile tümörün nöral taklit durumları arasında saptanabilir bir örtüşme gösterilememiştir. Keşif analizinde görülen yakınsama benzeri bir sinyalin, psödo-replikasyon ve yaş karıştırıcılığının birleşiminden kaynaklandığı da ortaya konmuştur. Bu bulgular, hastalıklar arası transkriptomik karşılaştırmalarda kompozisyon kontrolünün, donör düzeyinde çıkarımın ve ön-belirlenmiş analiz planlarının, paylaşılan biyoloji iddialarının güvenilirliği için temel koşullar olduğunu göstermektedir.</w:t>
      </w:r>
    </w:p>
    <w:bookmarkEnd w:id="26"/>
    <w:bookmarkStart w:id="27" w:name="kaynaklar"/>
    <w:p>
      <w:pPr>
        <w:pStyle w:val="Heading2"/>
      </w:pPr>
      <w:r>
        <w:t xml:space="preserve">Kaynaklar</w:t>
      </w:r>
    </w:p>
    <w:p>
      <w:pPr>
        <w:numPr>
          <w:ilvl w:val="0"/>
          <w:numId w:val="1001"/>
        </w:numPr>
        <w:pStyle w:val="Compact"/>
      </w:pPr>
      <w:r>
        <w:t xml:space="preserve">Driver JA, Beiser A, Au R, et al. Inverse association between cancer and Alzheimer’s disease: results from the Framingham Heart Study. BMJ. 2012;344:e1442. doi:10.1136/bmj.e1442</w:t>
      </w:r>
    </w:p>
    <w:p>
      <w:pPr>
        <w:numPr>
          <w:ilvl w:val="0"/>
          <w:numId w:val="1001"/>
        </w:numPr>
        <w:pStyle w:val="Compact"/>
      </w:pPr>
      <w:r>
        <w:t xml:space="preserve">Musicco M, Adorni F, Di Santo S, et al. Inverse occurrence of cancer and Alzheimer disease: a population-based incidence study. Neurology. 2013;81(4):322-328. doi:10.1212/WNL.0b013e31829c5ec1</w:t>
      </w:r>
    </w:p>
    <w:p>
      <w:pPr>
        <w:numPr>
          <w:ilvl w:val="0"/>
          <w:numId w:val="1001"/>
        </w:numPr>
        <w:pStyle w:val="Compact"/>
      </w:pPr>
      <w:r>
        <w:t xml:space="preserve">Ibáñez K, Boullosa C, Tabarés-Seisdedos R, Baudot A, Valencia A. Molecular evidence for the inverse comorbidity between central nervous system disorders and cancers detected by transcriptomic meta-analyses. PLoS Genet. 2014;10(2):e1004173. doi:10.1371/journal.pgen.1004173</w:t>
      </w:r>
    </w:p>
    <w:p>
      <w:pPr>
        <w:numPr>
          <w:ilvl w:val="0"/>
          <w:numId w:val="1001"/>
        </w:numPr>
        <w:pStyle w:val="Compact"/>
      </w:pPr>
      <w:r>
        <w:t xml:space="preserve">Liu T, Ren D, Zhu X, et al. Transcriptional signaling pathways inversely regulated in Alzheimer’s disease and glioblastoma multiform. Sci Rep. 2013;3:3467. doi:10.1038/srep03467</w:t>
      </w:r>
    </w:p>
    <w:p>
      <w:pPr>
        <w:numPr>
          <w:ilvl w:val="0"/>
          <w:numId w:val="1001"/>
        </w:numPr>
        <w:pStyle w:val="Compact"/>
      </w:pPr>
      <w:r>
        <w:t xml:space="preserve">Liu T, Pu J, Theil S, et al. Potential role of TNFRSF12A in linking glioblastoma and Alzheimer’s disease via shared tumour suppressor pathways. Sci Rep. 2025;15(1):21535. doi:10.1038/s41598-025-08000-7</w:t>
      </w:r>
    </w:p>
    <w:p>
      <w:pPr>
        <w:numPr>
          <w:ilvl w:val="0"/>
          <w:numId w:val="1001"/>
        </w:numPr>
        <w:pStyle w:val="Compact"/>
      </w:pPr>
      <w:r>
        <w:t xml:space="preserve">Xu X, Wang J, Chen T, et al. Deciphering novel mitochondrial signatures: multi-omics analysis uncovers cross-disease markers and oligodendrocyte pathways in Alzheimer’s disease and glioblastoma. Front Aging Neurosci. 2025;17:1536142. doi:10.3389/fnagi.2025.1536142</w:t>
      </w:r>
    </w:p>
    <w:p>
      <w:pPr>
        <w:numPr>
          <w:ilvl w:val="0"/>
          <w:numId w:val="1001"/>
        </w:numPr>
        <w:pStyle w:val="Compact"/>
      </w:pPr>
      <w:r>
        <w:t xml:space="preserve">Kelley KW, Nakao-Inoue H, Molofsky AV, Oldham MC. Variation among intact tissue samples reveals the core transcriptional features of human CNS cell classes. Nat Neurosci. 2018;21(9):1171-1184. doi:10.1038/s41593-018-0216-z</w:t>
      </w:r>
    </w:p>
    <w:p>
      <w:pPr>
        <w:numPr>
          <w:ilvl w:val="0"/>
          <w:numId w:val="1001"/>
        </w:numPr>
        <w:pStyle w:val="Compact"/>
      </w:pPr>
      <w:r>
        <w:t xml:space="preserve">Patrick E, Taga M, Ergun A, et al. Deconvolving the contributions of cell-type heterogeneity on cortical gene expression. PLoS Comput Biol. 2020;16(8):e1008120. doi:10.1371/journal.pcbi.1008120</w:t>
      </w:r>
    </w:p>
    <w:p>
      <w:pPr>
        <w:numPr>
          <w:ilvl w:val="0"/>
          <w:numId w:val="1001"/>
        </w:numPr>
        <w:pStyle w:val="Compact"/>
      </w:pPr>
      <w:r>
        <w:t xml:space="preserve">Squair JW, Gautier M, Kathe C, et al. Confronting false discoveries in single-cell differential expression. Nat Commun. 2021;12(1):5692. doi:10.1038/s41467-021-25960-2</w:t>
      </w:r>
    </w:p>
    <w:p>
      <w:pPr>
        <w:numPr>
          <w:ilvl w:val="0"/>
          <w:numId w:val="1001"/>
        </w:numPr>
        <w:pStyle w:val="Compact"/>
      </w:pPr>
      <w:r>
        <w:t xml:space="preserve">Zimmerman KD, Espeland MA, Langefeld CD. A practical solution to pseudoreplication bias in single-cell studies. Nat Commun. 2021;12(1):738. doi:10.1038/s41467-021-21038-1</w:t>
      </w:r>
    </w:p>
    <w:p>
      <w:pPr>
        <w:numPr>
          <w:ilvl w:val="0"/>
          <w:numId w:val="1001"/>
        </w:numPr>
        <w:pStyle w:val="Compact"/>
      </w:pPr>
      <w:r>
        <w:t xml:space="preserve">Crowell HL, Soneson C, Germain PL, et al. muscat detects subpopulation-specific state transitions from multi-sample multi-condition single-cell transcriptomics data. Nat Commun. 2020;11(1):6077. doi:10.1038/s41467-020-19894-4</w:t>
      </w:r>
    </w:p>
    <w:p>
      <w:pPr>
        <w:numPr>
          <w:ilvl w:val="0"/>
          <w:numId w:val="1001"/>
        </w:numPr>
        <w:pStyle w:val="Compact"/>
      </w:pPr>
      <w:r>
        <w:t xml:space="preserve">Simmons JP, Nelson LD, Simonsohn U. False-positive psychology: undisclosed flexibility in data collection and analysis allows presenting anything as significant. Psychol Sci. 2011;22(11):1359-1366. doi:10.1177/0956797611417632</w:t>
      </w:r>
    </w:p>
    <w:p>
      <w:pPr>
        <w:numPr>
          <w:ilvl w:val="0"/>
          <w:numId w:val="1001"/>
        </w:numPr>
        <w:pStyle w:val="Compact"/>
      </w:pPr>
      <w:r>
        <w:t xml:space="preserve">Nosek BA, Ebersole CR, DeHaven AC, Mellor DT. The preregistration revolution. Proc Natl Acad Sci U S A. 2018;115(11):2600-2606. doi:10.1073/pnas.1708274114</w:t>
      </w:r>
    </w:p>
    <w:p>
      <w:pPr>
        <w:numPr>
          <w:ilvl w:val="0"/>
          <w:numId w:val="1001"/>
        </w:numPr>
        <w:pStyle w:val="Compact"/>
      </w:pPr>
      <w:r>
        <w:t xml:space="preserve">Tomita H, Vawter MP, Walsh DM, et al. Effect of agonal and postmortem factors on gene expression profile: quality control in microarray analyses of postmortem human brain. Biol Psychiatry. 2004;55(4):346-352. doi:10.1016/j.biopsych.2003.10.013</w:t>
      </w:r>
    </w:p>
    <w:p>
      <w:pPr>
        <w:numPr>
          <w:ilvl w:val="0"/>
          <w:numId w:val="1001"/>
        </w:numPr>
        <w:pStyle w:val="Compact"/>
      </w:pPr>
      <w:r>
        <w:t xml:space="preserve">van den Brink SC, Sage F, Vértesy Á, et al. Single-cell sequencing reveals dissociation-induced gene expression in tissue subpopulations. Nat Methods. 2017;14(10):935-936. doi:10.1038/nmeth.4437</w:t>
      </w:r>
    </w:p>
    <w:p>
      <w:pPr>
        <w:numPr>
          <w:ilvl w:val="0"/>
          <w:numId w:val="1001"/>
        </w:numPr>
        <w:pStyle w:val="Compact"/>
      </w:pPr>
      <w:r>
        <w:t xml:space="preserve">Marsh SE, Walker AJ, Kamath T, et al. Dissection of artifactual and confounding glial signatures by single-cell sequencing of mouse and human brain. Nat Neurosci. 2022;25(3):306-316. doi:10.1038/s41593-022-01022-8</w:t>
      </w:r>
    </w:p>
    <w:p>
      <w:pPr>
        <w:numPr>
          <w:ilvl w:val="0"/>
          <w:numId w:val="1001"/>
        </w:numPr>
        <w:pStyle w:val="Compact"/>
      </w:pPr>
      <w:r>
        <w:t xml:space="preserve">Escartin C, Galea E, Lakatos A, et al. Reactive astrocyte nomenclature, definitions, and future directions. Nat Neurosci. 2021;24(3):312-325. doi:10.1038/s41593-020-00783-4</w:t>
      </w:r>
    </w:p>
    <w:p>
      <w:pPr>
        <w:numPr>
          <w:ilvl w:val="0"/>
          <w:numId w:val="1001"/>
        </w:numPr>
        <w:pStyle w:val="Compact"/>
      </w:pPr>
      <w:r>
        <w:t xml:space="preserve">Bakken TE, Jorstad NL, Hu Q, et al. Comparative cellular analysis of motor cortex in human, marmoset and mouse. Nature. 2021;598(7879):111-119. doi:10.1038/s41586-021-03465-8</w:t>
      </w:r>
    </w:p>
    <w:p>
      <w:pPr>
        <w:numPr>
          <w:ilvl w:val="0"/>
          <w:numId w:val="1001"/>
        </w:numPr>
        <w:pStyle w:val="Compact"/>
      </w:pPr>
      <w:r>
        <w:t xml:space="preserve">Bakken TE, Hodge RD, Miller JA, et al. Single-nucleus and single-cell transcriptomes compared in matched cortical cell types. PLoS One. 2018;13(12):e0209648. doi:10.1371/journal.pone.0209648</w:t>
      </w:r>
    </w:p>
    <w:p>
      <w:pPr>
        <w:numPr>
          <w:ilvl w:val="0"/>
          <w:numId w:val="1001"/>
        </w:numPr>
        <w:pStyle w:val="Compact"/>
      </w:pPr>
      <w:r>
        <w:t xml:space="preserve">Avila Cobos F, Alquicira-Hernandez J, Powell JE, Mestdagh P, De Preter K. Benchmarking of cell type deconvolution pipelines for transcriptomics data. Nat Commun. 2020;11(1):5650. doi:10.1038/s41467-020-19015-1</w:t>
      </w:r>
    </w:p>
    <w:p>
      <w:pPr>
        <w:numPr>
          <w:ilvl w:val="0"/>
          <w:numId w:val="1001"/>
        </w:numPr>
        <w:pStyle w:val="Compact"/>
      </w:pPr>
      <w:r>
        <w:t xml:space="preserve">Sutton GJ, Poppe D, Simmons RK, et al. Comprehensive evaluation of deconvolution methods for human brain gene expression. Nat Commun. 2022;13(1):1358. doi:10.1038/s41467-022-28655-4</w:t>
      </w:r>
    </w:p>
    <w:p>
      <w:pPr>
        <w:numPr>
          <w:ilvl w:val="0"/>
          <w:numId w:val="1001"/>
        </w:numPr>
        <w:pStyle w:val="Compact"/>
      </w:pPr>
      <w:r>
        <w:t xml:space="preserve">McKenzie AT, Wang M, Hauberg ME, et al. Brain cell type specific gene expression and co-expression network architectures. Sci Rep. 2018;8(1):8868. doi:10.1038/s41598-018-27293-5</w:t>
      </w:r>
    </w:p>
    <w:p>
      <w:pPr>
        <w:numPr>
          <w:ilvl w:val="0"/>
          <w:numId w:val="1001"/>
        </w:numPr>
        <w:pStyle w:val="Compact"/>
      </w:pPr>
      <w:r>
        <w:t xml:space="preserve">Neftel C, Laffy J, Filbin MG, et al. An integrative model of cellular states, plasticity, and genetics for glioblastoma. Cell. 2019;178(4):835-849.e21. doi:10.1016/j.cell.2019.06.024</w:t>
      </w:r>
    </w:p>
    <w:p>
      <w:pPr>
        <w:numPr>
          <w:ilvl w:val="0"/>
          <w:numId w:val="1001"/>
        </w:numPr>
        <w:pStyle w:val="Compact"/>
      </w:pPr>
      <w:r>
        <w:t xml:space="preserve">Wang Q, Hu B, Hu X, et al. Tumor evolution of glioma-intrinsic gene expression subtypes associates with immunological changes in the microenvironment. Cancer Cell. 2017;32(1):42-56.e6. doi:10.1016/j.ccell.2017.06.003</w:t>
      </w:r>
    </w:p>
    <w:p>
      <w:pPr>
        <w:numPr>
          <w:ilvl w:val="0"/>
          <w:numId w:val="1001"/>
        </w:numPr>
        <w:pStyle w:val="Compact"/>
      </w:pPr>
      <w:r>
        <w:t xml:space="preserve">Nygaard V, Rødland EA, Hovig E. Methods that remove batch effects while retaining group differences may lead to exaggerated confidence in downstream analyses. Biostatistics. 2016;17(1):29-39. doi:10.1093/biostatistics/kxv027</w:t>
      </w:r>
    </w:p>
    <w:bookmarkEnd w:id="27"/>
    <w:bookmarkEnd w:id="28"/>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2026-09-28T09:05:43Z</dcterms:created>
  <dcterms:modified xsi:type="dcterms:W3CDTF">2026-09-28T09:05:43Z</dcterms:modified>
</cp:coreProperties>
</file>

<file path=docProps/custom.xml><?xml version="1.0" encoding="utf-8"?>
<Properties xmlns="http://schemas.openxmlformats.org/officeDocument/2006/custom-properties" xmlns:vt="http://schemas.openxmlformats.org/officeDocument/2006/docPropsVTypes"/>
</file>